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31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409699" cy="200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200025"/>
                    </a:xfrm>
                    <a:prstGeom prst="rect">
                      <a:avLst/>
                    </a:prstGeom>
                  </pic:spPr>
                </pic:pic>
              </a:graphicData>
            </a:graphic>
          </wp:inline>
        </w:drawing>
      </w:r>
      <w:r>
        <w:rPr>
          <w:rFonts w:ascii="Times New Roman" w:hAnsi="Times New Roman" w:cs="Times New Roman" w:eastAsia="Times New Roman" w:hint="default"/>
          <w:position w:val="-5"/>
          <w:sz w:val="20"/>
          <w:szCs w:val="20"/>
        </w:rPr>
      </w:r>
    </w:p>
    <w:p>
      <w:pPr>
        <w:spacing w:line="240" w:lineRule="auto" w:before="3"/>
        <w:rPr>
          <w:rFonts w:ascii="Times New Roman" w:hAnsi="Times New Roman" w:cs="Times New Roman" w:eastAsia="Times New Roman" w:hint="default"/>
          <w:sz w:val="14"/>
          <w:szCs w:val="14"/>
        </w:rPr>
      </w:pPr>
    </w:p>
    <w:p>
      <w:pPr>
        <w:spacing w:line="540" w:lineRule="exact" w:before="0"/>
        <w:ind w:left="3187" w:right="4164" w:firstLine="0"/>
        <w:jc w:val="center"/>
        <w:rPr>
          <w:rFonts w:ascii="宋体" w:hAnsi="宋体" w:cs="宋体" w:eastAsia="宋体" w:hint="default"/>
          <w:sz w:val="44"/>
          <w:szCs w:val="44"/>
        </w:rPr>
      </w:pPr>
      <w:r>
        <w:rPr>
          <w:rFonts w:ascii="宋体" w:hAnsi="宋体" w:cs="宋体" w:eastAsia="宋体" w:hint="default"/>
          <w:b/>
          <w:bCs/>
          <w:sz w:val="44"/>
          <w:szCs w:val="44"/>
        </w:rPr>
        <w:t>银江股份有限公司</w:t>
      </w:r>
      <w:r>
        <w:rPr>
          <w:rFonts w:ascii="宋体" w:hAnsi="宋体" w:cs="宋体" w:eastAsia="宋体" w:hint="default"/>
          <w:sz w:val="44"/>
          <w:szCs w:val="44"/>
        </w:rPr>
      </w:r>
    </w:p>
    <w:p>
      <w:pPr>
        <w:spacing w:line="240" w:lineRule="auto" w:before="2"/>
        <w:rPr>
          <w:rFonts w:ascii="宋体" w:hAnsi="宋体" w:cs="宋体" w:eastAsia="宋体" w:hint="default"/>
          <w:b/>
          <w:bCs/>
          <w:sz w:val="31"/>
          <w:szCs w:val="31"/>
        </w:rPr>
      </w:pPr>
    </w:p>
    <w:p>
      <w:pPr>
        <w:spacing w:before="0"/>
        <w:ind w:left="3187" w:right="416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2018</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8"/>
        <w:rPr>
          <w:rFonts w:ascii="宋体" w:hAnsi="宋体" w:cs="宋体" w:eastAsia="宋体" w:hint="default"/>
          <w:b/>
          <w:bCs/>
          <w:sz w:val="38"/>
          <w:szCs w:val="38"/>
        </w:rPr>
      </w:pPr>
    </w:p>
    <w:p>
      <w:pPr>
        <w:spacing w:before="0"/>
        <w:ind w:left="3187" w:right="41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公司负责人章建强、主管会计工作负责人钱小鸿及会计机构负责人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任刚要声明：保证年度报告中财务报告的真实、准确、完整。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spacing w:val="3"/>
          <w:sz w:val="28"/>
          <w:szCs w:val="28"/>
        </w:rPr>
      </w:r>
    </w:p>
    <w:p>
      <w:pPr>
        <w:spacing w:line="400" w:lineRule="auto" w:before="0"/>
        <w:ind w:left="154" w:right="1073" w:firstLine="0"/>
        <w:jc w:val="both"/>
        <w:rPr>
          <w:rFonts w:ascii="宋体" w:hAnsi="宋体" w:cs="宋体" w:eastAsia="宋体" w:hint="default"/>
          <w:sz w:val="28"/>
          <w:szCs w:val="28"/>
        </w:rPr>
      </w:pPr>
      <w:r>
        <w:rPr>
          <w:rFonts w:ascii="宋体" w:hAnsi="宋体" w:cs="宋体" w:eastAsia="宋体" w:hint="default"/>
          <w:b/>
          <w:bCs/>
          <w:spacing w:val="3"/>
          <w:sz w:val="28"/>
          <w:szCs w:val="28"/>
        </w:rPr>
        <w:t>司存在政策性风险、核心人员流失风险、智慧城市业务模式的风险、投资并购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及管理风险、商业模式创新风险、诉讼结果不确定的风险等风险，敬请广大投</w:t>
      </w:r>
      <w:r>
        <w:rPr>
          <w:rFonts w:ascii="宋体" w:hAnsi="宋体" w:cs="宋体" w:eastAsia="宋体" w:hint="default"/>
          <w:b/>
          <w:bCs/>
          <w:w w:val="99"/>
          <w:sz w:val="28"/>
          <w:szCs w:val="28"/>
        </w:rPr>
        <w:t> </w:t>
      </w:r>
      <w:r>
        <w:rPr>
          <w:rFonts w:ascii="宋体" w:hAnsi="宋体" w:cs="宋体" w:eastAsia="宋体" w:hint="default"/>
          <w:b/>
          <w:bCs/>
          <w:w w:val="95"/>
          <w:sz w:val="28"/>
          <w:szCs w:val="28"/>
        </w:rPr>
        <w:t>资者注意投资风险。详细内容见本报告</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第四节经营情况讨论与分析”之“九、</w:t>
      </w:r>
      <w:r>
        <w:rPr>
          <w:rFonts w:ascii="宋体" w:hAnsi="宋体" w:cs="宋体" w:eastAsia="宋体" w:hint="default"/>
          <w:b/>
          <w:bCs/>
          <w:spacing w:val="61"/>
          <w:w w:val="95"/>
          <w:sz w:val="28"/>
          <w:szCs w:val="28"/>
        </w:rPr>
        <w:t> </w:t>
      </w:r>
      <w:r>
        <w:rPr>
          <w:rFonts w:ascii="宋体" w:hAnsi="宋体" w:cs="宋体" w:eastAsia="宋体" w:hint="default"/>
          <w:b/>
          <w:bCs/>
          <w:spacing w:val="61"/>
          <w:w w:val="95"/>
          <w:sz w:val="28"/>
          <w:szCs w:val="28"/>
        </w:rPr>
      </w:r>
      <w:r>
        <w:rPr>
          <w:rFonts w:ascii="宋体" w:hAnsi="宋体" w:cs="宋体" w:eastAsia="宋体" w:hint="default"/>
          <w:b/>
          <w:bCs/>
          <w:spacing w:val="-6"/>
          <w:w w:val="99"/>
          <w:sz w:val="28"/>
          <w:szCs w:val="28"/>
        </w:rPr>
        <w:t>公司未来发展的展望”之“（三）风险因素</w:t>
      </w:r>
      <w:r>
        <w:rPr>
          <w:rFonts w:ascii="Times New Roman" w:hAnsi="Times New Roman" w:cs="Times New Roman" w:eastAsia="Times New Roman" w:hint="default"/>
          <w:b/>
          <w:bCs/>
          <w:spacing w:val="-6"/>
          <w:w w:val="99"/>
          <w:sz w:val="28"/>
          <w:szCs w:val="28"/>
        </w:rPr>
        <w:t>”</w:t>
      </w:r>
      <w:r>
        <w:rPr>
          <w:rFonts w:ascii="宋体" w:hAnsi="宋体" w:cs="宋体" w:eastAsia="宋体" w:hint="default"/>
          <w:b/>
          <w:bCs/>
          <w:spacing w:val="-6"/>
          <w:w w:val="99"/>
          <w:sz w:val="28"/>
          <w:szCs w:val="28"/>
        </w:rPr>
        <w:t>。</w:t>
      </w:r>
      <w:r>
        <w:rPr>
          <w:rFonts w:ascii="宋体" w:hAnsi="宋体" w:cs="宋体" w:eastAsia="宋体" w:hint="default"/>
          <w:spacing w:val="-6"/>
          <w:sz w:val="28"/>
          <w:szCs w:val="28"/>
        </w:rPr>
      </w:r>
    </w:p>
    <w:p>
      <w:pPr>
        <w:spacing w:before="12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108"/>
          <w:sz w:val="28"/>
          <w:szCs w:val="28"/>
        </w:rPr>
        <w:t> </w:t>
      </w:r>
      <w:r>
        <w:rPr>
          <w:rFonts w:ascii="Times New Roman" w:hAnsi="Times New Roman" w:cs="Times New Roman" w:eastAsia="Times New Roman" w:hint="default"/>
          <w:b/>
          <w:bCs/>
          <w:sz w:val="28"/>
          <w:szCs w:val="28"/>
        </w:rPr>
        <w:t>655,789,086</w:t>
      </w:r>
      <w:r>
        <w:rPr>
          <w:rFonts w:ascii="Times New Roman" w:hAnsi="Times New Roman" w:cs="Times New Roman" w:eastAsia="Times New Roman" w:hint="default"/>
          <w:b/>
          <w:bCs/>
          <w:spacing w:val="-37"/>
          <w:sz w:val="28"/>
          <w:szCs w:val="28"/>
        </w:rPr>
        <w:t> </w:t>
      </w:r>
      <w:r>
        <w:rPr>
          <w:rFonts w:ascii="宋体" w:hAnsi="宋体" w:cs="宋体" w:eastAsia="宋体" w:hint="default"/>
          <w:b/>
          <w:bCs/>
          <w:sz w:val="28"/>
          <w:szCs w:val="28"/>
        </w:rPr>
        <w:t>股为</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基数，</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以资本公积金向全体股东每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86" w:right="4164"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
            <w:r>
              <w:rPr/>
              <w:t>第二节 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2" w:val="right" w:leader="dot"/>
            </w:tabs>
            <w:spacing w:line="240" w:lineRule="auto" w:before="234"/>
            <w:ind w:right="0"/>
            <w:jc w:val="left"/>
            <w:rPr>
              <w:rFonts w:ascii="宋体" w:hAnsi="宋体" w:cs="宋体" w:eastAsia="宋体" w:hint="default"/>
              <w:b w:val="0"/>
              <w:bCs w:val="0"/>
            </w:rPr>
          </w:pPr>
          <w:hyperlink w:history="true" w:anchor="_bookmark2">
            <w:r>
              <w:rPr/>
              <w:t>第三节 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 经营情况讨论与分析</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 重要事项</w:t>
            </w:r>
            <w:r>
              <w:rPr>
                <w:rFonts w:ascii="宋体" w:hAnsi="宋体" w:cs="宋体" w:eastAsia="宋体" w:hint="default"/>
              </w:rPr>
              <w:tab/>
              <w:t>35</w:t>
            </w:r>
            <w:r>
              <w:rPr>
                <w:rFonts w:ascii="宋体" w:hAnsi="宋体" w:cs="宋体" w:eastAsia="宋体" w:hint="default"/>
                <w:b w:val="0"/>
                <w:bCs w:val="0"/>
              </w:rPr>
            </w:r>
          </w:hyperlink>
        </w:p>
        <w:p>
          <w:pPr>
            <w:pStyle w:val="TOC1"/>
            <w:tabs>
              <w:tab w:pos="9782" w:val="right" w:leader="dot"/>
            </w:tabs>
            <w:spacing w:line="240" w:lineRule="auto" w:before="234"/>
            <w:ind w:right="0"/>
            <w:jc w:val="left"/>
            <w:rPr>
              <w:rFonts w:ascii="宋体" w:hAnsi="宋体" w:cs="宋体" w:eastAsia="宋体" w:hint="default"/>
              <w:b w:val="0"/>
              <w:bCs w:val="0"/>
            </w:rPr>
          </w:pPr>
          <w:hyperlink w:history="true" w:anchor="_bookmark5">
            <w:r>
              <w:rPr/>
              <w:t>第六节 股份变动及股东情况</w:t>
            </w:r>
            <w:r>
              <w:rPr>
                <w:rFonts w:ascii="宋体" w:hAnsi="宋体" w:cs="宋体" w:eastAsia="宋体" w:hint="default"/>
              </w:rPr>
              <w:tab/>
              <w:t>53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 优先股相关情况</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before="233"/>
            <w:ind w:right="0"/>
            <w:jc w:val="left"/>
            <w:rPr>
              <w:rFonts w:ascii="宋体" w:hAnsi="宋体" w:cs="宋体" w:eastAsia="宋体" w:hint="default"/>
              <w:b w:val="0"/>
              <w:bCs w:val="0"/>
            </w:rPr>
          </w:pPr>
          <w:hyperlink w:history="true" w:anchor="_bookmark7">
            <w:r>
              <w:rPr/>
              <w:t>第八节 董事、监事、高级管理人员和员工情况</w:t>
            </w:r>
            <w:r>
              <w:rPr>
                <w:rFonts w:ascii="宋体" w:hAnsi="宋体" w:cs="宋体" w:eastAsia="宋体" w:hint="default"/>
              </w:rPr>
              <w:tab/>
              <w:t>61</w:t>
            </w:r>
            <w:r>
              <w:rPr>
                <w:rFonts w:ascii="宋体" w:hAnsi="宋体" w:cs="宋体" w:eastAsia="宋体" w:hint="default"/>
                <w:b w:val="0"/>
                <w:bCs w:val="0"/>
              </w:rPr>
            </w:r>
          </w:hyperlink>
        </w:p>
        <w:p>
          <w:pPr>
            <w:pStyle w:val="TOC1"/>
            <w:tabs>
              <w:tab w:pos="9782" w:val="right" w:leader="dot"/>
            </w:tabs>
            <w:spacing w:line="240" w:lineRule="auto" w:before="234"/>
            <w:ind w:right="0"/>
            <w:jc w:val="left"/>
            <w:rPr>
              <w:rFonts w:ascii="宋体" w:hAnsi="宋体" w:cs="宋体" w:eastAsia="宋体" w:hint="default"/>
              <w:b w:val="0"/>
              <w:bCs w:val="0"/>
            </w:rPr>
          </w:pPr>
          <w:hyperlink w:history="true" w:anchor="_bookmark8">
            <w:r>
              <w:rPr/>
              <w:t>第九节 公司治理</w:t>
            </w:r>
            <w:r>
              <w:rPr>
                <w:rFonts w:ascii="宋体" w:hAnsi="宋体" w:cs="宋体" w:eastAsia="宋体" w:hint="default"/>
              </w:rPr>
              <w:tab/>
              <w:t>67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 公司债券相关情况</w:t>
            </w:r>
            <w:r>
              <w:rPr>
                <w:rFonts w:ascii="宋体" w:hAnsi="宋体" w:cs="宋体" w:eastAsia="宋体" w:hint="default"/>
              </w:rPr>
              <w:tab/>
              <w:t>72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73</w:t>
            </w:r>
            <w:r>
              <w:rPr>
                <w:rFonts w:ascii="宋体" w:hAnsi="宋体" w:cs="宋体" w:eastAsia="宋体" w:hint="default"/>
                <w:b w:val="0"/>
                <w:bCs w:val="0"/>
              </w:rPr>
            </w:r>
          </w:hyperlink>
        </w:p>
        <w:p>
          <w:pPr>
            <w:pStyle w:val="TOC1"/>
            <w:tabs>
              <w:tab w:pos="9782" w:val="right" w:leader="dot"/>
            </w:tabs>
            <w:spacing w:line="240" w:lineRule="auto" w:before="234"/>
            <w:ind w:right="0"/>
            <w:jc w:val="left"/>
            <w:rPr>
              <w:rFonts w:ascii="宋体" w:hAnsi="宋体" w:cs="宋体" w:eastAsia="宋体" w:hint="default"/>
              <w:b w:val="0"/>
              <w:bCs w:val="0"/>
            </w:rPr>
          </w:pPr>
          <w:hyperlink w:history="true" w:anchor="_bookmark11">
            <w:r>
              <w:rPr/>
              <w:t>第十二节</w:t>
            </w:r>
            <w:r>
              <w:rPr>
                <w:spacing w:val="-1"/>
              </w:rPr>
              <w:t> </w:t>
            </w:r>
            <w:r>
              <w:rPr/>
              <w:t>备查文件目录</w:t>
            </w:r>
            <w:r>
              <w:rPr>
                <w:rFonts w:ascii="宋体" w:hAnsi="宋体" w:cs="宋体" w:eastAsia="宋体" w:hint="default"/>
              </w:rPr>
              <w:tab/>
              <w:t>194</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187" w:right="41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公司、本公司、银江股份、发行人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最近三年、近三年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独立财务顾问、保荐机构、浙商证券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审计机构、瑞华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控股股东、银江科技集团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银江股份有限公司董事会提名委员会、银江股份有限公司董事会战略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决策委员会、银江股份有限公司董事会薪酬与考核委员会、银江股份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有限公司董事会审计委员会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智慧健康集团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杭州银江智慧健康集团有限公司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年股票期权激励计划</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杭州银江智慧产业创业投资合伙企业（有限合伙）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9"/>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15717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Enjoyor</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ENJOYOR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章建强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浙江省杭州市益乐路 </w:t>
            </w:r>
            <w:r>
              <w:rPr>
                <w:rFonts w:ascii="Times New Roman" w:hAnsi="Times New Roman" w:cs="Times New Roman" w:eastAsia="Times New Roman" w:hint="default"/>
                <w:sz w:val="18"/>
                <w:szCs w:val="18"/>
              </w:rPr>
              <w:t>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310030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www.enjoyor.net</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吴孟立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座公司证券管理部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谭争 许旭光</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6"/>
        <w:ind w:right="9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会计差错更正</w:t>
      </w: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2,413,277,806.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1,942,221,214.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1,942,221,214.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24.25%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1,655,303,898.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1,655,303,898.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26,444,095.70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13,865,423,634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138,654,236.34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153,377,346.60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153,377,346.60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123,141,898.92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79,889,151.96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79,889,151.96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5,283,393.29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5,283,393.29</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13,293,096.36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-215,372,225.2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-215,372,225.2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-137,134,746.3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-137,134,746.3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6,078,445,611.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5,819,414,180.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6,062,863,675.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0.26%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5,468,779,767.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5,712,229,262.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3,232,269,575.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3,071,153,977.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3,314,603,472.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2,984,487,076.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3,227,936,571.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bl>
    <w:p>
      <w:pPr>
        <w:pStyle w:val="Heading5"/>
        <w:spacing w:line="240" w:lineRule="auto" w:before="74"/>
        <w:ind w:right="0"/>
        <w:jc w:val="left"/>
        <w:rPr>
          <w:b w:val="0"/>
          <w:bCs w:val="0"/>
        </w:rPr>
      </w:pPr>
      <w:r>
        <w:rPr/>
        <w:t>说明：</w:t>
      </w:r>
      <w:r>
        <w:rPr>
          <w:b w:val="0"/>
          <w:bCs w:val="0"/>
        </w:rPr>
      </w:r>
    </w:p>
    <w:p>
      <w:pPr>
        <w:pStyle w:val="BodyText"/>
        <w:spacing w:line="300" w:lineRule="auto" w:before="116"/>
        <w:ind w:right="1122"/>
        <w:jc w:val="left"/>
      </w:pPr>
      <w:r>
        <w:rPr>
          <w:rFonts w:ascii="Times New Roman" w:hAnsi="Times New Roman" w:cs="Times New Roman" w:eastAsia="Times New Roman" w:hint="default"/>
        </w:rPr>
        <w:t>1</w:t>
      </w:r>
      <w:r>
        <w:rPr/>
        <w:t>、报告期内，公司实现营业收入</w:t>
      </w:r>
      <w:r>
        <w:rPr>
          <w:spacing w:val="-57"/>
        </w:rPr>
        <w:t> </w:t>
      </w:r>
      <w:r>
        <w:rPr>
          <w:rFonts w:ascii="Times New Roman" w:hAnsi="Times New Roman" w:cs="Times New Roman" w:eastAsia="Times New Roman" w:hint="default"/>
        </w:rPr>
        <w:t>241,327.78</w:t>
      </w:r>
      <w:r>
        <w:rPr>
          <w:rFonts w:ascii="Times New Roman" w:hAnsi="Times New Roman" w:cs="Times New Roman" w:eastAsia="Times New Roman" w:hint="default"/>
          <w:spacing w:val="-12"/>
        </w:rPr>
        <w:t> </w:t>
      </w:r>
      <w:r>
        <w:rPr/>
        <w:t>万元，同比增长</w:t>
      </w:r>
      <w:r>
        <w:rPr>
          <w:spacing w:val="-57"/>
        </w:rPr>
        <w:t> </w:t>
      </w:r>
      <w:r>
        <w:rPr>
          <w:rFonts w:ascii="Times New Roman" w:hAnsi="Times New Roman" w:cs="Times New Roman" w:eastAsia="Times New Roman" w:hint="default"/>
        </w:rPr>
        <w:t>24.25%</w:t>
      </w:r>
      <w:r>
        <w:rPr/>
        <w:t>，归属于上市公司股东的净利润</w:t>
      </w:r>
      <w:r>
        <w:rPr>
          <w:spacing w:val="-57"/>
        </w:rPr>
        <w:t> </w:t>
      </w:r>
      <w:r>
        <w:rPr>
          <w:rFonts w:ascii="Times New Roman" w:hAnsi="Times New Roman" w:cs="Times New Roman" w:eastAsia="Times New Roman" w:hint="default"/>
        </w:rPr>
        <w:t>2,644.41</w:t>
      </w:r>
      <w:r>
        <w:rPr>
          <w:rFonts w:ascii="Times New Roman" w:hAnsi="Times New Roman" w:cs="Times New Roman" w:eastAsia="Times New Roman" w:hint="default"/>
          <w:spacing w:val="-12"/>
        </w:rPr>
        <w:t> </w:t>
      </w:r>
      <w:r>
        <w:rPr/>
        <w:t>万元，同比下 降</w:t>
      </w:r>
      <w:r>
        <w:rPr>
          <w:spacing w:val="-47"/>
        </w:rPr>
        <w:t> </w:t>
      </w:r>
      <w:r>
        <w:rPr>
          <w:rFonts w:ascii="Times New Roman" w:hAnsi="Times New Roman" w:cs="Times New Roman" w:eastAsia="Times New Roman" w:hint="default"/>
        </w:rPr>
        <w:t>80.93%</w:t>
      </w:r>
      <w:r>
        <w:rPr/>
        <w:t>，归属于上市公司股东的扣除非经常损益净利润</w:t>
      </w:r>
      <w:r>
        <w:rPr>
          <w:spacing w:val="-47"/>
        </w:rPr>
        <w:t> </w:t>
      </w:r>
      <w:r>
        <w:rPr>
          <w:rFonts w:ascii="Times New Roman" w:hAnsi="Times New Roman" w:cs="Times New Roman" w:eastAsia="Times New Roman" w:hint="default"/>
        </w:rPr>
        <w:t>12,314.19</w:t>
      </w:r>
      <w:r>
        <w:rPr>
          <w:rFonts w:ascii="Times New Roman" w:hAnsi="Times New Roman" w:cs="Times New Roman" w:eastAsia="Times New Roman" w:hint="default"/>
          <w:spacing w:val="-2"/>
        </w:rPr>
        <w:t> </w:t>
      </w:r>
      <w:r>
        <w:rPr/>
        <w:t>万元，同比增长</w:t>
      </w:r>
      <w:r>
        <w:rPr>
          <w:spacing w:val="-47"/>
        </w:rPr>
        <w:t> </w:t>
      </w:r>
      <w:r>
        <w:rPr>
          <w:rFonts w:ascii="Times New Roman" w:hAnsi="Times New Roman" w:cs="Times New Roman" w:eastAsia="Times New Roman" w:hint="default"/>
        </w:rPr>
        <w:t>54.14%</w:t>
      </w:r>
      <w:r>
        <w:rPr/>
        <w:t>。主要系报告期内，公司净利</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7"/>
        <w:jc w:val="left"/>
      </w:pPr>
      <w:r>
        <w:rPr/>
        <w:t>润下降主要系对李欣应补偿公司的其他应收款约</w:t>
      </w:r>
      <w:r>
        <w:rPr>
          <w:spacing w:val="-55"/>
        </w:rPr>
        <w:t> </w:t>
      </w:r>
      <w:r>
        <w:rPr>
          <w:rFonts w:ascii="Times New Roman" w:hAnsi="Times New Roman" w:cs="Times New Roman" w:eastAsia="Times New Roman" w:hint="default"/>
        </w:rPr>
        <w:t>2.35</w:t>
      </w:r>
      <w:r>
        <w:rPr>
          <w:rFonts w:ascii="Times New Roman" w:hAnsi="Times New Roman" w:cs="Times New Roman" w:eastAsia="Times New Roman" w:hint="default"/>
          <w:spacing w:val="-10"/>
        </w:rPr>
        <w:t> </w:t>
      </w:r>
      <w:r>
        <w:rPr/>
        <w:t>亿元进行了全额坏账计提，扣非净利润增长较大主要系公司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年公</w:t>
      </w:r>
      <w:r>
        <w:rPr>
          <w:spacing w:val="1"/>
        </w:rPr>
        <w:t> </w:t>
      </w:r>
      <w:r>
        <w:rPr/>
        <w:t>司整体经营状况良好，营收和利润都有较好的体现。</w:t>
      </w:r>
    </w:p>
    <w:p>
      <w:pPr>
        <w:pStyle w:val="BodyText"/>
        <w:spacing w:line="240" w:lineRule="auto" w:before="69"/>
        <w:ind w:right="0"/>
        <w:jc w:val="left"/>
      </w:pPr>
      <w:r>
        <w:rPr>
          <w:rFonts w:ascii="Times New Roman" w:hAnsi="Times New Roman" w:cs="Times New Roman" w:eastAsia="Times New Roman" w:hint="default"/>
        </w:rPr>
        <w:t>2</w:t>
      </w:r>
      <w:r>
        <w:rPr/>
        <w:t>、会计政策变更的原因及会计差错更正的情况</w:t>
      </w:r>
    </w:p>
    <w:p>
      <w:pPr>
        <w:pStyle w:val="BodyText"/>
        <w:spacing w:line="307" w:lineRule="auto" w:before="102"/>
        <w:ind w:right="1032"/>
        <w:jc w:val="left"/>
      </w:pPr>
      <w:r>
        <w:rPr>
          <w:spacing w:val="-3"/>
        </w:rPr>
        <w:t>经公司审计委员会在投资专项审计过程中发现，公司在</w:t>
      </w:r>
      <w:r>
        <w:rPr>
          <w:spacing w:val="-40"/>
        </w:rPr>
        <w:t> </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2016</w:t>
      </w:r>
      <w:r>
        <w:rPr>
          <w:spacing w:val="-8"/>
        </w:rPr>
        <w:t>、</w:t>
      </w:r>
      <w:r>
        <w:rPr>
          <w:rFonts w:ascii="Times New Roman" w:hAnsi="Times New Roman" w:cs="Times New Roman" w:eastAsia="Times New Roman" w:hint="default"/>
          <w:spacing w:val="-8"/>
        </w:rPr>
        <w:t>2017</w:t>
      </w:r>
      <w:r>
        <w:rPr>
          <w:rFonts w:ascii="Times New Roman" w:hAnsi="Times New Roman" w:cs="Times New Roman" w:eastAsia="Times New Roman" w:hint="default"/>
          <w:spacing w:val="4"/>
        </w:rPr>
        <w:t> </w:t>
      </w:r>
      <w:r>
        <w:rPr>
          <w:spacing w:val="-3"/>
        </w:rPr>
        <w:t>年度财务报表编制中，针对公司回购注销李欣</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4"/>
        </w:rPr>
        <w:t> </w:t>
      </w:r>
      <w:r>
        <w:rPr/>
        <w:t>年度业绩补偿股份事宜的会计处理列入库存股科目欠妥。经公司与审计机构瑞华会计师事务所（特殊普通合伙）及时沟通， 就公司回购注销李欣</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年度业绩补偿股份事宜的会计处理对公司</w:t>
      </w:r>
      <w:r>
        <w:rPr>
          <w:spacing w:val="-46"/>
        </w:rPr>
        <w:t> </w:t>
      </w:r>
      <w:r>
        <w:rPr>
          <w:rFonts w:ascii="Times New Roman" w:hAnsi="Times New Roman" w:cs="Times New Roman" w:eastAsia="Times New Roman" w:hint="default"/>
          <w:spacing w:val="-6"/>
        </w:rPr>
        <w:t>2015</w:t>
      </w:r>
      <w:r>
        <w:rPr>
          <w:spacing w:val="-6"/>
        </w:rPr>
        <w:t>、</w:t>
      </w:r>
      <w:r>
        <w:rPr>
          <w:rFonts w:ascii="Times New Roman" w:hAnsi="Times New Roman" w:cs="Times New Roman" w:eastAsia="Times New Roman" w:hint="default"/>
          <w:spacing w:val="-6"/>
        </w:rPr>
        <w:t>2016</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
        </w:rPr>
        <w:t> </w:t>
      </w:r>
      <w:r>
        <w:rPr/>
        <w:t>年度财务报表将进行会计差错更正及 追溯调整。</w:t>
      </w:r>
    </w:p>
    <w:p>
      <w:pPr>
        <w:pStyle w:val="BodyText"/>
        <w:spacing w:line="307" w:lineRule="auto" w:before="64"/>
        <w:ind w:right="1032"/>
        <w:jc w:val="left"/>
      </w:pPr>
      <w:r>
        <w:rPr/>
        <w:t>银江股份有限公司</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年根据</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月银江股份有限公司与北京亚太安讯科技股份有限公司大股东李欣签署的现金及发 行股份购买资产协议及之盈利预测补偿协议，因为北京亚太安讯科技股份有限公司未实现承诺业绩，触发了业绩补偿协议， 需要回购其股份，</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年将其应回购的股份</w:t>
      </w:r>
      <w:r>
        <w:rPr>
          <w:spacing w:val="-46"/>
        </w:rPr>
        <w:t> </w:t>
      </w:r>
      <w:r>
        <w:rPr>
          <w:rFonts w:ascii="Times New Roman" w:hAnsi="Times New Roman" w:cs="Times New Roman" w:eastAsia="Times New Roman" w:hint="default"/>
        </w:rPr>
        <w:t>25,240,153 </w:t>
      </w:r>
      <w:r>
        <w:rPr/>
        <w:t>股在会计处理上作为库存股处理，但因为李欣将其持有的银江股份 </w:t>
      </w:r>
      <w:r>
        <w:rPr>
          <w:rFonts w:ascii="Times New Roman" w:hAnsi="Times New Roman" w:cs="Times New Roman" w:eastAsia="Times New Roman" w:hint="default"/>
        </w:rPr>
        <w:t>27,813,840</w:t>
      </w:r>
      <w:r>
        <w:rPr>
          <w:rFonts w:ascii="Times New Roman" w:hAnsi="Times New Roman" w:cs="Times New Roman" w:eastAsia="Times New Roman" w:hint="default"/>
          <w:spacing w:val="11"/>
        </w:rPr>
        <w:t> </w:t>
      </w:r>
      <w:r>
        <w:rPr>
          <w:spacing w:val="-1"/>
        </w:rPr>
        <w:t>股质押给浙江浙商资产管理有限公司，浙江浙商资产管理有限公司向法院申请强制执行李欣的股份，并对李欣所</w:t>
      </w:r>
    </w:p>
    <w:p>
      <w:pPr>
        <w:pStyle w:val="BodyText"/>
        <w:spacing w:line="240" w:lineRule="auto" w:before="8"/>
        <w:ind w:right="0"/>
        <w:jc w:val="left"/>
      </w:pPr>
      <w:r>
        <w:rPr/>
        <w:t>持公司股份进行了司法冻结，造成银江股份有限公司截止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日尚未顺利回购。</w:t>
      </w:r>
    </w:p>
    <w:p>
      <w:pPr>
        <w:pStyle w:val="BodyText"/>
        <w:spacing w:line="240" w:lineRule="auto" w:before="101"/>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年银江股份有限公司将李欣起诉至法院。</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月银江股份有限公司在与李欣的收购纠纷案中收到中华人民共和国</w:t>
      </w:r>
    </w:p>
    <w:p>
      <w:pPr>
        <w:pStyle w:val="BodyText"/>
        <w:spacing w:line="240" w:lineRule="auto" w:before="63"/>
        <w:ind w:right="0"/>
        <w:jc w:val="left"/>
      </w:pPr>
      <w:r>
        <w:rPr/>
        <w:t>最高人民法院（</w:t>
      </w:r>
      <w:r>
        <w:rPr>
          <w:rFonts w:ascii="Times New Roman" w:hAnsi="Times New Roman" w:cs="Times New Roman" w:eastAsia="Times New Roman" w:hint="default"/>
        </w:rPr>
        <w:t>2017</w:t>
      </w:r>
      <w:r>
        <w:rPr/>
        <w:t>）最高法民终</w:t>
      </w:r>
      <w:r>
        <w:rPr>
          <w:spacing w:val="-46"/>
        </w:rPr>
        <w:t> </w:t>
      </w:r>
      <w:r>
        <w:rPr>
          <w:rFonts w:ascii="Times New Roman" w:hAnsi="Times New Roman" w:cs="Times New Roman" w:eastAsia="Times New Roman" w:hint="default"/>
        </w:rPr>
        <w:t>833</w:t>
      </w:r>
      <w:r>
        <w:rPr>
          <w:rFonts w:ascii="Times New Roman" w:hAnsi="Times New Roman" w:cs="Times New Roman" w:eastAsia="Times New Roman" w:hint="default"/>
          <w:spacing w:val="-1"/>
        </w:rPr>
        <w:t> </w:t>
      </w:r>
      <w:r>
        <w:rPr/>
        <w:t>号《民事裁定书》胜诉的终审判决，同时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月银江股份有限公司收到与浙江</w:t>
      </w:r>
    </w:p>
    <w:p>
      <w:pPr>
        <w:pStyle w:val="BodyText"/>
        <w:spacing w:line="300" w:lineRule="auto" w:before="63"/>
        <w:ind w:right="1133"/>
        <w:jc w:val="both"/>
      </w:pPr>
      <w:r>
        <w:rPr/>
        <w:t>浙商证券资产管理有限公司衍生诉讼案件（李欣</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年将其持有的银江股份</w:t>
      </w:r>
      <w:r>
        <w:rPr>
          <w:spacing w:val="-47"/>
        </w:rPr>
        <w:t> </w:t>
      </w:r>
      <w:r>
        <w:rPr>
          <w:rFonts w:ascii="Times New Roman" w:hAnsi="Times New Roman" w:cs="Times New Roman" w:eastAsia="Times New Roman" w:hint="default"/>
        </w:rPr>
        <w:t>27,813,840</w:t>
      </w:r>
      <w:r>
        <w:rPr>
          <w:rFonts w:ascii="Times New Roman" w:hAnsi="Times New Roman" w:cs="Times New Roman" w:eastAsia="Times New Roman" w:hint="default"/>
          <w:spacing w:val="-2"/>
        </w:rPr>
        <w:t> </w:t>
      </w:r>
      <w:r>
        <w:rPr/>
        <w:t>股股票质押给浙江浙商证券资产管 理有限公司，</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年浙商证券资产管理有限公司向杭州市中级人民法院申请强制执行此股份以偿还其借款）执行异议之诉 败诉的终审判决。</w:t>
      </w:r>
    </w:p>
    <w:p>
      <w:pPr>
        <w:pStyle w:val="BodyText"/>
        <w:spacing w:line="319" w:lineRule="auto" w:before="71"/>
        <w:ind w:right="1050"/>
        <w:jc w:val="both"/>
      </w:pPr>
      <w:r>
        <w:rPr>
          <w:spacing w:val="-2"/>
        </w:rPr>
        <w:t>鉴于如上所述，公司未能如期实施回购李欣的股份，作为库存股的会计处理已经不符合公司法等相关法规的定义，虽然公司</w:t>
      </w:r>
      <w:r>
        <w:rPr>
          <w:spacing w:val="-66"/>
        </w:rPr>
        <w:t> </w:t>
      </w:r>
      <w:r>
        <w:rPr>
          <w:spacing w:val="-66"/>
        </w:rPr>
      </w:r>
      <w:r>
        <w:rPr>
          <w:spacing w:val="-2"/>
        </w:rPr>
        <w:t>在收购协议和公告中有约定李欣在股份限售期间未经公司同意不得将其股份予以质押，但事实是已经处于质押、司法冻结状</w:t>
      </w:r>
      <w:r>
        <w:rPr>
          <w:spacing w:val="-64"/>
        </w:rPr>
        <w:t> </w:t>
      </w:r>
      <w:r>
        <w:rPr>
          <w:spacing w:val="-64"/>
        </w:rPr>
      </w:r>
      <w:r>
        <w:rPr>
          <w:spacing w:val="-2"/>
        </w:rPr>
        <w:t>态，已不受公司的控制，且业绩补偿属于非同一控制下企业合并或有对价的安排，在资产负债表上列示为“以公允价值计量</w:t>
      </w:r>
      <w:r>
        <w:rPr>
          <w:spacing w:val="-66"/>
        </w:rPr>
        <w:t> </w:t>
      </w:r>
      <w:r>
        <w:rPr>
          <w:spacing w:val="-66"/>
        </w:rPr>
      </w:r>
      <w:r>
        <w:rPr/>
        <w:t>且其变动计入当期损益的金融资产”更为合理，故判断此前列报为库存股的会计处理构成重大前期差错，应予以更正。</w:t>
      </w:r>
    </w:p>
    <w:p>
      <w:pPr>
        <w:pStyle w:val="BodyText"/>
        <w:spacing w:line="307" w:lineRule="auto" w:before="56"/>
        <w:ind w:right="1032"/>
        <w:jc w:val="left"/>
      </w:pPr>
      <w:r>
        <w:rPr/>
        <w:t>以上事项已经公司第四届董事会第十八次会议及第四届监事会第十四次会议审议通过，独立董事亦发表了同意的独立意见， 公司</w:t>
      </w:r>
      <w:r>
        <w:rPr>
          <w:spacing w:val="-46"/>
        </w:rPr>
        <w:t> </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年度审计机构瑞华会计师事务所（特殊普通合伙）就本次会计差错更正事项出具了《关于银江股份 有限公司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3"/>
        </w:rPr>
        <w:t>年度财务报表更正事项的专项鉴证报告》（瑞华专审字【</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33080006</w:t>
      </w:r>
      <w:r>
        <w:rPr>
          <w:rFonts w:ascii="Times New Roman" w:hAnsi="Times New Roman" w:cs="Times New Roman" w:eastAsia="Times New Roman" w:hint="default"/>
          <w:spacing w:val="2"/>
        </w:rPr>
        <w:t> </w:t>
      </w:r>
      <w:r>
        <w:rPr>
          <w:spacing w:val="-9"/>
        </w:rPr>
        <w:t>号）。该事项亦经公司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年第二</w:t>
      </w:r>
      <w:r>
        <w:rPr>
          <w:spacing w:val="-81"/>
        </w:rPr>
        <w:t> </w:t>
      </w:r>
      <w:r>
        <w:rPr>
          <w:spacing w:val="-81"/>
        </w:rPr>
      </w:r>
      <w:r>
        <w:rPr/>
        <w:t>次临时股东大会审议通过。</w:t>
      </w:r>
    </w:p>
    <w:p>
      <w:pPr>
        <w:pStyle w:val="BodyText"/>
        <w:spacing w:line="240" w:lineRule="auto" w:before="64"/>
        <w:ind w:right="0"/>
        <w:jc w:val="left"/>
      </w:pP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年第三季度报告将李欣应补偿上市公司的其他应收款进行了全额坏账计提，列示于资产减值损失，但该笔坏账损</w:t>
      </w:r>
    </w:p>
    <w:p>
      <w:pPr>
        <w:pStyle w:val="BodyText"/>
        <w:spacing w:line="302" w:lineRule="auto" w:before="63"/>
        <w:ind w:right="1123"/>
        <w:jc w:val="left"/>
      </w:pPr>
      <w:r>
        <w:rPr/>
        <w:t>失性质特殊，并非持续经营所必需又为偶发性，故在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年年度报告中将该笔坏账损失列示于其他符合非经常性损益定义 的损益项目。</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482,188,187.28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599,445,785.96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436,918,985.76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894,724,847.75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53,603,110.69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38,719,415.14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-79,961,409.68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14,082,979.55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52,076,383.77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37,938,566.92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-177,709,967.07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210,836,915.30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-219,383,953.13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-195,393,929.14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-148,887,588.18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576,958,566.81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1"/>
        <w:gridCol w:w="1518"/>
        <w:gridCol w:w="1506"/>
        <w:gridCol w:w="1506"/>
        <w:gridCol w:w="1506"/>
      </w:tblGrid>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5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63,595,878.81</w:t>
            </w:r>
          </w:p>
        </w:tc>
        <w:tc>
          <w:tcPr>
            <w:tcW w:w="1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6,869,974.76</w:t>
            </w:r>
          </w:p>
        </w:tc>
        <w:tc>
          <w:tcPr>
            <w:tcW w:w="1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2,449,729.71</w:t>
            </w:r>
          </w:p>
        </w:tc>
        <w:tc>
          <w:tcPr>
            <w:tcW w:w="150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处置长期及可供产 生的投资收益</w:t>
            </w:r>
          </w:p>
        </w:tc>
      </w:tr>
      <w:tr>
        <w:trPr>
          <w:trHeight w:val="704" w:hRule="exact"/>
        </w:trPr>
        <w:tc>
          <w:tcPr>
            <w:tcW w:w="35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7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 准备的冲销部分）</w:t>
            </w:r>
          </w:p>
        </w:tc>
        <w:tc>
          <w:tcPr>
            <w:tcW w:w="1518" w:type="dxa"/>
            <w:vMerge/>
            <w:tcBorders>
              <w:left w:val="single" w:sz="9" w:space="0" w:color="D2D2D2"/>
              <w:right w:val="single" w:sz="4" w:space="0" w:color="000000"/>
            </w:tcBorders>
          </w:tcPr>
          <w:p>
            <w:pPr/>
          </w:p>
        </w:tc>
        <w:tc>
          <w:tcPr>
            <w:tcW w:w="1506" w:type="dxa"/>
            <w:vMerge/>
            <w:tcBorders>
              <w:left w:val="single" w:sz="4" w:space="0" w:color="000000"/>
              <w:right w:val="single" w:sz="4" w:space="0" w:color="000000"/>
            </w:tcBorders>
          </w:tcPr>
          <w:p>
            <w:pPr/>
          </w:p>
        </w:tc>
        <w:tc>
          <w:tcPr>
            <w:tcW w:w="1506" w:type="dxa"/>
            <w:vMerge/>
            <w:tcBorders>
              <w:left w:val="single" w:sz="4" w:space="0" w:color="000000"/>
              <w:right w:val="single" w:sz="4" w:space="0" w:color="000000"/>
            </w:tcBorders>
          </w:tcPr>
          <w:p>
            <w:pPr/>
          </w:p>
        </w:tc>
        <w:tc>
          <w:tcPr>
            <w:tcW w:w="1506" w:type="dxa"/>
            <w:vMerge/>
            <w:tcBorders>
              <w:left w:val="single" w:sz="4" w:space="0" w:color="000000"/>
              <w:right w:val="single" w:sz="4" w:space="0" w:color="000000"/>
            </w:tcBorders>
          </w:tcPr>
          <w:p>
            <w:pPr/>
          </w:p>
        </w:tc>
      </w:tr>
      <w:tr>
        <w:trPr>
          <w:trHeight w:val="161" w:hRule="exact"/>
        </w:trPr>
        <w:tc>
          <w:tcPr>
            <w:tcW w:w="35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8" w:type="dxa"/>
            <w:vMerge/>
            <w:tcBorders>
              <w:left w:val="single" w:sz="9" w:space="0" w:color="D2D2D2"/>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r>
      <w:tr>
        <w:trPr>
          <w:trHeight w:val="1026"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2,469,345.27</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8,312,009.85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14,451,062.04</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 业务外，持有交易性金融资产、交易性金融 负债产生的公允价值变动损益，以及处置交 易性金融资产、交易性金融负债和可供出售 金融资产取得的投资收益</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51,624,340.00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53,096,708.13</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122,938,994.20</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18" w:type="dxa"/>
            <w:tcBorders>
              <w:top w:val="single" w:sz="4" w:space="0" w:color="000000"/>
              <w:left w:val="single" w:sz="13" w:space="0" w:color="D2D2D2"/>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32,268,967.88</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-227,528.69</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-820,641.60</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1,510,696.36</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5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-233,959,348.05</w:t>
            </w:r>
          </w:p>
        </w:tc>
        <w:tc>
          <w:tcPr>
            <w:tcW w:w="1506" w:type="dxa"/>
            <w:vMerge w:val="restart"/>
            <w:tcBorders>
              <w:top w:val="single" w:sz="4" w:space="0" w:color="000000"/>
              <w:left w:val="single" w:sz="4" w:space="0" w:color="000000"/>
              <w:right w:val="single" w:sz="4" w:space="0" w:color="000000"/>
            </w:tcBorders>
          </w:tcPr>
          <w:p>
            <w:pPr/>
          </w:p>
        </w:tc>
        <w:tc>
          <w:tcPr>
            <w:tcW w:w="1506" w:type="dxa"/>
            <w:vMerge w:val="restart"/>
            <w:tcBorders>
              <w:top w:val="single" w:sz="4" w:space="0" w:color="000000"/>
              <w:left w:val="single" w:sz="4" w:space="0" w:color="000000"/>
              <w:right w:val="single" w:sz="4" w:space="0" w:color="000000"/>
            </w:tcBorders>
          </w:tcPr>
          <w:p>
            <w:pPr/>
          </w:p>
        </w:tc>
        <w:tc>
          <w:tcPr>
            <w:tcW w:w="150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主要是计提李欣坏 账导致</w:t>
            </w:r>
          </w:p>
        </w:tc>
      </w:tr>
      <w:tr>
        <w:trPr>
          <w:trHeight w:val="392" w:hRule="exact"/>
        </w:trPr>
        <w:tc>
          <w:tcPr>
            <w:tcW w:w="35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8" w:type="dxa"/>
            <w:vMerge/>
            <w:tcBorders>
              <w:left w:val="single" w:sz="9" w:space="0" w:color="D2D2D2"/>
              <w:right w:val="single" w:sz="4" w:space="0" w:color="000000"/>
            </w:tcBorders>
          </w:tcPr>
          <w:p>
            <w:pPr/>
          </w:p>
        </w:tc>
        <w:tc>
          <w:tcPr>
            <w:tcW w:w="1506" w:type="dxa"/>
            <w:vMerge/>
            <w:tcBorders>
              <w:left w:val="single" w:sz="4" w:space="0" w:color="000000"/>
              <w:right w:val="single" w:sz="4" w:space="0" w:color="000000"/>
            </w:tcBorders>
          </w:tcPr>
          <w:p>
            <w:pPr/>
          </w:p>
        </w:tc>
        <w:tc>
          <w:tcPr>
            <w:tcW w:w="1506" w:type="dxa"/>
            <w:vMerge/>
            <w:tcBorders>
              <w:left w:val="single" w:sz="4" w:space="0" w:color="000000"/>
              <w:right w:val="single" w:sz="4" w:space="0" w:color="000000"/>
            </w:tcBorders>
          </w:tcPr>
          <w:p>
            <w:pPr/>
          </w:p>
        </w:tc>
        <w:tc>
          <w:tcPr>
            <w:tcW w:w="1506" w:type="dxa"/>
            <w:vMerge/>
            <w:tcBorders>
              <w:left w:val="single" w:sz="4" w:space="0" w:color="000000"/>
              <w:right w:val="single" w:sz="4" w:space="0" w:color="000000"/>
            </w:tcBorders>
          </w:tcPr>
          <w:p>
            <w:pPr/>
          </w:p>
        </w:tc>
      </w:tr>
      <w:tr>
        <w:trPr>
          <w:trHeight w:val="161" w:hRule="exact"/>
        </w:trPr>
        <w:tc>
          <w:tcPr>
            <w:tcW w:w="35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8" w:type="dxa"/>
            <w:vMerge/>
            <w:tcBorders>
              <w:left w:val="single" w:sz="9" w:space="0" w:color="D2D2D2"/>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-19,796,111.71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8,681,640.22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25,260,817.49</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-3,397.73</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11,326.54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264,679.39</w:t>
            </w:r>
          </w:p>
        </w:tc>
        <w:tc>
          <w:tcPr>
            <w:tcW w:w="1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-96,697,803.22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58,765,084.38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148,093,953.31</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4" w:lineRule="auto" w:before="25"/>
        <w:ind w:right="1032"/>
        <w:jc w:val="left"/>
      </w:pPr>
      <w:r>
        <w:rPr>
          <w:spacing w:val="-2"/>
        </w:rPr>
        <w:t>报告期内，公司主营业务没有发生重大变化。公司作为城市大脑运营服务商，专注于通过物联网、大数据、云计算、人工智</w:t>
      </w:r>
      <w:r>
        <w:rPr>
          <w:spacing w:val="-68"/>
        </w:rPr>
        <w:t> </w:t>
      </w:r>
      <w:r>
        <w:rPr>
          <w:spacing w:val="-68"/>
        </w:rPr>
      </w:r>
      <w:r>
        <w:rPr>
          <w:spacing w:val="-2"/>
        </w:rPr>
        <w:t>能等技术的行业应用，为城市管理和民生服务打造跨领域、跨区域的城市大脑数据资源交换和共享平台，推动城市文明发展</w:t>
      </w:r>
      <w:r>
        <w:rPr>
          <w:spacing w:val="-66"/>
        </w:rPr>
        <w:t> </w:t>
      </w:r>
      <w:r>
        <w:rPr>
          <w:spacing w:val="-66"/>
        </w:rPr>
      </w:r>
      <w:r>
        <w:rPr/>
        <w:t>的新浪潮。公司聚焦智慧交通、智慧健康等行业，通过在全国各地设立区域服务公司构建了覆盖全国的完整市场营销网络， </w:t>
      </w:r>
      <w:r>
        <w:rPr>
          <w:spacing w:val="-2"/>
        </w:rPr>
        <w:t>通过</w:t>
      </w:r>
      <w:r>
        <w:rPr>
          <w:rFonts w:ascii="Times New Roman" w:hAnsi="Times New Roman" w:cs="Times New Roman" w:eastAsia="Times New Roman" w:hint="default"/>
          <w:spacing w:val="-2"/>
        </w:rPr>
        <w:t>“</w:t>
      </w:r>
      <w:r>
        <w:rPr>
          <w:spacing w:val="-2"/>
        </w:rPr>
        <w:t>系统建设、软件交付、运营服务</w:t>
      </w:r>
      <w:r>
        <w:rPr>
          <w:rFonts w:ascii="Times New Roman" w:hAnsi="Times New Roman" w:cs="Times New Roman" w:eastAsia="Times New Roman" w:hint="default"/>
          <w:spacing w:val="-2"/>
        </w:rPr>
        <w:t>”</w:t>
      </w:r>
      <w:r>
        <w:rPr>
          <w:spacing w:val="-2"/>
        </w:rPr>
        <w:t>落实三位一体的企业发展战略和经营策略，通过市场平台和产业资本的深度融合构建</w:t>
      </w:r>
      <w:r>
        <w:rPr>
          <w:spacing w:val="-43"/>
        </w:rPr>
        <w:t> </w:t>
      </w:r>
      <w:r>
        <w:rPr>
          <w:spacing w:val="-43"/>
        </w:rPr>
      </w:r>
      <w:r>
        <w:rPr>
          <w:spacing w:val="-2"/>
        </w:rPr>
        <w:t>全产业链的开放生态系统。公司以城市大脑为推进主体，深耕交通大脑和健康大脑的行业应用，率先开拓司法大脑的行业创</w:t>
      </w:r>
      <w:r>
        <w:rPr>
          <w:spacing w:val="-66"/>
        </w:rPr>
        <w:t> </w:t>
      </w:r>
      <w:r>
        <w:rPr>
          <w:spacing w:val="-66"/>
        </w:rPr>
      </w:r>
      <w:r>
        <w:rPr>
          <w:spacing w:val="-2"/>
        </w:rPr>
        <w:t>新应用，通过线上与线下相结合做全行业应用做深行业技术，通过系统建设、软件服务、运营服务业务同步发展实现公司主</w:t>
      </w:r>
      <w:r>
        <w:rPr>
          <w:spacing w:val="-66"/>
        </w:rPr>
        <w:t> </w:t>
      </w:r>
      <w:r>
        <w:rPr>
          <w:spacing w:val="-66"/>
        </w:rPr>
      </w:r>
      <w:r>
        <w:rPr/>
        <w:t>营业务的新发展。 报告期内公司所属行业的发展阶段、周期性特点以及公司所处行业的地位，请详见第四节</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 司未来发展的展望</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增资杭州银江智慧产业创业投资合伙企业（有限合伙）</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购买中国智谷富春园区办公楼</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6"/>
        <w:ind w:right="0"/>
        <w:jc w:val="both"/>
      </w:pPr>
      <w:r>
        <w:rPr/>
        <w:t>报告期内，公司核心竞争能力未发生重大变化。</w:t>
      </w:r>
    </w:p>
    <w:p>
      <w:pPr>
        <w:pStyle w:val="BodyText"/>
        <w:spacing w:line="314" w:lineRule="auto" w:before="115"/>
        <w:ind w:right="1131"/>
        <w:jc w:val="both"/>
      </w:pPr>
      <w:r>
        <w:rPr>
          <w:spacing w:val="-2"/>
        </w:rPr>
        <w:t>（一）公司作为城市大脑运营服务商，是中国软件和信息技术服务综合竞争力百强企业、中国软件业务收入前百家企业、浙</w:t>
      </w:r>
      <w:r>
        <w:rPr>
          <w:spacing w:val="-66"/>
        </w:rPr>
        <w:t> </w:t>
      </w:r>
      <w:r>
        <w:rPr>
          <w:spacing w:val="-66"/>
        </w:rPr>
      </w:r>
      <w:r>
        <w:rPr/>
        <w:t>江省软件业</w:t>
      </w:r>
      <w:r>
        <w:rPr>
          <w:rFonts w:ascii="Times New Roman" w:hAnsi="Times New Roman" w:cs="Times New Roman" w:eastAsia="Times New Roman" w:hint="default"/>
        </w:rPr>
        <w:t>20</w:t>
      </w:r>
      <w:r>
        <w:rPr/>
        <w:t>家重点企业</w:t>
      </w:r>
      <w:r>
        <w:rPr>
          <w:spacing w:val="-19"/>
        </w:rPr>
        <w:t> </w:t>
      </w:r>
      <w:r>
        <w:rPr/>
        <w:t>、中国智能交通协会科学技术一等奖、中国智慧城市产业联盟副理事长单位。报告期内，公司未</w:t>
      </w:r>
      <w:r>
        <w:rPr/>
        <w:t> </w:t>
      </w:r>
      <w:r>
        <w:rPr>
          <w:spacing w:val="-2"/>
        </w:rPr>
        <w:t>发生因核心技术人员离职、特许经营权丧失等严重影响公司核心竞争能力的情况，公司的核心竞争力没有发生不利变化。公</w:t>
      </w:r>
      <w:r>
        <w:rPr>
          <w:spacing w:val="-66"/>
        </w:rPr>
        <w:t> </w:t>
      </w:r>
      <w:r>
        <w:rPr>
          <w:spacing w:val="-66"/>
        </w:rPr>
      </w:r>
      <w:r>
        <w:rPr>
          <w:spacing w:val="-2"/>
        </w:rPr>
        <w:t>司的竞争优势来自于公司成立至今始终坚持的技术创新战略及当前的平台战略、总包战略、生态战略、数据战略，经过多年</w:t>
      </w:r>
      <w:r>
        <w:rPr>
          <w:spacing w:val="-66"/>
        </w:rPr>
        <w:t> </w:t>
      </w:r>
      <w:r>
        <w:rPr>
          <w:spacing w:val="-66"/>
        </w:rPr>
      </w:r>
      <w:r>
        <w:rPr/>
        <w:t>的积累，公司构建了较强的核心竞争能力。</w:t>
      </w:r>
    </w:p>
    <w:p>
      <w:pPr>
        <w:pStyle w:val="BodyText"/>
        <w:spacing w:line="240" w:lineRule="auto" w:before="20"/>
        <w:ind w:right="0"/>
        <w:jc w:val="both"/>
      </w:pPr>
      <w:r>
        <w:rPr/>
        <w:t>（二）公司主要资产情况</w:t>
      </w:r>
    </w:p>
    <w:p>
      <w:pPr>
        <w:pStyle w:val="BodyText"/>
        <w:spacing w:line="240" w:lineRule="auto" w:before="76"/>
        <w:ind w:right="0"/>
        <w:jc w:val="both"/>
      </w:pPr>
      <w:r>
        <w:rPr>
          <w:rFonts w:ascii="Times New Roman" w:hAnsi="Times New Roman" w:cs="Times New Roman" w:eastAsia="Times New Roman" w:hint="default"/>
        </w:rPr>
        <w:t>1</w:t>
      </w:r>
      <w:r>
        <w:rPr/>
        <w:t>、固定资产情况</w:t>
      </w:r>
    </w:p>
    <w:p>
      <w:pPr>
        <w:spacing w:after="0" w:line="240" w:lineRule="auto"/>
        <w:jc w:val="both"/>
        <w:sectPr>
          <w:pgSz w:w="11910" w:h="16840"/>
          <w:pgMar w:header="747" w:footer="979" w:top="1060" w:bottom="1160" w:left="980" w:right="0"/>
        </w:sectPr>
      </w:pPr>
    </w:p>
    <w:p>
      <w:pPr>
        <w:spacing w:line="240" w:lineRule="auto" w:before="11"/>
        <w:rPr>
          <w:rFonts w:ascii="宋体" w:hAnsi="宋体" w:cs="宋体" w:eastAsia="宋体" w:hint="default"/>
          <w:sz w:val="29"/>
          <w:szCs w:val="29"/>
        </w:rPr>
      </w:pPr>
      <w:r>
        <w:rPr/>
        <w:pict>
          <v:shape style="position:absolute;margin-left:271.25pt;margin-top:74.519981pt;width:82.65pt;height:15.6pt;mso-position-horizontal-relative:page;mso-position-vertical-relative:page;z-index:-115715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shape style="position:absolute;margin-left:349.209991pt;margin-top:74.519981pt;width:47.25pt;height:15.6pt;mso-position-horizontal-relative:page;mso-position-vertical-relative:page;z-index:-115712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p>
    <w:tbl>
      <w:tblPr>
        <w:tblW w:w="0" w:type="auto"/>
        <w:jc w:val="left"/>
        <w:tblInd w:w="145" w:type="dxa"/>
        <w:tblLayout w:type="fixed"/>
        <w:tblCellMar>
          <w:top w:w="0" w:type="dxa"/>
          <w:left w:w="0" w:type="dxa"/>
          <w:bottom w:w="0" w:type="dxa"/>
          <w:right w:w="0" w:type="dxa"/>
        </w:tblCellMar>
        <w:tblLook w:val="01E0"/>
      </w:tblPr>
      <w:tblGrid>
        <w:gridCol w:w="2837"/>
        <w:gridCol w:w="1559"/>
        <w:gridCol w:w="1559"/>
        <w:gridCol w:w="851"/>
        <w:gridCol w:w="993"/>
        <w:gridCol w:w="991"/>
        <w:gridCol w:w="852"/>
      </w:tblGrid>
      <w:tr>
        <w:trPr>
          <w:trHeight w:val="380"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93"/>
              <w:jc w:val="center"/>
              <w:rPr>
                <w:rFonts w:ascii="宋体" w:hAnsi="宋体" w:cs="宋体" w:eastAsia="宋体" w:hint="default"/>
                <w:sz w:val="18"/>
                <w:szCs w:val="18"/>
              </w:rPr>
            </w:pPr>
            <w:r>
              <w:rPr>
                <w:rFonts w:ascii="宋体" w:hAnsi="宋体" w:cs="宋体" w:eastAsia="宋体" w:hint="default"/>
                <w:b/>
                <w:bCs/>
                <w:sz w:val="18"/>
                <w:szCs w:val="18"/>
              </w:rPr>
              <w:t>宗地面积（平方米</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93"/>
              <w:jc w:val="center"/>
              <w:rPr>
                <w:rFonts w:ascii="宋体" w:hAnsi="宋体" w:cs="宋体" w:eastAsia="宋体" w:hint="default"/>
                <w:sz w:val="18"/>
                <w:szCs w:val="18"/>
              </w:rPr>
            </w:pPr>
            <w:r>
              <w:rPr>
                <w:rFonts w:ascii="宋体" w:hAnsi="宋体" w:cs="宋体" w:eastAsia="宋体" w:hint="default"/>
                <w:b/>
                <w:bCs/>
                <w:sz w:val="18"/>
                <w:szCs w:val="18"/>
              </w:rPr>
              <w:t>房屋面积（平方米</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56" w:right="0"/>
              <w:jc w:val="left"/>
              <w:rPr>
                <w:rFonts w:ascii="宋体" w:hAnsi="宋体" w:cs="宋体" w:eastAsia="宋体" w:hint="default"/>
                <w:sz w:val="18"/>
                <w:szCs w:val="18"/>
              </w:rPr>
            </w:pPr>
            <w:r>
              <w:rPr>
                <w:rFonts w:ascii="宋体" w:hAnsi="宋体" w:cs="宋体" w:eastAsia="宋体" w:hint="default"/>
                <w:b/>
                <w:bCs/>
                <w:sz w:val="18"/>
                <w:szCs w:val="18"/>
              </w:rPr>
              <w:t>土地用途</w:t>
            </w:r>
            <w:r>
              <w:rPr>
                <w:rFonts w:ascii="宋体" w:hAnsi="宋体" w:cs="宋体" w:eastAsia="宋体" w:hint="default"/>
                <w:sz w:val="18"/>
                <w:szCs w:val="18"/>
              </w:rPr>
            </w:r>
          </w:p>
        </w:tc>
        <w:tc>
          <w:tcPr>
            <w:tcW w:w="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终止日期</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127"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抵押情况</w:t>
            </w:r>
            <w:r>
              <w:rPr>
                <w:rFonts w:ascii="宋体" w:hAnsi="宋体" w:cs="宋体" w:eastAsia="宋体" w:hint="default"/>
                <w:sz w:val="18"/>
                <w:szCs w:val="18"/>
              </w:rPr>
            </w:r>
          </w:p>
        </w:tc>
      </w:tr>
      <w:tr>
        <w:trPr>
          <w:trHeight w:val="347" w:hRule="exact"/>
        </w:trPr>
        <w:tc>
          <w:tcPr>
            <w:tcW w:w="28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沪房地徐字（</w:t>
            </w:r>
            <w:r>
              <w:rPr>
                <w:rFonts w:ascii="宋体" w:hAnsi="宋体" w:cs="宋体" w:eastAsia="宋体" w:hint="default"/>
                <w:sz w:val="18"/>
                <w:szCs w:val="18"/>
              </w:rPr>
              <w:t>2013</w:t>
            </w:r>
            <w:r>
              <w:rPr>
                <w:rFonts w:ascii="宋体" w:hAnsi="宋体" w:cs="宋体" w:eastAsia="宋体" w:hint="default"/>
                <w:sz w:val="18"/>
                <w:szCs w:val="18"/>
              </w:rPr>
              <w:t>）第 </w:t>
            </w:r>
            <w:r>
              <w:rPr>
                <w:rFonts w:ascii="宋体" w:hAnsi="宋体" w:cs="宋体" w:eastAsia="宋体" w:hint="default"/>
                <w:sz w:val="18"/>
                <w:szCs w:val="18"/>
              </w:rPr>
              <w:t>020932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33902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274.35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2059.9.8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 </w:t>
            </w:r>
            <w:r>
              <w:rPr>
                <w:rFonts w:ascii="宋体" w:hAnsi="宋体" w:cs="宋体" w:eastAsia="宋体" w:hint="default"/>
                <w:sz w:val="18"/>
                <w:szCs w:val="18"/>
              </w:rPr>
              <w:t>0920033518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124.97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2043.5.22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 </w:t>
            </w:r>
            <w:r>
              <w:rPr>
                <w:rFonts w:ascii="宋体" w:hAnsi="宋体" w:cs="宋体" w:eastAsia="宋体" w:hint="default"/>
                <w:sz w:val="18"/>
                <w:szCs w:val="18"/>
              </w:rPr>
              <w:t>0920033514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2043.5.22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 </w:t>
            </w:r>
            <w:r>
              <w:rPr>
                <w:rFonts w:ascii="宋体" w:hAnsi="宋体" w:cs="宋体" w:eastAsia="宋体" w:hint="default"/>
                <w:sz w:val="18"/>
                <w:szCs w:val="18"/>
              </w:rPr>
              <w:t>0920033520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2043.5.22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 </w:t>
            </w:r>
            <w:r>
              <w:rPr>
                <w:rFonts w:ascii="宋体" w:hAnsi="宋体" w:cs="宋体" w:eastAsia="宋体" w:hint="default"/>
                <w:sz w:val="18"/>
                <w:szCs w:val="18"/>
              </w:rPr>
              <w:t>0920033780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124.97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2043.5.22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3052.73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8238.27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4704.67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4704.67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4704.67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8017.98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100075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22159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5078.55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2053.12.22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宋体" w:hAnsi="宋体" w:cs="宋体" w:eastAsia="宋体" w:hint="default"/>
                <w:sz w:val="18"/>
                <w:szCs w:val="18"/>
              </w:rPr>
              <w:t>2012</w:t>
            </w:r>
            <w:r>
              <w:rPr>
                <w:rFonts w:ascii="宋体" w:hAnsi="宋体" w:cs="宋体" w:eastAsia="宋体" w:hint="default"/>
                <w:sz w:val="18"/>
                <w:szCs w:val="18"/>
              </w:rPr>
              <w:t>）第 </w:t>
            </w:r>
            <w:r>
              <w:rPr>
                <w:rFonts w:ascii="宋体" w:hAnsi="宋体" w:cs="宋体" w:eastAsia="宋体" w:hint="default"/>
                <w:sz w:val="18"/>
                <w:szCs w:val="18"/>
              </w:rPr>
              <w:t>100069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61.12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61.12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工业用地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36"/>
              <w:jc w:val="left"/>
              <w:rPr>
                <w:rFonts w:ascii="宋体" w:hAnsi="宋体" w:cs="宋体" w:eastAsia="宋体" w:hint="default"/>
                <w:sz w:val="18"/>
                <w:szCs w:val="18"/>
              </w:rPr>
            </w:pPr>
            <w:r>
              <w:rPr>
                <w:rFonts w:ascii="宋体" w:hAnsi="宋体" w:cs="宋体" w:eastAsia="宋体" w:hint="default"/>
                <w:sz w:val="18"/>
                <w:szCs w:val="18"/>
              </w:rPr>
              <w:t>杭州银江电 子有限公司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西高科技国用（</w:t>
            </w:r>
            <w:r>
              <w:rPr>
                <w:rFonts w:ascii="宋体" w:hAnsi="宋体" w:cs="宋体" w:eastAsia="宋体" w:hint="default"/>
                <w:sz w:val="18"/>
                <w:szCs w:val="18"/>
              </w:rPr>
              <w:t>2013</w:t>
            </w:r>
            <w:r>
              <w:rPr>
                <w:rFonts w:ascii="宋体" w:hAnsi="宋体" w:cs="宋体" w:eastAsia="宋体" w:hint="default"/>
                <w:sz w:val="18"/>
                <w:szCs w:val="18"/>
              </w:rPr>
              <w:t>）第</w:t>
            </w:r>
            <w:r>
              <w:rPr>
                <w:rFonts w:ascii="宋体" w:hAnsi="宋体" w:cs="宋体" w:eastAsia="宋体" w:hint="default"/>
                <w:sz w:val="18"/>
                <w:szCs w:val="18"/>
              </w:rPr>
              <w:t>39430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13657.67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630.46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办公用地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2052.7.25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right="0"/>
        <w:jc w:val="left"/>
      </w:pPr>
      <w:r>
        <w:rPr>
          <w:rFonts w:ascii="Times New Roman" w:hAnsi="Times New Roman" w:cs="Times New Roman" w:eastAsia="Times New Roman" w:hint="default"/>
        </w:rPr>
        <w:t>2</w:t>
      </w:r>
      <w:r>
        <w:rPr/>
        <w:t>、无形资产情况</w:t>
      </w:r>
    </w:p>
    <w:p>
      <w:pPr>
        <w:pStyle w:val="BodyText"/>
        <w:spacing w:line="240" w:lineRule="auto" w:before="63"/>
        <w:ind w:right="0"/>
        <w:jc w:val="left"/>
      </w:pPr>
      <w:r>
        <w:rPr/>
        <w:t>（</w:t>
      </w:r>
      <w:r>
        <w:rPr>
          <w:rFonts w:ascii="宋体" w:hAnsi="宋体" w:cs="宋体" w:eastAsia="宋体" w:hint="default"/>
        </w:rPr>
        <w:t>1</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日，公司共有</w:t>
      </w:r>
      <w:r>
        <w:rPr>
          <w:rFonts w:ascii="宋体" w:hAnsi="宋体" w:cs="宋体" w:eastAsia="宋体" w:hint="default"/>
        </w:rPr>
        <w:t>60</w:t>
      </w:r>
      <w:r>
        <w:rPr/>
        <w:t>项注册商标，与上一年度相比未发生变化。</w:t>
      </w:r>
    </w:p>
    <w:p>
      <w:pPr>
        <w:pStyle w:val="BodyText"/>
        <w:spacing w:line="240" w:lineRule="auto" w:before="76"/>
        <w:ind w:right="0"/>
        <w:jc w:val="left"/>
      </w:pPr>
      <w:r>
        <w:rPr/>
        <w:t>（</w:t>
      </w:r>
      <w:r>
        <w:rPr>
          <w:rFonts w:ascii="宋体" w:hAnsi="宋体" w:cs="宋体" w:eastAsia="宋体" w:hint="default"/>
        </w:rPr>
        <w:t>2</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日，公司共拥有</w:t>
      </w:r>
      <w:r>
        <w:rPr>
          <w:rFonts w:ascii="宋体" w:hAnsi="宋体" w:cs="宋体" w:eastAsia="宋体" w:hint="default"/>
        </w:rPr>
        <w:t>81</w:t>
      </w:r>
      <w:r>
        <w:rPr/>
        <w:t>项资质证书，其中</w:t>
      </w:r>
      <w:r>
        <w:rPr>
          <w:rFonts w:ascii="宋体" w:hAnsi="宋体" w:cs="宋体" w:eastAsia="宋体" w:hint="default"/>
        </w:rPr>
        <w:t>2018</w:t>
      </w:r>
      <w:r>
        <w:rPr/>
        <w:t>年度新增了</w:t>
      </w:r>
      <w:r>
        <w:rPr>
          <w:rFonts w:ascii="宋体" w:hAnsi="宋体" w:cs="宋体" w:eastAsia="宋体" w:hint="default"/>
        </w:rPr>
        <w:t>4</w:t>
      </w:r>
      <w:r>
        <w:rPr/>
        <w:t>项。</w:t>
      </w:r>
    </w:p>
    <w:p>
      <w:pPr>
        <w:pStyle w:val="BodyText"/>
        <w:spacing w:line="319" w:lineRule="auto" w:before="76"/>
        <w:ind w:right="0"/>
        <w:jc w:val="left"/>
      </w:pPr>
      <w:r>
        <w:rPr>
          <w:spacing w:val="-2"/>
        </w:rPr>
        <w:t>（</w:t>
      </w:r>
      <w:r>
        <w:rPr>
          <w:rFonts w:ascii="宋体" w:hAnsi="宋体" w:cs="宋体" w:eastAsia="宋体" w:hint="default"/>
          <w:spacing w:val="-2"/>
        </w:rPr>
        <w:t>3</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日，本公司共获得</w:t>
      </w:r>
      <w:r>
        <w:rPr>
          <w:rFonts w:ascii="宋体" w:hAnsi="宋体" w:cs="宋体" w:eastAsia="宋体" w:hint="default"/>
          <w:spacing w:val="-2"/>
        </w:rPr>
        <w:t>164</w:t>
      </w:r>
      <w:r>
        <w:rPr>
          <w:spacing w:val="-2"/>
        </w:rPr>
        <w:t>项专利，其中</w:t>
      </w:r>
      <w:r>
        <w:rPr>
          <w:rFonts w:ascii="宋体" w:hAnsi="宋体" w:cs="宋体" w:eastAsia="宋体" w:hint="default"/>
          <w:spacing w:val="-2"/>
        </w:rPr>
        <w:t>2018</w:t>
      </w:r>
      <w:r>
        <w:rPr>
          <w:spacing w:val="-2"/>
        </w:rPr>
        <w:t>年年度新增授权专利</w:t>
      </w:r>
      <w:r>
        <w:rPr>
          <w:rFonts w:ascii="宋体" w:hAnsi="宋体" w:cs="宋体" w:eastAsia="宋体" w:hint="default"/>
          <w:spacing w:val="-2"/>
        </w:rPr>
        <w:t>19</w:t>
      </w:r>
      <w:r>
        <w:rPr>
          <w:spacing w:val="-2"/>
        </w:rPr>
        <w:t>项。正在申请注册的专利有</w:t>
      </w:r>
      <w:r>
        <w:rPr>
          <w:rFonts w:ascii="宋体" w:hAnsi="宋体" w:cs="宋体" w:eastAsia="宋体" w:hint="default"/>
          <w:spacing w:val="-2"/>
        </w:rPr>
        <w:t>72</w:t>
      </w:r>
      <w:r>
        <w:rPr>
          <w:spacing w:val="-2"/>
        </w:rPr>
        <w:t>项（国</w:t>
      </w:r>
      <w:r>
        <w:rPr>
          <w:spacing w:val="-47"/>
        </w:rPr>
        <w:t> </w:t>
      </w:r>
      <w:r>
        <w:rPr>
          <w:spacing w:val="-47"/>
        </w:rPr>
      </w:r>
      <w:r>
        <w:rPr/>
        <w:t>家知识产权局已公开</w:t>
      </w:r>
      <w:r>
        <w:rPr>
          <w:rFonts w:ascii="宋体" w:hAnsi="宋体" w:cs="宋体" w:eastAsia="宋体" w:hint="default"/>
        </w:rPr>
        <w:t>52</w:t>
      </w:r>
      <w:r>
        <w:rPr/>
        <w:t>项）。</w:t>
      </w:r>
      <w:r>
        <w:rPr>
          <w:rFonts w:ascii="宋体" w:hAnsi="宋体" w:cs="宋体" w:eastAsia="宋体" w:hint="default"/>
        </w:rPr>
        <w:t>2018</w:t>
      </w:r>
      <w:r>
        <w:rPr/>
        <w:t>年年度新申请专利</w:t>
      </w:r>
      <w:r>
        <w:rPr>
          <w:rFonts w:ascii="宋体" w:hAnsi="宋体" w:cs="宋体" w:eastAsia="宋体" w:hint="default"/>
        </w:rPr>
        <w:t>27</w:t>
      </w:r>
      <w:r>
        <w:rPr/>
        <w:t>项。</w:t>
      </w:r>
    </w:p>
    <w:p>
      <w:pPr>
        <w:pStyle w:val="BodyText"/>
        <w:spacing w:line="240" w:lineRule="auto" w:before="17"/>
        <w:ind w:right="0"/>
        <w:jc w:val="left"/>
      </w:pPr>
      <w:r>
        <w:rPr/>
        <w:t>（</w:t>
      </w:r>
      <w:r>
        <w:rPr>
          <w:rFonts w:ascii="宋体" w:hAnsi="宋体" w:cs="宋体" w:eastAsia="宋体" w:hint="default"/>
        </w:rPr>
        <w:t>4</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日，公司及下属全资子公司共有</w:t>
      </w:r>
      <w:r>
        <w:rPr>
          <w:rFonts w:ascii="宋体" w:hAnsi="宋体" w:cs="宋体" w:eastAsia="宋体" w:hint="default"/>
        </w:rPr>
        <w:t>86</w:t>
      </w:r>
      <w:r>
        <w:rPr/>
        <w:t>项软件产品，</w:t>
      </w:r>
      <w:r>
        <w:rPr>
          <w:rFonts w:ascii="宋体" w:hAnsi="宋体" w:cs="宋体" w:eastAsia="宋体" w:hint="default"/>
        </w:rPr>
        <w:t>2018</w:t>
      </w:r>
      <w:r>
        <w:rPr/>
        <w:t>年度新增</w:t>
      </w:r>
      <w:r>
        <w:rPr>
          <w:rFonts w:ascii="宋体" w:hAnsi="宋体" w:cs="宋体" w:eastAsia="宋体" w:hint="default"/>
        </w:rPr>
        <w:t>3</w:t>
      </w:r>
      <w:r>
        <w:rPr/>
        <w:t>项。</w:t>
      </w:r>
    </w:p>
    <w:p>
      <w:pPr>
        <w:pStyle w:val="BodyText"/>
        <w:spacing w:line="240" w:lineRule="auto" w:before="76"/>
        <w:ind w:right="0"/>
        <w:jc w:val="left"/>
      </w:pPr>
      <w:r>
        <w:rPr/>
        <w:t>（</w:t>
      </w:r>
      <w:r>
        <w:rPr>
          <w:rFonts w:ascii="宋体" w:hAnsi="宋体" w:cs="宋体" w:eastAsia="宋体" w:hint="default"/>
        </w:rPr>
        <w:t>5</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日，公司及下属全资子公司共有</w:t>
      </w:r>
      <w:r>
        <w:rPr>
          <w:rFonts w:ascii="宋体" w:hAnsi="宋体" w:cs="宋体" w:eastAsia="宋体" w:hint="default"/>
        </w:rPr>
        <w:t>761</w:t>
      </w:r>
      <w:r>
        <w:rPr/>
        <w:t>项著作权，其中</w:t>
      </w:r>
      <w:r>
        <w:rPr>
          <w:rFonts w:ascii="宋体" w:hAnsi="宋体" w:cs="宋体" w:eastAsia="宋体" w:hint="default"/>
        </w:rPr>
        <w:t>2018</w:t>
      </w:r>
      <w:r>
        <w:rPr/>
        <w:t>年度新增了</w:t>
      </w:r>
      <w:r>
        <w:rPr>
          <w:rFonts w:ascii="宋体" w:hAnsi="宋体" w:cs="宋体" w:eastAsia="宋体" w:hint="default"/>
        </w:rPr>
        <w:t>71</w:t>
      </w:r>
      <w:r>
        <w:rPr/>
        <w:t>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rFonts w:ascii="宋体" w:hAnsi="宋体" w:cs="宋体" w:eastAsia="宋体" w:hint="default"/>
          <w:spacing w:val="-2"/>
        </w:rPr>
        <w:t>2018</w:t>
      </w:r>
      <w:r>
        <w:rPr>
          <w:spacing w:val="-2"/>
        </w:rPr>
        <w:t>年，面对错综复杂的国内外形势和严峻的市场环境，公司经营管理层在公司董事会的领导下审时度势，结合行业发展趋</w:t>
      </w:r>
      <w:r>
        <w:rPr>
          <w:spacing w:val="-62"/>
        </w:rPr>
        <w:t> </w:t>
      </w:r>
      <w:r>
        <w:rPr>
          <w:spacing w:val="-62"/>
        </w:rPr>
      </w:r>
      <w:r>
        <w:rPr>
          <w:spacing w:val="-4"/>
        </w:rPr>
        <w:t>势和产业发展需求，紧紧围绕公司年度经营目标；以“城市大脑运营服务商”为核心战略经营理念，积极推进“区域、领域、</w:t>
      </w:r>
      <w:r>
        <w:rPr>
          <w:spacing w:val="-45"/>
        </w:rPr>
        <w:t> </w:t>
      </w:r>
      <w:r>
        <w:rPr>
          <w:spacing w:val="-45"/>
        </w:rPr>
      </w:r>
      <w:r>
        <w:rPr/>
        <w:t>战略”三位一体协同发展；公司通过做大业务体量加快技术创新，通过不断创新增强核心竞争力。 报告期内，公司实现营业收入</w:t>
      </w:r>
      <w:r>
        <w:rPr>
          <w:rFonts w:ascii="宋体" w:hAnsi="宋体" w:cs="宋体" w:eastAsia="宋体" w:hint="default"/>
        </w:rPr>
        <w:t>241,327.78</w:t>
      </w:r>
      <w:r>
        <w:rPr/>
        <w:t>万元，同比增长</w:t>
      </w:r>
      <w:r>
        <w:rPr>
          <w:rFonts w:ascii="宋体" w:hAnsi="宋体" w:cs="宋体" w:eastAsia="宋体" w:hint="default"/>
        </w:rPr>
        <w:t>24.25%</w:t>
      </w:r>
      <w:r>
        <w:rPr/>
        <w:t>，归属于上市公司股东的净利润</w:t>
      </w:r>
      <w:r>
        <w:rPr>
          <w:rFonts w:ascii="宋体" w:hAnsi="宋体" w:cs="宋体" w:eastAsia="宋体" w:hint="default"/>
        </w:rPr>
        <w:t>2,644.41</w:t>
      </w:r>
      <w:r>
        <w:rPr/>
        <w:t>万元，同比下降</w:t>
      </w:r>
      <w:r>
        <w:rPr>
          <w:spacing w:val="-4"/>
        </w:rPr>
        <w:t> </w:t>
      </w:r>
      <w:r>
        <w:rPr>
          <w:rFonts w:ascii="宋体" w:hAnsi="宋体" w:cs="宋体" w:eastAsia="宋体" w:hint="default"/>
        </w:rPr>
        <w:t>80.93%</w:t>
      </w:r>
      <w:r>
        <w:rPr/>
        <w:t>，归属于上市公司股东的扣除非经常损益净利润</w:t>
      </w:r>
      <w:r>
        <w:rPr>
          <w:rFonts w:ascii="宋体" w:hAnsi="宋体" w:cs="宋体" w:eastAsia="宋体" w:hint="default"/>
        </w:rPr>
        <w:t>12,314.19</w:t>
      </w:r>
      <w:r>
        <w:rPr/>
        <w:t>万元，同比增长</w:t>
      </w:r>
      <w:r>
        <w:rPr>
          <w:rFonts w:ascii="宋体" w:hAnsi="宋体" w:cs="宋体" w:eastAsia="宋体" w:hint="default"/>
        </w:rPr>
        <w:t>54.14%</w:t>
      </w:r>
      <w:r>
        <w:rPr/>
        <w:t>。主要系报告期内，公司净利润下</w:t>
      </w:r>
      <w:r>
        <w:rPr>
          <w:spacing w:val="-84"/>
        </w:rPr>
        <w:t> </w:t>
      </w:r>
      <w:r>
        <w:rPr>
          <w:spacing w:val="-84"/>
        </w:rPr>
      </w:r>
      <w:r>
        <w:rPr>
          <w:spacing w:val="-2"/>
        </w:rPr>
        <w:t>降主要系对李欣应补偿公司的其他应收款约</w:t>
      </w:r>
      <w:r>
        <w:rPr>
          <w:rFonts w:ascii="宋体" w:hAnsi="宋体" w:cs="宋体" w:eastAsia="宋体" w:hint="default"/>
          <w:spacing w:val="-2"/>
        </w:rPr>
        <w:t>2.35</w:t>
      </w:r>
      <w:r>
        <w:rPr>
          <w:spacing w:val="-2"/>
        </w:rPr>
        <w:t>亿元进行了全额坏账计提，扣非净利润增长较大主要系公司</w:t>
      </w:r>
      <w:r>
        <w:rPr>
          <w:rFonts w:ascii="宋体" w:hAnsi="宋体" w:cs="宋体" w:eastAsia="宋体" w:hint="default"/>
          <w:spacing w:val="-2"/>
        </w:rPr>
        <w:t>2018</w:t>
      </w:r>
      <w:r>
        <w:rPr>
          <w:spacing w:val="-2"/>
        </w:rPr>
        <w:t>年公司整体</w:t>
      </w:r>
      <w:r>
        <w:rPr>
          <w:spacing w:val="-56"/>
        </w:rPr>
        <w:t> </w:t>
      </w:r>
      <w:r>
        <w:rPr/>
        <w:t>经营状况良好，营收和利润都有较好的体现。报告期内，公司具体经营情况回顾如下： </w:t>
      </w:r>
      <w:r>
        <w:rPr>
          <w:rFonts w:ascii="宋体" w:hAnsi="宋体" w:cs="宋体" w:eastAsia="宋体" w:hint="default"/>
          <w:b/>
          <w:bCs/>
        </w:rPr>
        <w:t>1</w:t>
      </w:r>
      <w:r>
        <w:rPr>
          <w:rFonts w:ascii="宋体" w:hAnsi="宋体" w:cs="宋体" w:eastAsia="宋体" w:hint="default"/>
          <w:b/>
          <w:bCs/>
        </w:rPr>
        <w:t>、公司经营战略转型，产业升级初见成效</w:t>
      </w:r>
      <w:r>
        <w:rPr>
          <w:rFonts w:ascii="宋体" w:hAnsi="宋体" w:cs="宋体" w:eastAsia="宋体" w:hint="default"/>
          <w:b/>
          <w:bCs/>
          <w:w w:val="99"/>
        </w:rPr>
        <w:t> </w:t>
      </w:r>
      <w:r>
        <w:rPr>
          <w:spacing w:val="-2"/>
        </w:rPr>
        <w:t>作为国内最早提出“智慧城市”理念并成功应用实践的企业之一，公司在中国智慧城市的建设与发展的进程中扮演了重要角</w:t>
      </w:r>
      <w:r>
        <w:rPr>
          <w:spacing w:val="-66"/>
        </w:rPr>
        <w:t> </w:t>
      </w:r>
      <w:r>
        <w:rPr>
          <w:spacing w:val="-66"/>
        </w:rPr>
      </w:r>
      <w:r>
        <w:rPr>
          <w:spacing w:val="-2"/>
        </w:rPr>
        <w:t>色和贡献了自身的力量。随着智慧城市建设升级融合发展的需要和市场竞争日剧激烈的发展趋势，在</w:t>
      </w:r>
      <w:r>
        <w:rPr>
          <w:rFonts w:ascii="宋体" w:hAnsi="宋体" w:cs="宋体" w:eastAsia="宋体" w:hint="default"/>
          <w:spacing w:val="-2"/>
        </w:rPr>
        <w:t>2017</w:t>
      </w:r>
      <w:r>
        <w:rPr>
          <w:spacing w:val="-2"/>
        </w:rPr>
        <w:t>年，结合多年的行</w:t>
      </w:r>
      <w:r>
        <w:rPr>
          <w:spacing w:val="-61"/>
        </w:rPr>
        <w:t> </w:t>
      </w:r>
      <w:r>
        <w:rPr>
          <w:spacing w:val="-61"/>
        </w:rPr>
      </w:r>
      <w:r>
        <w:rPr/>
        <w:t>业经验和技术优势，将公司战略定位由“智慧城市建设运营服务商”升级为“城市大脑运营服务商”。 </w:t>
      </w:r>
      <w:r>
        <w:rPr>
          <w:spacing w:val="-2"/>
        </w:rPr>
        <w:t>报告期内，公司坚持贯彻执行“城市大脑运营服务商”经营战略，不断发展巩固大交通及大健康战略高地，通过技术创新和</w:t>
      </w:r>
      <w:r>
        <w:rPr>
          <w:spacing w:val="-67"/>
        </w:rPr>
        <w:t> </w:t>
      </w:r>
      <w:r>
        <w:rPr>
          <w:spacing w:val="-67"/>
        </w:rPr>
      </w:r>
      <w:r>
        <w:rPr>
          <w:spacing w:val="-2"/>
        </w:rPr>
        <w:t>整合多维度智慧产业生态力量，构建多产业平台发展新格局。为科学构建并逐步完善公司城市大脑公司产品体系，公司结合</w:t>
      </w:r>
      <w:r>
        <w:rPr>
          <w:spacing w:val="-66"/>
        </w:rPr>
        <w:t> </w:t>
      </w:r>
      <w:r>
        <w:rPr>
          <w:spacing w:val="-66"/>
        </w:rPr>
      </w:r>
      <w:r>
        <w:rPr>
          <w:spacing w:val="-4"/>
        </w:rPr>
        <w:t>“人工智能</w:t>
      </w:r>
      <w:r>
        <w:rPr>
          <w:rFonts w:ascii="宋体" w:hAnsi="宋体" w:cs="宋体" w:eastAsia="宋体" w:hint="default"/>
          <w:spacing w:val="-4"/>
        </w:rPr>
        <w:t>+</w:t>
      </w:r>
      <w:r>
        <w:rPr>
          <w:spacing w:val="-4"/>
        </w:rPr>
        <w:t>大数据</w:t>
      </w:r>
      <w:r>
        <w:rPr>
          <w:rFonts w:ascii="宋体" w:hAnsi="宋体" w:cs="宋体" w:eastAsia="宋体" w:hint="default"/>
          <w:spacing w:val="-4"/>
        </w:rPr>
        <w:t>+</w:t>
      </w:r>
      <w:r>
        <w:rPr>
          <w:spacing w:val="-4"/>
        </w:rPr>
        <w:t>云计算”等技术，相继推出并深化了“交通大脑”、“健康大脑”、“司法大脑”三大子系统战略体系，</w:t>
      </w:r>
      <w:r>
        <w:rPr>
          <w:spacing w:val="-40"/>
        </w:rPr>
        <w:t> </w:t>
      </w:r>
      <w:r>
        <w:rPr>
          <w:spacing w:val="-40"/>
        </w:rPr>
      </w:r>
      <w:r>
        <w:rPr>
          <w:spacing w:val="-2"/>
        </w:rPr>
        <w:t>并在相应城市和项目上进行推广应用。面向即将到来的</w:t>
      </w:r>
      <w:r>
        <w:rPr>
          <w:rFonts w:ascii="宋体" w:hAnsi="宋体" w:cs="宋体" w:eastAsia="宋体" w:hint="default"/>
          <w:spacing w:val="-2"/>
        </w:rPr>
        <w:t>5G</w:t>
      </w:r>
      <w:r>
        <w:rPr>
          <w:spacing w:val="-2"/>
        </w:rPr>
        <w:t>时代，公司将继续以技术为驱动引擎，探索城市大脑的新形态，为</w:t>
      </w:r>
      <w:r>
        <w:rPr>
          <w:spacing w:val="-64"/>
        </w:rPr>
        <w:t> </w:t>
      </w:r>
      <w:r>
        <w:rPr>
          <w:spacing w:val="-64"/>
        </w:rPr>
      </w:r>
      <w:r>
        <w:rPr/>
        <w:t>中国新型城镇化建设和智慧城市建设贡献一己之力。</w:t>
      </w:r>
    </w:p>
    <w:p>
      <w:pPr>
        <w:pStyle w:val="BodyText"/>
        <w:spacing w:line="316" w:lineRule="auto" w:before="19"/>
        <w:ind w:right="0"/>
        <w:jc w:val="left"/>
      </w:pPr>
      <w:r>
        <w:rPr>
          <w:rFonts w:ascii="宋体" w:hAnsi="宋体" w:cs="宋体" w:eastAsia="宋体" w:hint="default"/>
          <w:b/>
          <w:bCs/>
        </w:rPr>
        <w:t>2</w:t>
      </w:r>
      <w:r>
        <w:rPr>
          <w:rFonts w:ascii="宋体" w:hAnsi="宋体" w:cs="宋体" w:eastAsia="宋体" w:hint="default"/>
          <w:b/>
          <w:bCs/>
        </w:rPr>
        <w:t>、产品迭代延伸，业务稳步增长</w:t>
      </w:r>
      <w:r>
        <w:rPr>
          <w:rFonts w:ascii="宋体" w:hAnsi="宋体" w:cs="宋体" w:eastAsia="宋体" w:hint="default"/>
          <w:b/>
          <w:bCs/>
          <w:w w:val="99"/>
        </w:rPr>
        <w:t> </w:t>
      </w:r>
      <w:r>
        <w:rPr>
          <w:spacing w:val="-2"/>
        </w:rPr>
        <w:t>公司围绕构建并完善城市大脑和重点应用领域系统产品体系，在纵向方面做深技术创新并挖掘应用，在横向方面做精领域并</w:t>
      </w:r>
      <w:r>
        <w:rPr>
          <w:spacing w:val="-64"/>
        </w:rPr>
        <w:t> </w:t>
      </w:r>
      <w:r>
        <w:rPr>
          <w:spacing w:val="-64"/>
        </w:rPr>
      </w:r>
      <w:r>
        <w:rPr>
          <w:spacing w:val="-2"/>
        </w:rPr>
        <w:t>推广复制。主要产品包括交通大脑——城市级智慧交通平台及各应用子系统；健康大脑——城市级区域医疗健康信息平台及</w:t>
      </w:r>
      <w:r>
        <w:rPr>
          <w:spacing w:val="-64"/>
        </w:rPr>
        <w:t> </w:t>
      </w:r>
      <w:r>
        <w:rPr>
          <w:spacing w:val="-64"/>
        </w:rPr>
      </w:r>
      <w:r>
        <w:rPr>
          <w:spacing w:val="-2"/>
        </w:rPr>
        <w:t>各应用子系统：司法大脑——城市级司法行政电子政务平台及各应用子系统，以及相应的各应用子系统，通过数据挖掘、分</w:t>
      </w:r>
      <w:r>
        <w:rPr>
          <w:spacing w:val="-66"/>
        </w:rPr>
        <w:t> </w:t>
      </w:r>
      <w:r>
        <w:rPr>
          <w:spacing w:val="-66"/>
        </w:rPr>
      </w:r>
      <w:r>
        <w:rPr/>
        <w:t>析、应用、运营，为政府和第三方提供数据运营服务，践行公司“推动城市进步，保障百姓安康”的宏伟使命。 </w:t>
      </w:r>
      <w:r>
        <w:rPr>
          <w:spacing w:val="-4"/>
        </w:rPr>
        <w:t>报告期内，杭州市发布了全国首个城市数据大脑规划，公司作为杭州市城市大脑的构建者之一，积极参与了杭州“交通小脑”</w:t>
      </w:r>
      <w:r>
        <w:rPr>
          <w:spacing w:val="-45"/>
        </w:rPr>
        <w:t> </w:t>
      </w:r>
      <w:r>
        <w:rPr>
          <w:spacing w:val="-45"/>
        </w:rPr>
      </w:r>
      <w:r>
        <w:rPr>
          <w:spacing w:val="-2"/>
        </w:rPr>
        <w:t>的建设，并为杭州市交警支队搭建了全国首个信号优化配时中心及在杭州西湖景区上线人工智能产品“警察机器人”，为杭</w:t>
      </w:r>
      <w:r>
        <w:rPr>
          <w:spacing w:val="-65"/>
        </w:rPr>
        <w:t> </w:t>
      </w:r>
      <w:r>
        <w:rPr>
          <w:spacing w:val="-65"/>
        </w:rPr>
      </w:r>
      <w:r>
        <w:rPr>
          <w:spacing w:val="-4"/>
        </w:rPr>
        <w:t>州市构建安全有序的交通环境创新了管理模式和服务模式。杭州“交通小脑”是公司“交通大脑”的一次很好的推广与应用，</w:t>
      </w:r>
      <w:r>
        <w:rPr>
          <w:spacing w:val="-43"/>
        </w:rPr>
        <w:t> </w:t>
      </w:r>
      <w:r>
        <w:rPr>
          <w:spacing w:val="-43"/>
        </w:rPr>
      </w:r>
      <w:r>
        <w:rPr>
          <w:spacing w:val="-4"/>
        </w:rPr>
        <w:t>为未来其他城市交通大脑的落地与复制奠定了基础。报告期内，“健康大脑”在沈阳区域人口健康信息平台项目中得到应用，</w:t>
      </w:r>
      <w:r>
        <w:rPr>
          <w:spacing w:val="-44"/>
        </w:rPr>
        <w:t> </w:t>
      </w:r>
      <w:r>
        <w:rPr>
          <w:spacing w:val="-44"/>
        </w:rPr>
      </w:r>
      <w:r>
        <w:rPr/>
        <w:t>其中子应用系统之城市级健康服务平台——家庭医生签约服务平台在沈阳全市正式推广使用”，目前已在沈阳全市建设</w:t>
      </w:r>
      <w:r>
        <w:rPr>
          <w:rFonts w:ascii="宋体" w:hAnsi="宋体" w:cs="宋体" w:eastAsia="宋体" w:hint="default"/>
        </w:rPr>
        <w:t>18 </w:t>
      </w:r>
      <w:r>
        <w:rPr/>
        <w:t>个家庭医生签约服务点，约</w:t>
      </w:r>
      <w:r>
        <w:rPr>
          <w:rFonts w:ascii="宋体" w:hAnsi="宋体" w:cs="宋体" w:eastAsia="宋体" w:hint="default"/>
        </w:rPr>
        <w:t>5000</w:t>
      </w:r>
      <w:r>
        <w:rPr/>
        <w:t>名家庭医生响应政府号召入驻沈阳家庭医生签约服务平台，是公司在“互联网</w:t>
      </w:r>
      <w:r>
        <w:rPr>
          <w:rFonts w:ascii="宋体" w:hAnsi="宋体" w:cs="宋体" w:eastAsia="宋体" w:hint="default"/>
        </w:rPr>
        <w:t>+</w:t>
      </w:r>
      <w:r>
        <w:rPr/>
        <w:t>医疗健康”</w:t>
      </w:r>
      <w:r>
        <w:rPr>
          <w:spacing w:val="-82"/>
        </w:rPr>
        <w:t> </w:t>
      </w:r>
      <w:r>
        <w:rPr>
          <w:spacing w:val="-82"/>
        </w:rPr>
      </w:r>
      <w:r>
        <w:rPr>
          <w:spacing w:val="-2"/>
        </w:rPr>
        <w:t>发展新时期的重要突破。报告期内，公司以“城市大脑”为产业核心平台，公司数据运营服务业务取得了良好的发展，并在</w:t>
      </w:r>
      <w:r>
        <w:rPr>
          <w:spacing w:val="-67"/>
        </w:rPr>
        <w:t> </w:t>
      </w:r>
      <w:r>
        <w:rPr>
          <w:spacing w:val="-67"/>
        </w:rPr>
      </w:r>
      <w:r>
        <w:rPr/>
        <w:t>杭州、上海、沈阳、南昌、西安、福州、太原等地实现落地试点并推广应用。</w:t>
      </w:r>
    </w:p>
    <w:p>
      <w:pPr>
        <w:pStyle w:val="BodyText"/>
        <w:spacing w:line="316" w:lineRule="auto" w:before="19"/>
        <w:ind w:right="1032"/>
        <w:jc w:val="left"/>
      </w:pPr>
      <w:r>
        <w:rPr>
          <w:rFonts w:ascii="宋体" w:hAnsi="宋体" w:cs="宋体" w:eastAsia="宋体" w:hint="default"/>
          <w:b/>
          <w:bCs/>
        </w:rPr>
        <w:t>3</w:t>
      </w:r>
      <w:r>
        <w:rPr>
          <w:rFonts w:ascii="宋体" w:hAnsi="宋体" w:cs="宋体" w:eastAsia="宋体" w:hint="default"/>
          <w:b/>
          <w:bCs/>
        </w:rPr>
        <w:t>、营销网络搭建完善，服务能力持续增强</w:t>
      </w:r>
      <w:r>
        <w:rPr>
          <w:rFonts w:ascii="宋体" w:hAnsi="宋体" w:cs="宋体" w:eastAsia="宋体" w:hint="default"/>
          <w:b/>
          <w:bCs/>
          <w:w w:val="99"/>
        </w:rPr>
        <w:t> </w:t>
      </w:r>
      <w:r>
        <w:rPr>
          <w:spacing w:val="-2"/>
        </w:rPr>
        <w:t>报告期内，公司通过在全国各地设立区域服务公司，通过本地化服务构建并完善覆盖全国的市场营销网络，通过市场平台和</w:t>
      </w:r>
      <w:r>
        <w:rPr>
          <w:spacing w:val="-66"/>
        </w:rPr>
        <w:t> </w:t>
      </w:r>
      <w:r>
        <w:rPr>
          <w:spacing w:val="-66"/>
        </w:rPr>
      </w:r>
      <w:r>
        <w:rPr>
          <w:spacing w:val="-2"/>
        </w:rPr>
        <w:t>产业资本的深度融合构建产业链的开放生态系统。报告期内，公司智慧交通应用系统（覆盖了城市交通、轨道交通、高速交</w:t>
      </w:r>
      <w:r>
        <w:rPr>
          <w:spacing w:val="-66"/>
        </w:rPr>
        <w:t> </w:t>
      </w:r>
      <w:r>
        <w:rPr>
          <w:spacing w:val="-66"/>
        </w:rPr>
      </w:r>
      <w:r>
        <w:rPr>
          <w:spacing w:val="-2"/>
        </w:rPr>
        <w:t>通、铁路交通）覆盖了</w:t>
      </w:r>
      <w:r>
        <w:rPr>
          <w:rFonts w:ascii="宋体" w:hAnsi="宋体" w:cs="宋体" w:eastAsia="宋体" w:hint="default"/>
          <w:spacing w:val="-2"/>
        </w:rPr>
        <w:t>29</w:t>
      </w:r>
      <w:r>
        <w:rPr>
          <w:spacing w:val="-2"/>
        </w:rPr>
        <w:t>个省市自治区（包括</w:t>
      </w:r>
      <w:r>
        <w:rPr>
          <w:rFonts w:ascii="宋体" w:hAnsi="宋体" w:cs="宋体" w:eastAsia="宋体" w:hint="default"/>
          <w:spacing w:val="-2"/>
        </w:rPr>
        <w:t>21</w:t>
      </w:r>
      <w:r>
        <w:rPr>
          <w:spacing w:val="-2"/>
        </w:rPr>
        <w:t>个省、</w:t>
      </w:r>
      <w:r>
        <w:rPr>
          <w:rFonts w:ascii="宋体" w:hAnsi="宋体" w:cs="宋体" w:eastAsia="宋体" w:hint="default"/>
          <w:spacing w:val="-2"/>
        </w:rPr>
        <w:t>4</w:t>
      </w:r>
      <w:r>
        <w:rPr>
          <w:spacing w:val="-2"/>
        </w:rPr>
        <w:t>个自治区、</w:t>
      </w:r>
      <w:r>
        <w:rPr>
          <w:rFonts w:ascii="宋体" w:hAnsi="宋体" w:cs="宋体" w:eastAsia="宋体" w:hint="default"/>
          <w:spacing w:val="-2"/>
        </w:rPr>
        <w:t>4</w:t>
      </w:r>
      <w:r>
        <w:rPr>
          <w:spacing w:val="-2"/>
        </w:rPr>
        <w:t>个直辖市）的</w:t>
      </w:r>
      <w:r>
        <w:rPr>
          <w:rFonts w:ascii="宋体" w:hAnsi="宋体" w:cs="宋体" w:eastAsia="宋体" w:hint="default"/>
          <w:spacing w:val="-2"/>
        </w:rPr>
        <w:t>163</w:t>
      </w:r>
      <w:r>
        <w:rPr>
          <w:spacing w:val="-2"/>
        </w:rPr>
        <w:t>个城市（包括</w:t>
      </w:r>
      <w:r>
        <w:rPr>
          <w:rFonts w:ascii="宋体" w:hAnsi="宋体" w:cs="宋体" w:eastAsia="宋体" w:hint="default"/>
          <w:spacing w:val="-2"/>
        </w:rPr>
        <w:t>29</w:t>
      </w:r>
      <w:r>
        <w:rPr>
          <w:spacing w:val="-2"/>
        </w:rPr>
        <w:t>个省会城市和直辖市、</w:t>
      </w:r>
      <w:r>
        <w:rPr>
          <w:spacing w:val="-57"/>
        </w:rPr>
        <w:t> </w:t>
      </w:r>
      <w:r>
        <w:rPr>
          <w:spacing w:val="-57"/>
        </w:rPr>
      </w:r>
      <w:r>
        <w:rPr>
          <w:rFonts w:ascii="宋体" w:hAnsi="宋体" w:cs="宋体" w:eastAsia="宋体" w:hint="default"/>
          <w:spacing w:val="-2"/>
        </w:rPr>
        <w:t>72</w:t>
      </w:r>
      <w:r>
        <w:rPr>
          <w:spacing w:val="-2"/>
        </w:rPr>
        <w:t>个地级城市、</w:t>
      </w:r>
      <w:r>
        <w:rPr>
          <w:rFonts w:ascii="宋体" w:hAnsi="宋体" w:cs="宋体" w:eastAsia="宋体" w:hint="default"/>
          <w:spacing w:val="-2"/>
        </w:rPr>
        <w:t>62</w:t>
      </w:r>
      <w:r>
        <w:rPr>
          <w:spacing w:val="-2"/>
        </w:rPr>
        <w:t>个县级城市）；智慧健康应用系统（覆盖了卫健委、医院、医联体）已进入</w:t>
      </w:r>
      <w:r>
        <w:rPr>
          <w:rFonts w:ascii="宋体" w:hAnsi="宋体" w:cs="宋体" w:eastAsia="宋体" w:hint="default"/>
          <w:spacing w:val="-2"/>
        </w:rPr>
        <w:t>1840</w:t>
      </w:r>
      <w:r>
        <w:rPr>
          <w:spacing w:val="-2"/>
        </w:rPr>
        <w:t>家大医院。公司在重点地</w:t>
      </w:r>
      <w:r>
        <w:rPr>
          <w:spacing w:val="-59"/>
        </w:rPr>
        <w:t> </w:t>
      </w:r>
      <w:r>
        <w:rPr>
          <w:spacing w:val="-59"/>
        </w:rPr>
      </w:r>
      <w:r>
        <w:rPr/>
        <w:t>域深耕细作，目前已经得到当地政府及市民的认可，未来将继续做好服务民生的工作，并探索落地各类数据运营服务应用。 </w:t>
      </w:r>
      <w:r>
        <w:rPr>
          <w:spacing w:val="-2"/>
        </w:rPr>
        <w:t>报告期内，凭借过硬的技术实力和通过“系统建设、软件交付、运营服务”落实三位一体的经营策略，公司在承接和服务国</w:t>
      </w:r>
      <w:r>
        <w:rPr>
          <w:spacing w:val="-67"/>
        </w:rPr>
        <w:t> </w:t>
      </w:r>
      <w:r>
        <w:rPr>
          <w:spacing w:val="-67"/>
        </w:rPr>
      </w:r>
      <w:r>
        <w:rPr>
          <w:spacing w:val="-2"/>
        </w:rPr>
        <w:t>家工程的能力进一步增强。在</w:t>
      </w:r>
      <w:r>
        <w:rPr>
          <w:rFonts w:ascii="宋体" w:hAnsi="宋体" w:cs="宋体" w:eastAsia="宋体" w:hint="default"/>
          <w:spacing w:val="-2"/>
        </w:rPr>
        <w:t>2018</w:t>
      </w:r>
      <w:r>
        <w:rPr>
          <w:spacing w:val="-2"/>
        </w:rPr>
        <w:t>年全国新开通的</w:t>
      </w:r>
      <w:r>
        <w:rPr>
          <w:rFonts w:ascii="宋体" w:hAnsi="宋体" w:cs="宋体" w:eastAsia="宋体" w:hint="default"/>
          <w:spacing w:val="-2"/>
        </w:rPr>
        <w:t>10</w:t>
      </w:r>
      <w:r>
        <w:rPr>
          <w:spacing w:val="-2"/>
        </w:rPr>
        <w:t>条铁路线中，公司参与了其中哈尔滨至牡丹江、济南至青岛、青岛至盐</w:t>
      </w:r>
      <w:r>
        <w:rPr>
          <w:spacing w:val="-60"/>
        </w:rPr>
        <w:t> </w:t>
      </w:r>
      <w:r>
        <w:rPr>
          <w:spacing w:val="-60"/>
        </w:rPr>
      </w:r>
      <w:r>
        <w:rPr/>
        <w:t>城等高铁</w:t>
      </w:r>
      <w:r>
        <w:rPr>
          <w:rFonts w:ascii="宋体" w:hAnsi="宋体" w:cs="宋体" w:eastAsia="宋体" w:hint="default"/>
        </w:rPr>
        <w:t>5</w:t>
      </w:r>
      <w:r>
        <w:rPr/>
        <w:t>条高铁新线信息化的建设；参与了超级工程港珠澳大桥工程珠海口岸的信息化建设；参与了长沙地铁和杭州地铁</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t>等轨道交通项目；同时在四川和云南两省的高速公路信息化和机电项目中亦有重大突破。 </w:t>
      </w:r>
      <w:r>
        <w:rPr>
          <w:rFonts w:ascii="宋体" w:hAnsi="宋体" w:cs="宋体" w:eastAsia="宋体" w:hint="default"/>
          <w:b/>
          <w:bCs/>
        </w:rPr>
        <w:t>4</w:t>
      </w:r>
      <w:r>
        <w:rPr>
          <w:rFonts w:ascii="宋体" w:hAnsi="宋体" w:cs="宋体" w:eastAsia="宋体" w:hint="default"/>
          <w:b/>
          <w:bCs/>
        </w:rPr>
        <w:t>、资本运作成效良好，产业整合逐步发力</w:t>
      </w:r>
      <w:r>
        <w:rPr>
          <w:rFonts w:ascii="宋体" w:hAnsi="宋体" w:cs="宋体" w:eastAsia="宋体" w:hint="default"/>
          <w:b/>
          <w:bCs/>
          <w:w w:val="99"/>
        </w:rPr>
        <w:t> </w:t>
      </w:r>
      <w:r>
        <w:rPr/>
        <w:t>报告期内，公司继续推进整合产业生态圈建设，公司及公司参投产业基金对外投资了智慧水务、高端制造等领域共计</w:t>
      </w:r>
      <w:r>
        <w:rPr>
          <w:rFonts w:ascii="宋体" w:hAnsi="宋体" w:cs="宋体" w:eastAsia="宋体" w:hint="default"/>
        </w:rPr>
        <w:t>6</w:t>
      </w:r>
      <w:r>
        <w:rPr/>
        <w:t>个项 目。报告期内，公司、全资子公司以及产业基金已有</w:t>
      </w:r>
      <w:r>
        <w:rPr>
          <w:rFonts w:ascii="宋体" w:hAnsi="宋体" w:cs="宋体" w:eastAsia="宋体" w:hint="default"/>
        </w:rPr>
        <w:t>3</w:t>
      </w:r>
      <w:r>
        <w:rPr/>
        <w:t>家参股公司挂牌全国中小企业股份转让系统，</w:t>
      </w:r>
      <w:r>
        <w:rPr>
          <w:rFonts w:ascii="宋体" w:hAnsi="宋体" w:cs="宋体" w:eastAsia="宋体" w:hint="default"/>
        </w:rPr>
        <w:t>1</w:t>
      </w:r>
      <w:r>
        <w:rPr/>
        <w:t>家成功</w:t>
      </w:r>
      <w:r>
        <w:rPr>
          <w:rFonts w:ascii="宋体" w:hAnsi="宋体" w:cs="宋体" w:eastAsia="宋体" w:hint="default"/>
        </w:rPr>
        <w:t>IPO</w:t>
      </w:r>
      <w:r>
        <w:rPr/>
        <w:t>，即每日互 </w:t>
      </w:r>
      <w:r>
        <w:rPr>
          <w:spacing w:val="-2"/>
        </w:rPr>
        <w:t>动（股票代码：</w:t>
      </w:r>
      <w:r>
        <w:rPr>
          <w:rFonts w:ascii="宋体" w:hAnsi="宋体" w:cs="宋体" w:eastAsia="宋体" w:hint="default"/>
          <w:spacing w:val="-2"/>
        </w:rPr>
        <w:t>300766</w:t>
      </w:r>
      <w:r>
        <w:rPr>
          <w:spacing w:val="-2"/>
        </w:rPr>
        <w:t>，并于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25</w:t>
      </w:r>
      <w:r>
        <w:rPr>
          <w:spacing w:val="-2"/>
        </w:rPr>
        <w:t>日正式登陆创业板），</w:t>
      </w:r>
      <w:r>
        <w:rPr>
          <w:rFonts w:ascii="宋体" w:hAnsi="宋体" w:cs="宋体" w:eastAsia="宋体" w:hint="default"/>
          <w:spacing w:val="-2"/>
        </w:rPr>
        <w:t>5</w:t>
      </w:r>
      <w:r>
        <w:rPr>
          <w:spacing w:val="-2"/>
        </w:rPr>
        <w:t>家完成对外再融资。报告期内，全资子公司杭州银江智慧</w:t>
      </w:r>
      <w:r>
        <w:rPr>
          <w:spacing w:val="-55"/>
        </w:rPr>
        <w:t> </w:t>
      </w:r>
      <w:r>
        <w:rPr>
          <w:spacing w:val="-55"/>
        </w:rPr>
      </w:r>
      <w:r>
        <w:rPr/>
        <w:t>医疗集团有限公司的参股公司杭州银江医联网技术股份有限公司于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26</w:t>
      </w:r>
      <w:r>
        <w:rPr/>
        <w:t>日起在全国股转系统挂牌公开转让。杭州银 </w:t>
      </w:r>
      <w:r>
        <w:rPr>
          <w:spacing w:val="-2"/>
        </w:rPr>
        <w:t>江医联网技术股份有限公司在全国股转系统挂牌将有利于公司发展，丰富公司在资本市场的布局，增加公司资产流动性和资</w:t>
      </w:r>
      <w:r>
        <w:rPr>
          <w:spacing w:val="-64"/>
        </w:rPr>
        <w:t> </w:t>
      </w:r>
      <w:r>
        <w:rPr>
          <w:spacing w:val="-64"/>
        </w:rPr>
      </w:r>
      <w:r>
        <w:rPr>
          <w:spacing w:val="-2"/>
        </w:rPr>
        <w:t>产价值，提升公司在互联网医疗领域的竞争优势和投资价值。报告期内，公司持有全资子公司浙江交通宝互联网技术有限公</w:t>
      </w:r>
      <w:r>
        <w:rPr>
          <w:spacing w:val="-66"/>
        </w:rPr>
        <w:t> </w:t>
      </w:r>
      <w:r>
        <w:rPr>
          <w:spacing w:val="-66"/>
        </w:rPr>
      </w:r>
      <w:r>
        <w:rPr>
          <w:spacing w:val="-2"/>
        </w:rPr>
        <w:t>司</w:t>
      </w:r>
      <w:r>
        <w:rPr>
          <w:rFonts w:ascii="宋体" w:hAnsi="宋体" w:cs="宋体" w:eastAsia="宋体" w:hint="default"/>
          <w:spacing w:val="-2"/>
        </w:rPr>
        <w:t>80%</w:t>
      </w:r>
      <w:r>
        <w:rPr>
          <w:spacing w:val="-2"/>
        </w:rPr>
        <w:t>的股权作价</w:t>
      </w:r>
      <w:r>
        <w:rPr>
          <w:rFonts w:ascii="宋体" w:hAnsi="宋体" w:cs="宋体" w:eastAsia="宋体" w:hint="default"/>
          <w:spacing w:val="-2"/>
        </w:rPr>
        <w:t>8,000</w:t>
      </w:r>
      <w:r>
        <w:rPr>
          <w:spacing w:val="-2"/>
        </w:rPr>
        <w:t>万元人民币转让给浙江开达装饰工程有限公司，本次转让已完成。报告期内，公司将持有广州创显科</w:t>
      </w:r>
      <w:r>
        <w:rPr>
          <w:spacing w:val="-58"/>
        </w:rPr>
        <w:t> </w:t>
      </w:r>
      <w:r>
        <w:rPr>
          <w:spacing w:val="-58"/>
        </w:rPr>
      </w:r>
      <w:r>
        <w:rPr>
          <w:spacing w:val="-2"/>
        </w:rPr>
        <w:t>教股份有限公司</w:t>
      </w:r>
      <w:r>
        <w:rPr>
          <w:rFonts w:ascii="宋体" w:hAnsi="宋体" w:cs="宋体" w:eastAsia="宋体" w:hint="default"/>
          <w:spacing w:val="-2"/>
        </w:rPr>
        <w:t>179</w:t>
      </w:r>
      <w:r>
        <w:rPr>
          <w:spacing w:val="-2"/>
        </w:rPr>
        <w:t>万股股份作价人民币</w:t>
      </w:r>
      <w:r>
        <w:rPr>
          <w:rFonts w:ascii="宋体" w:hAnsi="宋体" w:cs="宋体" w:eastAsia="宋体" w:hint="default"/>
          <w:spacing w:val="-2"/>
        </w:rPr>
        <w:t>5,500</w:t>
      </w:r>
      <w:r>
        <w:rPr>
          <w:spacing w:val="-2"/>
        </w:rPr>
        <w:t>万元转让给浙江帕帝实业有限公司，本次转让已完成，公司不再持有广州创显</w:t>
      </w:r>
      <w:r>
        <w:rPr>
          <w:spacing w:val="-56"/>
        </w:rPr>
        <w:t> </w:t>
      </w:r>
      <w:r>
        <w:rPr>
          <w:spacing w:val="-56"/>
        </w:rPr>
      </w:r>
      <w:r>
        <w:rPr/>
        <w:t>科教股份有限公司的股权。报告期内，公司终止了与浙江帕帝实业有限公司关于山东博安智能科技股份有限公司</w:t>
      </w:r>
      <w:r>
        <w:rPr>
          <w:rFonts w:ascii="宋体" w:hAnsi="宋体" w:cs="宋体" w:eastAsia="宋体" w:hint="default"/>
        </w:rPr>
        <w:t>748.2</w:t>
      </w:r>
      <w:r>
        <w:rPr/>
        <w:t>万股 股份作价人民币</w:t>
      </w:r>
      <w:r>
        <w:rPr>
          <w:rFonts w:ascii="宋体" w:hAnsi="宋体" w:cs="宋体" w:eastAsia="宋体" w:hint="default"/>
        </w:rPr>
        <w:t>4,500</w:t>
      </w:r>
      <w:r>
        <w:rPr/>
        <w:t>万元的交易，并已签署终止协议。</w:t>
      </w:r>
    </w:p>
    <w:p>
      <w:pPr>
        <w:pStyle w:val="BodyText"/>
        <w:spacing w:line="316" w:lineRule="auto" w:before="19"/>
        <w:ind w:right="1032"/>
        <w:jc w:val="left"/>
      </w:pPr>
      <w:r>
        <w:rPr>
          <w:rFonts w:ascii="宋体" w:hAnsi="宋体" w:cs="宋体" w:eastAsia="宋体" w:hint="default"/>
          <w:b/>
          <w:bCs/>
        </w:rPr>
        <w:t>5</w:t>
      </w:r>
      <w:r>
        <w:rPr>
          <w:rFonts w:ascii="宋体" w:hAnsi="宋体" w:cs="宋体" w:eastAsia="宋体" w:hint="default"/>
          <w:b/>
          <w:bCs/>
        </w:rPr>
        <w:t>、技术创新成果丰硕，行业影响力显著提升</w:t>
      </w:r>
      <w:r>
        <w:rPr>
          <w:rFonts w:ascii="宋体" w:hAnsi="宋体" w:cs="宋体" w:eastAsia="宋体" w:hint="default"/>
          <w:b/>
          <w:bCs/>
          <w:w w:val="99"/>
        </w:rPr>
        <w:t> </w:t>
      </w:r>
      <w:r>
        <w:rPr>
          <w:spacing w:val="-2"/>
        </w:rPr>
        <w:t>报告期内，公司重视自主研发和技术创新，强调产品研发与市场需求的紧密结合，需求来源于客户，产品又服务于客户，研</w:t>
      </w:r>
      <w:r>
        <w:rPr>
          <w:spacing w:val="-66"/>
        </w:rPr>
        <w:t> </w:t>
      </w:r>
      <w:r>
        <w:rPr>
          <w:spacing w:val="-66"/>
        </w:rPr>
      </w:r>
      <w:r>
        <w:rPr>
          <w:spacing w:val="-2"/>
        </w:rPr>
        <w:t>发与市场形成了良好互动和相互促进。在技术研究、产品开发、技术平台建设、产学研合作等方面取得了系列化成果；公司</w:t>
      </w:r>
      <w:r>
        <w:rPr>
          <w:spacing w:val="-66"/>
        </w:rPr>
        <w:t> </w:t>
      </w:r>
      <w:r>
        <w:rPr>
          <w:spacing w:val="-66"/>
        </w:rPr>
      </w:r>
      <w:r>
        <w:rPr>
          <w:spacing w:val="-2"/>
        </w:rPr>
        <w:t>继续为世界互联网大会等国际顶级会议提供了技术、产品、服务和保障，得到了举办方高度评价，产生了良好的社会和行业</w:t>
      </w:r>
      <w:r>
        <w:rPr>
          <w:spacing w:val="-66"/>
        </w:rPr>
        <w:t> </w:t>
      </w:r>
      <w:r>
        <w:rPr>
          <w:spacing w:val="-66"/>
        </w:rPr>
      </w:r>
      <w:r>
        <w:rPr/>
        <w:t>影响力。报告期内，公司成功申报了</w:t>
      </w:r>
      <w:r>
        <w:rPr>
          <w:rFonts w:ascii="宋体" w:hAnsi="宋体" w:cs="宋体" w:eastAsia="宋体" w:hint="default"/>
        </w:rPr>
        <w:t>1</w:t>
      </w:r>
      <w:r>
        <w:rPr/>
        <w:t>个省级重大课题和</w:t>
      </w:r>
      <w:r>
        <w:rPr>
          <w:rFonts w:ascii="宋体" w:hAnsi="宋体" w:cs="宋体" w:eastAsia="宋体" w:hint="default"/>
        </w:rPr>
        <w:t>1</w:t>
      </w:r>
      <w:r>
        <w:rPr/>
        <w:t>个市级重大课题申报，“城市交通超能计算平台关键技术及应用” 获得</w:t>
      </w:r>
      <w:r>
        <w:rPr>
          <w:rFonts w:ascii="宋体" w:hAnsi="宋体" w:cs="宋体" w:eastAsia="宋体" w:hint="default"/>
        </w:rPr>
        <w:t>2018</w:t>
      </w:r>
      <w:r>
        <w:rPr/>
        <w:t>年度中国智能交通协会科学技术一等奖。截止</w:t>
      </w:r>
      <w:r>
        <w:rPr>
          <w:rFonts w:ascii="宋体" w:hAnsi="宋体" w:cs="宋体" w:eastAsia="宋体" w:hint="default"/>
        </w:rPr>
        <w:t>2018</w:t>
      </w:r>
      <w:r>
        <w:rPr/>
        <w:t>年末，公司及其控股子公司合计拥有</w:t>
      </w:r>
      <w:r>
        <w:rPr>
          <w:rFonts w:ascii="宋体" w:hAnsi="宋体" w:cs="宋体" w:eastAsia="宋体" w:hint="default"/>
        </w:rPr>
        <w:t>81</w:t>
      </w:r>
      <w:r>
        <w:rPr/>
        <w:t>项资质证书、</w:t>
      </w:r>
      <w:r>
        <w:rPr>
          <w:rFonts w:ascii="宋体" w:hAnsi="宋体" w:cs="宋体" w:eastAsia="宋体" w:hint="default"/>
        </w:rPr>
        <w:t>164</w:t>
      </w:r>
      <w:r>
        <w:rPr/>
        <w:t>项授权 专利（其中发明专利</w:t>
      </w:r>
      <w:r>
        <w:rPr>
          <w:rFonts w:ascii="宋体" w:hAnsi="宋体" w:cs="宋体" w:eastAsia="宋体" w:hint="default"/>
        </w:rPr>
        <w:t>105</w:t>
      </w:r>
      <w:r>
        <w:rPr/>
        <w:t>项）、</w:t>
      </w:r>
      <w:r>
        <w:rPr>
          <w:rFonts w:ascii="宋体" w:hAnsi="宋体" w:cs="宋体" w:eastAsia="宋体" w:hint="default"/>
        </w:rPr>
        <w:t>86</w:t>
      </w:r>
      <w:r>
        <w:rPr/>
        <w:t>项软件产品、</w:t>
      </w:r>
      <w:r>
        <w:rPr>
          <w:rFonts w:ascii="宋体" w:hAnsi="宋体" w:cs="宋体" w:eastAsia="宋体" w:hint="default"/>
        </w:rPr>
        <w:t>761</w:t>
      </w:r>
      <w:r>
        <w:rPr/>
        <w:t>项著作权、受理专利申请</w:t>
      </w:r>
      <w:r>
        <w:rPr>
          <w:rFonts w:ascii="宋体" w:hAnsi="宋体" w:cs="宋体" w:eastAsia="宋体" w:hint="default"/>
        </w:rPr>
        <w:t>52</w:t>
      </w:r>
      <w:r>
        <w:rPr/>
        <w:t>项，成果丰硕。 </w:t>
      </w:r>
      <w:r>
        <w:rPr>
          <w:rFonts w:ascii="宋体" w:hAnsi="宋体" w:cs="宋体" w:eastAsia="宋体" w:hint="default"/>
          <w:b/>
          <w:bCs/>
        </w:rPr>
        <w:t>6</w:t>
      </w:r>
      <w:r>
        <w:rPr>
          <w:rFonts w:ascii="宋体" w:hAnsi="宋体" w:cs="宋体" w:eastAsia="宋体" w:hint="default"/>
          <w:b/>
          <w:bCs/>
        </w:rPr>
        <w:t>、品牌建设提升，人才梯队完善</w:t>
      </w:r>
      <w:r>
        <w:rPr>
          <w:rFonts w:ascii="宋体" w:hAnsi="宋体" w:cs="宋体" w:eastAsia="宋体" w:hint="default"/>
          <w:b/>
          <w:bCs/>
          <w:w w:val="99"/>
        </w:rPr>
        <w:t> </w:t>
      </w:r>
      <w:r>
        <w:rPr/>
        <w:t>报告期内，公司获得了“</w:t>
      </w:r>
      <w:r>
        <w:rPr>
          <w:rFonts w:ascii="宋体" w:hAnsi="宋体" w:cs="宋体" w:eastAsia="宋体" w:hint="default"/>
        </w:rPr>
        <w:t>2018</w:t>
      </w:r>
      <w:r>
        <w:rPr/>
        <w:t>中国软件和信息技术服务综合竞争力百强企业”、“</w:t>
      </w:r>
      <w:r>
        <w:rPr>
          <w:rFonts w:ascii="宋体" w:hAnsi="宋体" w:cs="宋体" w:eastAsia="宋体" w:hint="default"/>
        </w:rPr>
        <w:t>2018</w:t>
      </w:r>
      <w:r>
        <w:rPr/>
        <w:t>年中国软件业务收入前百家企业”、 </w:t>
      </w:r>
      <w:r>
        <w:rPr>
          <w:spacing w:val="-4"/>
        </w:rPr>
        <w:t>“中国智能交通协会科学技术奖一等奖”、“中国软件诚信示范企业”、“</w:t>
      </w:r>
      <w:r>
        <w:rPr>
          <w:rFonts w:ascii="宋体" w:hAnsi="宋体" w:cs="宋体" w:eastAsia="宋体" w:hint="default"/>
          <w:spacing w:val="-4"/>
        </w:rPr>
        <w:t>2018</w:t>
      </w:r>
      <w:r>
        <w:rPr>
          <w:spacing w:val="-4"/>
        </w:rPr>
        <w:t>年度信息系统集成及服务业大型骨干企业”、</w:t>
      </w:r>
      <w:r>
        <w:rPr>
          <w:spacing w:val="-36"/>
        </w:rPr>
        <w:t> </w:t>
      </w:r>
      <w:r>
        <w:rPr>
          <w:spacing w:val="-36"/>
        </w:rPr>
      </w:r>
      <w:r>
        <w:rPr>
          <w:spacing w:val="-3"/>
        </w:rPr>
        <w:t>“</w:t>
      </w:r>
      <w:r>
        <w:rPr>
          <w:rFonts w:ascii="宋体" w:hAnsi="宋体" w:cs="宋体" w:eastAsia="宋体" w:hint="default"/>
          <w:spacing w:val="-3"/>
        </w:rPr>
        <w:t>2018</w:t>
      </w:r>
      <w:r>
        <w:rPr>
          <w:spacing w:val="-3"/>
        </w:rPr>
        <w:t>年浙江省软件业</w:t>
      </w:r>
      <w:r>
        <w:rPr>
          <w:rFonts w:ascii="宋体" w:hAnsi="宋体" w:cs="宋体" w:eastAsia="宋体" w:hint="default"/>
          <w:spacing w:val="-3"/>
        </w:rPr>
        <w:t>20</w:t>
      </w:r>
      <w:r>
        <w:rPr>
          <w:spacing w:val="-3"/>
        </w:rPr>
        <w:t>家重点企业”、“浙江省物联网年度产品及科技创新奖”、“</w:t>
      </w:r>
      <w:r>
        <w:rPr>
          <w:rFonts w:ascii="宋体" w:hAnsi="宋体" w:cs="宋体" w:eastAsia="宋体" w:hint="default"/>
          <w:spacing w:val="-3"/>
        </w:rPr>
        <w:t>2018</w:t>
      </w:r>
      <w:r>
        <w:rPr>
          <w:spacing w:val="-3"/>
        </w:rPr>
        <w:t>年度浙江省智慧城市建设成果奖”</w:t>
      </w:r>
      <w:r>
        <w:rPr>
          <w:spacing w:val="-84"/>
        </w:rPr>
        <w:t> </w:t>
      </w:r>
      <w:r>
        <w:rPr/>
        <w:t>等荣誉。 </w:t>
      </w:r>
      <w:r>
        <w:rPr>
          <w:spacing w:val="-2"/>
        </w:rPr>
        <w:t>报告期内，公司在多元化人才培养机制的基础上不断创新人才培养举措，通过内部公开竞聘，选拔优秀人员，提拔任用青年</w:t>
      </w:r>
      <w:r>
        <w:rPr>
          <w:spacing w:val="-66"/>
        </w:rPr>
        <w:t> </w:t>
      </w:r>
      <w:r>
        <w:rPr>
          <w:spacing w:val="-66"/>
        </w:rPr>
      </w:r>
      <w:r>
        <w:rPr>
          <w:spacing w:val="-2"/>
        </w:rPr>
        <w:t>人才，为业务持续发展提供保障；同时也通过多种形式引进外部人才，为公司发展注入新鲜血液。公司通过“内升外引”式</w:t>
      </w:r>
      <w:r>
        <w:rPr>
          <w:spacing w:val="-67"/>
        </w:rPr>
        <w:t> </w:t>
      </w:r>
      <w:r>
        <w:rPr>
          <w:spacing w:val="-67"/>
        </w:rPr>
      </w:r>
      <w:r>
        <w:rPr>
          <w:spacing w:val="-2"/>
        </w:rPr>
        <w:t>人才培育机制，实现公司人才梯队合理有序，盘活人才队伍建设。此外，公司坚定推行“银江合伙人”计划，构建企业命运</w:t>
      </w:r>
      <w:r>
        <w:rPr>
          <w:spacing w:val="-69"/>
        </w:rPr>
        <w:t> </w:t>
      </w:r>
      <w:r>
        <w:rPr>
          <w:spacing w:val="-69"/>
        </w:rPr>
      </w:r>
      <w:r>
        <w:rPr/>
        <w:t>共同体，激励全体银江人通过银江大平台实现梦想，成就新价值。</w:t>
      </w:r>
    </w:p>
    <w:p>
      <w:pPr>
        <w:pStyle w:val="BodyText"/>
        <w:spacing w:line="316" w:lineRule="auto" w:before="19"/>
        <w:ind w:right="1122"/>
        <w:jc w:val="left"/>
      </w:pPr>
      <w:r>
        <w:rPr>
          <w:rFonts w:ascii="宋体" w:hAnsi="宋体" w:cs="宋体" w:eastAsia="宋体" w:hint="default"/>
          <w:b/>
          <w:bCs/>
        </w:rPr>
        <w:t>7</w:t>
      </w:r>
      <w:r>
        <w:rPr>
          <w:rFonts w:ascii="宋体" w:hAnsi="宋体" w:cs="宋体" w:eastAsia="宋体" w:hint="default"/>
          <w:b/>
          <w:bCs/>
        </w:rPr>
        <w:t>、公司治理规范有序，未来发展充满信心</w:t>
      </w:r>
      <w:r>
        <w:rPr>
          <w:rFonts w:ascii="宋体" w:hAnsi="宋体" w:cs="宋体" w:eastAsia="宋体" w:hint="default"/>
          <w:b/>
          <w:bCs/>
          <w:w w:val="99"/>
        </w:rPr>
        <w:t> </w:t>
      </w:r>
      <w:r>
        <w:rPr>
          <w:spacing w:val="-2"/>
        </w:rPr>
        <w:t>公司一贯重视公司治理及投资者关系工作。报告期内，公司股东大会、董事会及董事会专门委员会、监事会按相关法律法规</w:t>
      </w:r>
      <w:r>
        <w:rPr>
          <w:spacing w:val="-66"/>
        </w:rPr>
        <w:t> </w:t>
      </w:r>
      <w:r>
        <w:rPr>
          <w:spacing w:val="-66"/>
        </w:rPr>
      </w:r>
      <w:r>
        <w:rPr>
          <w:spacing w:val="-2"/>
        </w:rPr>
        <w:t>和《公司章程》有效运行，重点加强风险控制及内部管理。公司高度重视投资者关系管理工作，将投资者关系管理作为工作</w:t>
      </w:r>
      <w:r>
        <w:rPr>
          <w:spacing w:val="-66"/>
        </w:rPr>
        <w:t> </w:t>
      </w:r>
      <w:r>
        <w:rPr>
          <w:spacing w:val="-66"/>
        </w:rPr>
      </w:r>
      <w:r>
        <w:rPr>
          <w:spacing w:val="-2"/>
        </w:rPr>
        <w:t>重点，不断完善投资者关系管理工作，充分利用投资者热线、互动易平台、网上业绩说明会、现场调研等形式与投资者保持</w:t>
      </w:r>
      <w:r>
        <w:rPr>
          <w:spacing w:val="-66"/>
        </w:rPr>
        <w:t> </w:t>
      </w:r>
      <w:r>
        <w:rPr>
          <w:spacing w:val="-66"/>
        </w:rPr>
      </w:r>
      <w:r>
        <w:rPr>
          <w:spacing w:val="-2"/>
        </w:rPr>
        <w:t>良好的沟通交流，促进公司与投资者之间的良性互动，加深了投资者对公司的了解和认同，努力树立公司在资本市场良好形</w:t>
      </w:r>
      <w:r>
        <w:rPr>
          <w:spacing w:val="-66"/>
        </w:rPr>
        <w:t> </w:t>
      </w:r>
      <w:r>
        <w:rPr>
          <w:spacing w:val="-66"/>
        </w:rPr>
      </w:r>
      <w:r>
        <w:rPr/>
        <w:t>象。 </w:t>
      </w:r>
      <w:r>
        <w:rPr>
          <w:spacing w:val="-2"/>
        </w:rPr>
        <w:t>报告期内，由于国内经济下行压力大和资本市场环境震荡，公司股价大幅下挫，极大影响了投资者的信心和公司市值。公司</w:t>
      </w:r>
      <w:r>
        <w:rPr>
          <w:spacing w:val="-66"/>
        </w:rPr>
        <w:t> </w:t>
      </w:r>
      <w:r>
        <w:rPr>
          <w:spacing w:val="-66"/>
        </w:rPr>
      </w:r>
      <w:r>
        <w:rPr>
          <w:spacing w:val="-2"/>
        </w:rPr>
        <w:t>控股股东银江科技集团有限公司和董监高基于对公司基本面的看好和未来发展的认可，积极增持并承诺一定期限内不减持公</w:t>
      </w:r>
      <w:r>
        <w:rPr>
          <w:spacing w:val="-64"/>
        </w:rPr>
        <w:t> </w:t>
      </w:r>
      <w:r>
        <w:rPr>
          <w:spacing w:val="-64"/>
        </w:rPr>
      </w:r>
      <w:r>
        <w:rPr/>
        <w:t>司股票，促进公司持续、稳定、健康发展，维护公司全体股东利益。截至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14</w:t>
      </w:r>
      <w:r>
        <w:rPr/>
        <w:t>日，控股股东银江科技集团有限公司 增持了公司</w:t>
      </w:r>
      <w:r>
        <w:rPr>
          <w:rFonts w:ascii="宋体" w:hAnsi="宋体" w:cs="宋体" w:eastAsia="宋体" w:hint="default"/>
        </w:rPr>
        <w:t>17,557,905</w:t>
      </w:r>
      <w:r>
        <w:rPr/>
        <w:t>股，占公司总股本的</w:t>
      </w:r>
      <w:r>
        <w:rPr>
          <w:rFonts w:ascii="宋体" w:hAnsi="宋体" w:cs="宋体" w:eastAsia="宋体" w:hint="default"/>
        </w:rPr>
        <w:t>2.68%</w:t>
      </w:r>
      <w:r>
        <w:rPr/>
        <w:t>，增持金额为人民币</w:t>
      </w:r>
      <w:r>
        <w:rPr>
          <w:rFonts w:ascii="宋体" w:hAnsi="宋体" w:cs="宋体" w:eastAsia="宋体" w:hint="default"/>
        </w:rPr>
        <w:t>205,368,871.58</w:t>
      </w: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27</w:t>
      </w:r>
      <w:r>
        <w:rPr/>
        <w:t>日，董监高及 </w:t>
      </w:r>
      <w:r>
        <w:rPr>
          <w:spacing w:val="-2"/>
        </w:rPr>
        <w:t>核心管理人员增持了公司</w:t>
      </w:r>
      <w:r>
        <w:rPr>
          <w:rFonts w:ascii="宋体" w:hAnsi="宋体" w:cs="宋体" w:eastAsia="宋体" w:hint="default"/>
          <w:spacing w:val="-2"/>
        </w:rPr>
        <w:t>3,099,300</w:t>
      </w:r>
      <w:r>
        <w:rPr>
          <w:spacing w:val="-2"/>
        </w:rPr>
        <w:t>股，占公司总股本的</w:t>
      </w:r>
      <w:r>
        <w:rPr>
          <w:rFonts w:ascii="宋体" w:hAnsi="宋体" w:cs="宋体" w:eastAsia="宋体" w:hint="default"/>
          <w:spacing w:val="-2"/>
        </w:rPr>
        <w:t>0.4726%</w:t>
      </w:r>
      <w:r>
        <w:rPr>
          <w:spacing w:val="-2"/>
        </w:rPr>
        <w:t>，增持金额为人民币</w:t>
      </w:r>
      <w:r>
        <w:rPr>
          <w:rFonts w:ascii="宋体" w:hAnsi="宋体" w:cs="宋体" w:eastAsia="宋体" w:hint="default"/>
          <w:spacing w:val="-2"/>
        </w:rPr>
        <w:t>20,615,249.5</w:t>
      </w:r>
      <w:r>
        <w:rPr>
          <w:spacing w:val="-2"/>
        </w:rPr>
        <w:t>元，增持人员承诺在本次</w:t>
      </w:r>
      <w:r>
        <w:rPr>
          <w:spacing w:val="-39"/>
        </w:rPr>
        <w:t> </w:t>
      </w:r>
      <w:r>
        <w:rPr>
          <w:spacing w:val="-39"/>
        </w:rPr>
      </w:r>
      <w:r>
        <w:rPr/>
        <w:t>增持完成后</w:t>
      </w:r>
      <w:r>
        <w:rPr>
          <w:rFonts w:ascii="宋体" w:hAnsi="宋体" w:cs="宋体" w:eastAsia="宋体" w:hint="default"/>
        </w:rPr>
        <w:t>6</w:t>
      </w:r>
      <w:r>
        <w:rPr/>
        <w:t>个月内不减持所持有的公司股票。</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2,413,277,806.75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1,942,221,214.28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2,413,277,806.75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1,942,221,214.28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1,110,590,446.67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898,859,977.97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355,234,493.15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272,105,192.12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916,804,238.78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755,718,274.48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30,648,628.15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15,537,769.71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134,902,229.40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120,029,271.04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410,498,554.93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322,020,277.33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1,213,396,081.23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1,061,035,449.36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247,360,975.19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177,713,241.11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110,045,467.99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70,891,074.32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133,212,934.93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101,966,613.75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163,861,563.08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88,565,287.37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2,413,277,806.75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1,826,570,741.26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1,110,590,446.67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799,672,670.52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355,234,493.15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236,175,596.84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916,804,238.78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774,100,680.15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410,498,554.93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310,334,368.94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1,213,396,081.23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910,545,514.52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247,360,975.19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184,848,959.02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1,826,570,741.26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1,421,238,000.04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28.52%</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799,672,670.52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630,745,424.42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236,175,596.84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182,913,330.61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774,100,680.15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602,320,664.42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16,621,793.75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5,258,580.60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216.09%</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4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10</w:t>
      </w:r>
      <w:r>
        <w:rPr/>
        <w:t>月，公司处置浙江交通宝互联网技术有限公司的股权，从丧失控制权时点起，将其不纳入合并报表范围。</w:t>
      </w:r>
    </w:p>
    <w:p>
      <w:pPr>
        <w:pStyle w:val="BodyText"/>
        <w:spacing w:line="316" w:lineRule="auto" w:before="2"/>
        <w:ind w:right="1122"/>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12</w:t>
      </w:r>
      <w:r>
        <w:rPr/>
        <w:t>月，公司注销了重庆银江交通工程有限公司，自注销之日起，重庆银江交通工程有限公司不再纳入公司合并财 务报表范围。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366,880,290.83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99,295,264.87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82,189,663.13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51,980,305.42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45,415,057.41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366,880,290.83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r>
    </w:tbl>
    <w:p>
      <w:pPr>
        <w:pStyle w:val="BodyText"/>
        <w:spacing w:line="240" w:lineRule="auto" w:before="51"/>
        <w:ind w:right="0"/>
        <w:jc w:val="left"/>
      </w:pPr>
      <w:r>
        <w:rPr/>
        <w:t>主要客户其他情况说明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291,772,989.10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80,529,882.83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56,070,527.76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53,956,078.96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51,216,499.55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291,772,989.10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56,229,028.07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53,674,378.70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160,842,931.73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159,270,787.53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52,226,196.61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28,335,502.00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84.31%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项目规模增加，投入较大，借款增加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导致财务费用增加</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83,470,067.15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61,989,409.17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公司增加研发投入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2018</w:t>
      </w:r>
      <w:r>
        <w:rPr>
          <w:spacing w:val="-2"/>
        </w:rPr>
        <w:t>年度，公司持续加大研发投入，积极将更多已完成的技术研发成果自主知识产权和技术专利等转化为能进一步提升公司</w:t>
      </w:r>
      <w:r>
        <w:rPr>
          <w:spacing w:val="-60"/>
        </w:rPr>
        <w:t> </w:t>
      </w:r>
      <w:r>
        <w:rPr>
          <w:spacing w:val="-60"/>
        </w:rPr>
      </w:r>
      <w:r>
        <w:rPr/>
        <w:t>核心竞争能力的无形资产，报告期内研发投入总额 </w:t>
      </w:r>
      <w:r>
        <w:rPr>
          <w:rFonts w:ascii="Times New Roman" w:hAnsi="Times New Roman" w:cs="Times New Roman" w:eastAsia="Times New Roman" w:hint="default"/>
        </w:rPr>
        <w:t>111,649,420.66</w:t>
      </w:r>
      <w:r>
        <w:rPr>
          <w:rFonts w:ascii="Times New Roman" w:hAnsi="Times New Roman" w:cs="Times New Roman" w:eastAsia="Times New Roman" w:hint="default"/>
          <w:spacing w:val="7"/>
        </w:rPr>
        <w:t> </w:t>
      </w:r>
      <w:r>
        <w:rPr/>
        <w:t>元。公司重大研发创新项目主要有：</w:t>
      </w:r>
    </w:p>
    <w:p>
      <w:pPr>
        <w:pStyle w:val="BodyText"/>
        <w:spacing w:line="307" w:lineRule="auto"/>
        <w:ind w:right="0"/>
        <w:jc w:val="left"/>
      </w:pPr>
      <w:r>
        <w:rPr>
          <w:rFonts w:ascii="Times New Roman" w:hAnsi="Times New Roman" w:cs="Times New Roman" w:eastAsia="Times New Roman" w:hint="default"/>
        </w:rPr>
        <w:t>1</w:t>
      </w:r>
      <w:r>
        <w:rPr/>
        <w:t>、城市级交通超能计算机平台关键技术研发与应用 城市级交通超能计算平台，来源于杭州</w:t>
      </w:r>
      <w:r>
        <w:rPr>
          <w:rFonts w:ascii="Times New Roman" w:hAnsi="Times New Roman" w:cs="Times New Roman" w:eastAsia="Times New Roman" w:hint="default"/>
        </w:rPr>
        <w:t>“</w:t>
      </w:r>
      <w:r>
        <w:rPr/>
        <w:t>城市大脑</w:t>
      </w:r>
      <w:r>
        <w:rPr>
          <w:rFonts w:ascii="Times New Roman" w:hAnsi="Times New Roman" w:cs="Times New Roman" w:eastAsia="Times New Roman" w:hint="default"/>
        </w:rPr>
        <w:t>”</w:t>
      </w:r>
      <w:r>
        <w:rPr/>
        <w:t>计划，以及公司承担建设的杭州市交通信号配时中心项目。</w:t>
      </w:r>
      <w:r>
        <w:rPr>
          <w:spacing w:val="-19"/>
        </w:rPr>
        <w:t> </w:t>
      </w:r>
      <w:r>
        <w:rPr/>
        <w:t>以</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 </w:t>
      </w:r>
      <w:r>
        <w:rPr>
          <w:spacing w:val="-2"/>
        </w:rPr>
        <w:t>人工智能</w:t>
      </w:r>
      <w:r>
        <w:rPr>
          <w:rFonts w:ascii="Times New Roman" w:hAnsi="Times New Roman" w:cs="Times New Roman" w:eastAsia="Times New Roman" w:hint="default"/>
          <w:spacing w:val="-2"/>
        </w:rPr>
        <w:t>+</w:t>
      </w:r>
      <w:r>
        <w:rPr>
          <w:spacing w:val="-2"/>
        </w:rPr>
        <w:t>交通模型</w:t>
      </w:r>
      <w:r>
        <w:rPr>
          <w:rFonts w:ascii="Times New Roman" w:hAnsi="Times New Roman" w:cs="Times New Roman" w:eastAsia="Times New Roman" w:hint="default"/>
          <w:spacing w:val="-2"/>
        </w:rPr>
        <w:t>”</w:t>
      </w:r>
      <w:r>
        <w:rPr>
          <w:spacing w:val="-2"/>
        </w:rPr>
        <w:t>为核心技术，面向城市全域交通数据治理、城市全域交通资源统筹利用，首次系统地界定量化表达城市</w:t>
      </w:r>
      <w:r>
        <w:rPr>
          <w:spacing w:val="-64"/>
        </w:rPr>
        <w:t> </w:t>
      </w:r>
      <w:r>
        <w:rPr>
          <w:spacing w:val="-64"/>
        </w:rPr>
      </w:r>
      <w:r>
        <w:rPr>
          <w:spacing w:val="-2"/>
        </w:rPr>
        <w:t>交通资源，进而对城市交通资源进行统筹分配、优化、计算。城市交通底层资源的构建、表达和计算，已成为城市交通智能</w:t>
      </w:r>
      <w:r>
        <w:rPr>
          <w:spacing w:val="-67"/>
        </w:rPr>
        <w:t> </w:t>
      </w:r>
      <w:r>
        <w:rPr>
          <w:spacing w:val="-67"/>
        </w:rPr>
      </w:r>
      <w:r>
        <w:rPr>
          <w:spacing w:val="-2"/>
        </w:rPr>
        <w:t>化以及未来</w:t>
      </w:r>
      <w:r>
        <w:rPr>
          <w:rFonts w:ascii="Times New Roman" w:hAnsi="Times New Roman" w:cs="Times New Roman" w:eastAsia="Times New Roman" w:hint="default"/>
          <w:spacing w:val="-2"/>
        </w:rPr>
        <w:t>AI</w:t>
      </w:r>
      <w:r>
        <w:rPr>
          <w:spacing w:val="-2"/>
        </w:rPr>
        <w:t>化的关键基础。是对接未来各类云端</w:t>
      </w:r>
      <w:r>
        <w:rPr>
          <w:rFonts w:ascii="Times New Roman" w:hAnsi="Times New Roman" w:cs="Times New Roman" w:eastAsia="Times New Roman" w:hint="default"/>
          <w:spacing w:val="-2"/>
        </w:rPr>
        <w:t>“</w:t>
      </w:r>
      <w:r>
        <w:rPr>
          <w:spacing w:val="-2"/>
        </w:rPr>
        <w:t>大脑</w:t>
      </w:r>
      <w:r>
        <w:rPr>
          <w:rFonts w:ascii="Times New Roman" w:hAnsi="Times New Roman" w:cs="Times New Roman" w:eastAsia="Times New Roman" w:hint="default"/>
          <w:spacing w:val="-2"/>
        </w:rPr>
        <w:t>”</w:t>
      </w:r>
      <w:r>
        <w:rPr>
          <w:spacing w:val="-2"/>
        </w:rPr>
        <w:t>以及无人驾驶或车路协同的关键资源平台。本项目创新性地提出城</w:t>
      </w:r>
      <w:r>
        <w:rPr>
          <w:spacing w:val="-52"/>
        </w:rPr>
        <w:t> </w:t>
      </w:r>
      <w:r>
        <w:rPr>
          <w:spacing w:val="-52"/>
        </w:rPr>
      </w:r>
      <w:r>
        <w:rPr>
          <w:spacing w:val="-2"/>
        </w:rPr>
        <w:t>市交通资源所应包含的内容；研发了城市交通资源池构建技术，对城市交通资源进行了统一表达；进而对交通大数据交换以</w:t>
      </w:r>
      <w:r>
        <w:rPr>
          <w:spacing w:val="-66"/>
        </w:rPr>
        <w:t> </w:t>
      </w:r>
      <w:r>
        <w:rPr>
          <w:spacing w:val="-66"/>
        </w:rPr>
      </w:r>
      <w:r>
        <w:rPr/>
        <w:t>及机器学习计算引擎架构技术进行了深入研究，为城市交通资源的规范输出和计算分析提供了体系性的技术方案。</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Enloop</w:t>
      </w:r>
      <w:r>
        <w:rPr/>
        <w:t>大数据核心平台关键技术研发与应用 </w:t>
      </w:r>
      <w:r>
        <w:rPr>
          <w:rFonts w:ascii="Times New Roman" w:hAnsi="Times New Roman" w:cs="Times New Roman" w:eastAsia="Times New Roman" w:hint="default"/>
        </w:rPr>
        <w:t>Enloop</w:t>
      </w:r>
      <w:r>
        <w:rPr/>
        <w:t>平台以构建</w:t>
      </w:r>
      <w:r>
        <w:rPr>
          <w:rFonts w:ascii="Times New Roman" w:hAnsi="Times New Roman" w:cs="Times New Roman" w:eastAsia="Times New Roman" w:hint="default"/>
        </w:rPr>
        <w:t>“</w:t>
      </w:r>
      <w:r>
        <w:rPr/>
        <w:t>数据从业务中来，信息回业务中去</w:t>
      </w:r>
      <w:r>
        <w:rPr>
          <w:rFonts w:ascii="Times New Roman" w:hAnsi="Times New Roman" w:cs="Times New Roman" w:eastAsia="Times New Roman" w:hint="default"/>
        </w:rPr>
        <w:t>”</w:t>
      </w:r>
      <w:r>
        <w:rPr/>
        <w:t>的大数据应用闭环为目标，持续研发并提供通用的大数据共性技术平 </w:t>
      </w:r>
      <w:r>
        <w:rPr>
          <w:spacing w:val="-4"/>
        </w:rPr>
        <w:t>台，为政府、企业提供从数据汇聚、清洗、转换、脱敏、共享、交换到数据分析、可视化表达、智能应用等一系列开发支撑。</w:t>
      </w:r>
      <w:r>
        <w:rPr>
          <w:spacing w:val="-50"/>
        </w:rPr>
        <w:t> </w:t>
      </w:r>
      <w:r>
        <w:rPr>
          <w:spacing w:val="-50"/>
        </w:rPr>
      </w:r>
      <w:r>
        <w:rPr/>
        <w:t>平台包括两大核心组件：</w:t>
      </w:r>
      <w:r>
        <w:rPr>
          <w:spacing w:val="-57"/>
        </w:rPr>
        <w:t> </w:t>
      </w:r>
      <w:r>
        <w:rPr>
          <w:rFonts w:ascii="Times New Roman" w:hAnsi="Times New Roman" w:cs="Times New Roman" w:eastAsia="Times New Roman" w:hint="default"/>
        </w:rPr>
        <w:t>Enloop-Hub</w:t>
      </w:r>
      <w:r>
        <w:rPr/>
        <w:t>数据交换引擎和</w:t>
      </w:r>
      <w:r>
        <w:rPr>
          <w:rFonts w:ascii="Times New Roman" w:hAnsi="Times New Roman" w:cs="Times New Roman" w:eastAsia="Times New Roman" w:hint="default"/>
        </w:rPr>
        <w:t>Enloop-ana</w:t>
      </w:r>
      <w:r>
        <w:rPr/>
        <w:t>智能分析引擎，前者服务于大数据的形成、治理与流通，后 者服务于数据价值的高校分析、利用。平台</w:t>
      </w:r>
      <w:r>
        <w:rPr>
          <w:rFonts w:ascii="Times New Roman" w:hAnsi="Times New Roman" w:cs="Times New Roman" w:eastAsia="Times New Roman" w:hint="default"/>
        </w:rPr>
        <w:t>V2.0</w:t>
      </w:r>
      <w:r>
        <w:rPr/>
        <w:t>版本已应用于医疗、司法等领域。</w:t>
      </w:r>
    </w:p>
    <w:p>
      <w:pPr>
        <w:pStyle w:val="BodyText"/>
        <w:spacing w:line="307" w:lineRule="auto" w:before="9"/>
        <w:ind w:right="1032" w:firstLine="73"/>
        <w:jc w:val="left"/>
      </w:pPr>
      <w:r>
        <w:rPr>
          <w:rFonts w:ascii="Times New Roman" w:hAnsi="Times New Roman" w:cs="Times New Roman" w:eastAsia="Times New Roman" w:hint="default"/>
        </w:rPr>
        <w:t>Enloop-Hub</w:t>
      </w:r>
      <w:r>
        <w:rPr/>
        <w:t>数据交换引擎是一款面向数据归集、治理和交换领域的产品，提供一体机柜和平台软件两种产品形态。并结合 咨询服务和技术服务，实现数据孤岛连接、数据家底理清、数据质量提升、数据安全交换，帮助政府和企业进行数据归集、 治理和交换，实现数据供给方</w:t>
      </w:r>
      <w:r>
        <w:rPr>
          <w:rFonts w:ascii="Times New Roman" w:hAnsi="Times New Roman" w:cs="Times New Roman" w:eastAsia="Times New Roman" w:hint="default"/>
        </w:rPr>
        <w:t>“</w:t>
      </w:r>
      <w:r>
        <w:rPr/>
        <w:t>供得出、供得好、接得进</w:t>
      </w:r>
      <w:r>
        <w:rPr>
          <w:rFonts w:ascii="Times New Roman" w:hAnsi="Times New Roman" w:cs="Times New Roman" w:eastAsia="Times New Roman" w:hint="default"/>
        </w:rPr>
        <w:t>”</w:t>
      </w:r>
      <w:r>
        <w:rPr/>
        <w:t>，数据需求方</w:t>
      </w:r>
      <w:r>
        <w:rPr>
          <w:rFonts w:ascii="Times New Roman" w:hAnsi="Times New Roman" w:cs="Times New Roman" w:eastAsia="Times New Roman" w:hint="default"/>
        </w:rPr>
        <w:t>“</w:t>
      </w:r>
      <w:r>
        <w:rPr/>
        <w:t>找的见、拿得到</w:t>
      </w:r>
      <w:r>
        <w:rPr>
          <w:rFonts w:ascii="Times New Roman" w:hAnsi="Times New Roman" w:cs="Times New Roman" w:eastAsia="Times New Roman" w:hint="default"/>
        </w:rPr>
        <w:t>”</w:t>
      </w:r>
      <w:r>
        <w:rPr/>
        <w:t>，数据管理方</w:t>
      </w:r>
      <w:r>
        <w:rPr>
          <w:rFonts w:ascii="Times New Roman" w:hAnsi="Times New Roman" w:cs="Times New Roman" w:eastAsia="Times New Roman" w:hint="default"/>
        </w:rPr>
        <w:t>“</w:t>
      </w:r>
      <w:r>
        <w:rPr/>
        <w:t>看得清、管得了</w:t>
      </w:r>
      <w:r>
        <w:rPr>
          <w:rFonts w:ascii="Times New Roman" w:hAnsi="Times New Roman" w:cs="Times New Roman" w:eastAsia="Times New Roman" w:hint="default"/>
        </w:rPr>
        <w:t>”</w:t>
      </w:r>
      <w:r>
        <w:rPr/>
        <w:t>， 实现数据资产的有序管理。该引擎</w:t>
      </w:r>
      <w:r>
        <w:rPr>
          <w:rFonts w:ascii="Times New Roman" w:hAnsi="Times New Roman" w:cs="Times New Roman" w:eastAsia="Times New Roman" w:hint="default"/>
        </w:rPr>
        <w:t>V2.0</w:t>
      </w:r>
      <w:r>
        <w:rPr/>
        <w:t>版本的核心技术特性是</w:t>
      </w:r>
      <w:r>
        <w:rPr>
          <w:rFonts w:ascii="Times New Roman" w:hAnsi="Times New Roman" w:cs="Times New Roman" w:eastAsia="Times New Roman" w:hint="default"/>
        </w:rPr>
        <w:t>“</w:t>
      </w:r>
      <w:r>
        <w:rPr/>
        <w:t>多层次可扩展的技术架构</w:t>
      </w:r>
      <w:r>
        <w:rPr>
          <w:rFonts w:ascii="Times New Roman" w:hAnsi="Times New Roman" w:cs="Times New Roman" w:eastAsia="Times New Roman" w:hint="default"/>
        </w:rPr>
        <w:t>”</w:t>
      </w:r>
      <w:r>
        <w:rPr/>
        <w:t>，从组件层、作业层、数据架构层 </w:t>
      </w:r>
      <w:r>
        <w:rPr>
          <w:spacing w:val="-2"/>
        </w:rPr>
        <w:t>同时具备分布式处理特性，使得针对任何规模的数据治理交换问题，不存在瓶颈。下一阶段的主要研发方向是加强数据保护</w:t>
      </w:r>
      <w:r>
        <w:rPr>
          <w:spacing w:val="-66"/>
        </w:rPr>
        <w:t> </w:t>
      </w:r>
      <w:r>
        <w:rPr>
          <w:spacing w:val="-66"/>
        </w:rPr>
      </w:r>
      <w:r>
        <w:rPr/>
        <w:t>与交换安全性的研发；探索整合区块链技术，实现数据存管与交换全程留痕，开展</w:t>
      </w:r>
      <w:r>
        <w:rPr>
          <w:rFonts w:ascii="Times New Roman" w:hAnsi="Times New Roman" w:cs="Times New Roman" w:eastAsia="Times New Roman" w:hint="default"/>
        </w:rPr>
        <w:t>“</w:t>
      </w:r>
      <w:r>
        <w:rPr/>
        <w:t>数据治理交换运营服务</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最多跑一次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推广应用。</w:t>
      </w:r>
    </w:p>
    <w:p>
      <w:pPr>
        <w:pStyle w:val="BodyText"/>
        <w:spacing w:line="307" w:lineRule="auto" w:before="26"/>
        <w:ind w:right="1130"/>
        <w:jc w:val="left"/>
      </w:pPr>
      <w:r>
        <w:rPr>
          <w:rFonts w:ascii="Times New Roman" w:hAnsi="Times New Roman" w:cs="Times New Roman" w:eastAsia="Times New Roman" w:hint="default"/>
          <w:spacing w:val="-2"/>
        </w:rPr>
        <w:t>Enloop-Ana</w:t>
      </w:r>
      <w:r>
        <w:rPr>
          <w:spacing w:val="-2"/>
        </w:rPr>
        <w:t>是一套集数据仓库、数据挖掘模型、交互式</w:t>
      </w:r>
      <w:r>
        <w:rPr>
          <w:rFonts w:ascii="Times New Roman" w:hAnsi="Times New Roman" w:cs="Times New Roman" w:eastAsia="Times New Roman" w:hint="default"/>
          <w:spacing w:val="-2"/>
        </w:rPr>
        <w:t>BI</w:t>
      </w:r>
      <w:r>
        <w:rPr>
          <w:spacing w:val="-2"/>
        </w:rPr>
        <w:t>工具、可视化应用组件和人工智能算法服务应用于一体的大数据分</w:t>
      </w:r>
      <w:r>
        <w:rPr>
          <w:spacing w:val="-36"/>
        </w:rPr>
        <w:t> </w:t>
      </w:r>
      <w:r>
        <w:rPr>
          <w:spacing w:val="-36"/>
        </w:rPr>
      </w:r>
      <w:r>
        <w:rPr>
          <w:spacing w:val="-4"/>
        </w:rPr>
        <w:t>析与应用服务支撑平台。平台以系统辨识（</w:t>
      </w:r>
      <w:r>
        <w:rPr>
          <w:rFonts w:ascii="Times New Roman" w:hAnsi="Times New Roman" w:cs="Times New Roman" w:eastAsia="Times New Roman" w:hint="default"/>
          <w:spacing w:val="-4"/>
        </w:rPr>
        <w:t>SI</w:t>
      </w:r>
      <w:r>
        <w:rPr>
          <w:spacing w:val="-4"/>
        </w:rPr>
        <w:t>）为理论基础，以</w:t>
      </w:r>
      <w:r>
        <w:rPr>
          <w:rFonts w:ascii="Times New Roman" w:hAnsi="Times New Roman" w:cs="Times New Roman" w:eastAsia="Times New Roman" w:hint="default"/>
          <w:spacing w:val="-4"/>
        </w:rPr>
        <w:t>“</w:t>
      </w:r>
      <w:r>
        <w:rPr>
          <w:spacing w:val="-4"/>
        </w:rPr>
        <w:t>知、预、行</w:t>
      </w:r>
      <w:r>
        <w:rPr>
          <w:rFonts w:ascii="Times New Roman" w:hAnsi="Times New Roman" w:cs="Times New Roman" w:eastAsia="Times New Roman" w:hint="default"/>
          <w:spacing w:val="-4"/>
        </w:rPr>
        <w:t>”</w:t>
      </w:r>
      <w:r>
        <w:rPr>
          <w:spacing w:val="-4"/>
        </w:rPr>
        <w:t>为数据开发方法论，形成了</w:t>
      </w:r>
      <w:r>
        <w:rPr>
          <w:rFonts w:ascii="Times New Roman" w:hAnsi="Times New Roman" w:cs="Times New Roman" w:eastAsia="Times New Roman" w:hint="default"/>
          <w:spacing w:val="-4"/>
        </w:rPr>
        <w:t>3</w:t>
      </w:r>
      <w:r>
        <w:rPr>
          <w:spacing w:val="-4"/>
        </w:rPr>
        <w:t>大核心支撑模块</w:t>
      </w:r>
      <w:r>
        <w:rPr>
          <w:rFonts w:ascii="Times New Roman" w:hAnsi="Times New Roman" w:cs="Times New Roman" w:eastAsia="Times New Roman" w:hint="default"/>
          <w:spacing w:val="-4"/>
        </w:rPr>
        <w:t>“</w:t>
      </w:r>
      <w:r>
        <w:rPr>
          <w:spacing w:val="-4"/>
        </w:rPr>
        <w:t>数</w:t>
      </w:r>
      <w:r>
        <w:rPr>
          <w:spacing w:val="-80"/>
        </w:rPr>
        <w:t> </w:t>
      </w:r>
      <w:r>
        <w:rPr>
          <w:spacing w:val="-2"/>
        </w:rPr>
        <w:t>据洞察</w:t>
      </w:r>
      <w:r>
        <w:rPr>
          <w:rFonts w:ascii="Times New Roman" w:hAnsi="Times New Roman" w:cs="Times New Roman" w:eastAsia="Times New Roman" w:hint="default"/>
          <w:spacing w:val="-2"/>
        </w:rPr>
        <w:t>”</w:t>
      </w:r>
      <w:r>
        <w:rPr>
          <w:spacing w:val="-2"/>
        </w:rPr>
        <w:t>引擎、</w:t>
      </w:r>
      <w:r>
        <w:rPr>
          <w:rFonts w:ascii="Times New Roman" w:hAnsi="Times New Roman" w:cs="Times New Roman" w:eastAsia="Times New Roman" w:hint="default"/>
          <w:spacing w:val="-2"/>
        </w:rPr>
        <w:t>“</w:t>
      </w:r>
      <w:r>
        <w:rPr>
          <w:spacing w:val="-2"/>
        </w:rPr>
        <w:t>模型集市</w:t>
      </w:r>
      <w:r>
        <w:rPr>
          <w:rFonts w:ascii="Times New Roman" w:hAnsi="Times New Roman" w:cs="Times New Roman" w:eastAsia="Times New Roman" w:hint="default"/>
          <w:spacing w:val="-2"/>
        </w:rPr>
        <w:t>”</w:t>
      </w:r>
      <w:r>
        <w:rPr>
          <w:spacing w:val="-2"/>
        </w:rPr>
        <w:t>引擎与</w:t>
      </w:r>
      <w:r>
        <w:rPr>
          <w:rFonts w:ascii="Times New Roman" w:hAnsi="Times New Roman" w:cs="Times New Roman" w:eastAsia="Times New Roman" w:hint="default"/>
          <w:spacing w:val="-2"/>
        </w:rPr>
        <w:t>“</w:t>
      </w:r>
      <w:r>
        <w:rPr>
          <w:spacing w:val="-2"/>
        </w:rPr>
        <w:t>智能应用</w:t>
      </w:r>
      <w:r>
        <w:rPr>
          <w:rFonts w:ascii="Times New Roman" w:hAnsi="Times New Roman" w:cs="Times New Roman" w:eastAsia="Times New Roman" w:hint="default"/>
          <w:spacing w:val="-2"/>
        </w:rPr>
        <w:t>”</w:t>
      </w:r>
      <w:r>
        <w:rPr>
          <w:spacing w:val="-2"/>
        </w:rPr>
        <w:t>引擎。</w:t>
      </w:r>
      <w:r>
        <w:rPr>
          <w:rFonts w:ascii="Times New Roman" w:hAnsi="Times New Roman" w:cs="Times New Roman" w:eastAsia="Times New Roman" w:hint="default"/>
          <w:spacing w:val="-2"/>
        </w:rPr>
        <w:t>"</w:t>
      </w:r>
      <w:r>
        <w:rPr>
          <w:spacing w:val="-2"/>
        </w:rPr>
        <w:t>数据洞察</w:t>
      </w:r>
      <w:r>
        <w:rPr>
          <w:rFonts w:ascii="Times New Roman" w:hAnsi="Times New Roman" w:cs="Times New Roman" w:eastAsia="Times New Roman" w:hint="default"/>
          <w:spacing w:val="-2"/>
        </w:rPr>
        <w:t>"</w:t>
      </w:r>
      <w:r>
        <w:rPr>
          <w:spacing w:val="-2"/>
        </w:rPr>
        <w:t>引擎研发并集成了可视化组件和交互式</w:t>
      </w:r>
      <w:r>
        <w:rPr>
          <w:rFonts w:ascii="Times New Roman" w:hAnsi="Times New Roman" w:cs="Times New Roman" w:eastAsia="Times New Roman" w:hint="default"/>
          <w:spacing w:val="-2"/>
        </w:rPr>
        <w:t>BI</w:t>
      </w:r>
      <w:r>
        <w:rPr>
          <w:spacing w:val="-2"/>
        </w:rPr>
        <w:t>分析工具，可高效支</w:t>
      </w:r>
      <w:r>
        <w:rPr>
          <w:spacing w:val="-66"/>
        </w:rPr>
        <w:t> </w:t>
      </w:r>
      <w:r>
        <w:rPr>
          <w:spacing w:val="-66"/>
        </w:rPr>
      </w:r>
      <w:r>
        <w:rPr>
          <w:spacing w:val="-2"/>
        </w:rPr>
        <w:t>撑指标分析体系的逐级展现、大屏设计与开发。</w:t>
      </w:r>
      <w:r>
        <w:rPr>
          <w:rFonts w:ascii="Times New Roman" w:hAnsi="Times New Roman" w:cs="Times New Roman" w:eastAsia="Times New Roman" w:hint="default"/>
          <w:spacing w:val="-2"/>
        </w:rPr>
        <w:t>“</w:t>
      </w:r>
      <w:r>
        <w:rPr>
          <w:spacing w:val="-2"/>
        </w:rPr>
        <w:t>模型集市</w:t>
      </w:r>
      <w:r>
        <w:rPr>
          <w:rFonts w:ascii="Times New Roman" w:hAnsi="Times New Roman" w:cs="Times New Roman" w:eastAsia="Times New Roman" w:hint="default"/>
          <w:spacing w:val="-2"/>
        </w:rPr>
        <w:t>”</w:t>
      </w:r>
      <w:r>
        <w:rPr>
          <w:spacing w:val="-2"/>
        </w:rPr>
        <w:t>引擎研发并集成了通用的聚类、分类、回归等数据挖掘算法；并</w:t>
      </w:r>
      <w:r>
        <w:rPr>
          <w:spacing w:val="-46"/>
        </w:rPr>
        <w:t> </w:t>
      </w:r>
      <w:r>
        <w:rPr>
          <w:spacing w:val="-46"/>
        </w:rPr>
      </w:r>
      <w:r>
        <w:rPr>
          <w:spacing w:val="-3"/>
        </w:rPr>
        <w:t>积累了面向司法、交通、医疗等多个行业领域特殊主题的分析、预测模型，为大数据的多视角价值发现提供了有力工具。</w:t>
      </w:r>
      <w:r>
        <w:rPr>
          <w:rFonts w:ascii="Times New Roman" w:hAnsi="Times New Roman" w:cs="Times New Roman" w:eastAsia="Times New Roman" w:hint="default"/>
          <w:spacing w:val="-3"/>
        </w:rPr>
        <w:t>“</w:t>
      </w:r>
      <w:r>
        <w:rPr>
          <w:spacing w:val="-3"/>
        </w:rPr>
        <w:t>智</w:t>
      </w:r>
      <w:r>
        <w:rPr/>
        <w:t> 能应用</w:t>
      </w:r>
      <w:r>
        <w:rPr>
          <w:rFonts w:ascii="Times New Roman" w:hAnsi="Times New Roman" w:cs="Times New Roman" w:eastAsia="Times New Roman" w:hint="default"/>
        </w:rPr>
        <w:t>”</w:t>
      </w:r>
      <w:r>
        <w:rPr/>
        <w:t>引擎通过集成知识图谱构建引擎、深度学习引擎与模型、文本智能识别引擎向上提供应用支撑。在此基础上，目前 </w:t>
      </w:r>
      <w:r>
        <w:rPr>
          <w:spacing w:val="-2"/>
        </w:rPr>
        <w:t>已在司法领域推出的</w:t>
      </w:r>
      <w:r>
        <w:rPr>
          <w:rFonts w:ascii="Times New Roman" w:hAnsi="Times New Roman" w:cs="Times New Roman" w:eastAsia="Times New Roman" w:hint="default"/>
          <w:spacing w:val="-2"/>
        </w:rPr>
        <w:t>“</w:t>
      </w:r>
      <w:r>
        <w:rPr>
          <w:spacing w:val="-2"/>
        </w:rPr>
        <w:t>同案同调引擎</w:t>
      </w:r>
      <w:r>
        <w:rPr>
          <w:rFonts w:ascii="Times New Roman" w:hAnsi="Times New Roman" w:cs="Times New Roman" w:eastAsia="Times New Roman" w:hint="default"/>
          <w:spacing w:val="-2"/>
        </w:rPr>
        <w:t>”</w:t>
      </w:r>
      <w:r>
        <w:rPr>
          <w:spacing w:val="-2"/>
        </w:rPr>
        <w:t>，赋能人民调解员提高矛盾纠纷化解的效能，提供相似案例检索、相似案情分析、相似</w:t>
      </w:r>
      <w:r>
        <w:rPr>
          <w:spacing w:val="-44"/>
        </w:rPr>
        <w:t> </w:t>
      </w:r>
      <w:r>
        <w:rPr>
          <w:spacing w:val="-44"/>
        </w:rPr>
      </w:r>
      <w:r>
        <w:rPr>
          <w:spacing w:val="-2"/>
        </w:rPr>
        <w:t>裁判文书推荐和相关法律条文推荐等功能。</w:t>
      </w:r>
      <w:r>
        <w:rPr>
          <w:rFonts w:ascii="Times New Roman" w:hAnsi="Times New Roman" w:cs="Times New Roman" w:eastAsia="Times New Roman" w:hint="default"/>
          <w:spacing w:val="-2"/>
        </w:rPr>
        <w:t>Enloop-Ana</w:t>
      </w:r>
      <w:r>
        <w:rPr>
          <w:spacing w:val="-2"/>
        </w:rPr>
        <w:t>下一阶段的主要研发目标是加强数据洞察引擎的大屏模板开发、风格</w:t>
      </w:r>
      <w:r>
        <w:rPr>
          <w:spacing w:val="-37"/>
        </w:rPr>
        <w:t> </w:t>
      </w:r>
      <w:r>
        <w:rPr>
          <w:spacing w:val="-37"/>
        </w:rPr>
      </w:r>
      <w:r>
        <w:rPr/>
        <w:t>配置工具开发、微服务中控开发，并强化智能应用引擎在文本、图像、语音数据结构化方面的组件功能。 </w:t>
      </w:r>
      <w:r>
        <w:rPr>
          <w:rFonts w:ascii="Times New Roman" w:hAnsi="Times New Roman" w:cs="Times New Roman" w:eastAsia="Times New Roman" w:hint="default"/>
        </w:rPr>
        <w:t>3</w:t>
      </w:r>
      <w:r>
        <w:rPr/>
        <w:t>、智慧司法关键技术研发与应用 </w:t>
      </w:r>
      <w:r>
        <w:rPr>
          <w:spacing w:val="-2"/>
        </w:rPr>
        <w:t>公司针对司法行政领域打造的感控社会矛盾，提升公共法律服务效能的专项解决方案，旨在促进司法大数据发展、司法行政</w:t>
      </w:r>
      <w:r>
        <w:rPr>
          <w:spacing w:val="-66"/>
        </w:rPr>
        <w:t> </w:t>
      </w:r>
      <w:r>
        <w:rPr>
          <w:spacing w:val="-66"/>
        </w:rPr>
      </w:r>
      <w:r>
        <w:rPr>
          <w:spacing w:val="-2"/>
        </w:rPr>
        <w:t>服务效率提升、公共法律服务全领域、全过程、全方位数字化、智能化、实现信息流、数据流、业务流实时汇聚。动态感知</w:t>
      </w:r>
      <w:r>
        <w:rPr>
          <w:spacing w:val="-67"/>
        </w:rPr>
        <w:t> </w:t>
      </w:r>
      <w:r>
        <w:rPr>
          <w:spacing w:val="-67"/>
        </w:rPr>
      </w:r>
      <w:r>
        <w:rPr>
          <w:spacing w:val="-2"/>
        </w:rPr>
        <w:t>社情民意，精准把握社会脉搏，提供社会风险热点预警。司法行政大数据的发展是建设法治国家、法治政府、法治社会一体</w:t>
      </w:r>
      <w:r>
        <w:rPr>
          <w:spacing w:val="-66"/>
        </w:rPr>
        <w:t> </w:t>
      </w:r>
      <w:r>
        <w:rPr>
          <w:spacing w:val="-66"/>
        </w:rPr>
      </w:r>
      <w:r>
        <w:rPr>
          <w:spacing w:val="-2"/>
        </w:rPr>
        <w:t>化的重要抓手。智慧司法解决方案包括五大平台：大数据基础资源平台、司法行政共享服务平台、社会矛盾风险大数据应用</w:t>
      </w:r>
      <w:r>
        <w:rPr>
          <w:spacing w:val="-66"/>
        </w:rPr>
        <w:t> </w:t>
      </w:r>
      <w:r>
        <w:rPr>
          <w:spacing w:val="-66"/>
        </w:rPr>
      </w:r>
      <w:r>
        <w:rPr>
          <w:spacing w:val="-2"/>
        </w:rPr>
        <w:t>平台、司法行政业务聚合平台、司法行政人工智能应用平台。</w:t>
      </w:r>
      <w:r>
        <w:rPr>
          <w:rFonts w:ascii="Times New Roman" w:hAnsi="Times New Roman" w:cs="Times New Roman" w:eastAsia="Times New Roman" w:hint="default"/>
          <w:spacing w:val="-2"/>
        </w:rPr>
        <w:t>“</w:t>
      </w:r>
      <w:r>
        <w:rPr>
          <w:spacing w:val="-2"/>
        </w:rPr>
        <w:t>大数据基础资源平台</w:t>
      </w:r>
      <w:r>
        <w:rPr>
          <w:rFonts w:ascii="Times New Roman" w:hAnsi="Times New Roman" w:cs="Times New Roman" w:eastAsia="Times New Roman" w:hint="default"/>
          <w:spacing w:val="-2"/>
        </w:rPr>
        <w:t>”</w:t>
      </w:r>
      <w:r>
        <w:rPr>
          <w:spacing w:val="-2"/>
        </w:rPr>
        <w:t>，实现归集所有司法业务数据，并形成</w:t>
      </w:r>
      <w:r>
        <w:rPr>
          <w:spacing w:val="-45"/>
        </w:rPr>
        <w:t> </w:t>
      </w:r>
      <w:r>
        <w:rPr>
          <w:spacing w:val="-45"/>
        </w:rPr>
      </w:r>
      <w:r>
        <w:rPr>
          <w:spacing w:val="-2"/>
        </w:rPr>
        <w:t>面向主题的大数据资源中心；</w:t>
      </w:r>
      <w:r>
        <w:rPr>
          <w:rFonts w:ascii="Times New Roman" w:hAnsi="Times New Roman" w:cs="Times New Roman" w:eastAsia="Times New Roman" w:hint="default"/>
          <w:spacing w:val="-2"/>
        </w:rPr>
        <w:t>“</w:t>
      </w:r>
      <w:r>
        <w:rPr>
          <w:spacing w:val="-2"/>
        </w:rPr>
        <w:t>司法行政共享服务平台</w:t>
      </w:r>
      <w:r>
        <w:rPr>
          <w:rFonts w:ascii="Times New Roman" w:hAnsi="Times New Roman" w:cs="Times New Roman" w:eastAsia="Times New Roman" w:hint="default"/>
          <w:spacing w:val="-2"/>
        </w:rPr>
        <w:t>”</w:t>
      </w:r>
      <w:r>
        <w:rPr>
          <w:spacing w:val="-2"/>
        </w:rPr>
        <w:t>是基于数据资源平台的公共应用共享服务平台，可服务于司法全系统</w:t>
      </w:r>
      <w:r>
        <w:rPr>
          <w:spacing w:val="-43"/>
        </w:rPr>
        <w:t> </w:t>
      </w:r>
      <w:r>
        <w:rPr>
          <w:spacing w:val="-43"/>
        </w:rPr>
      </w:r>
      <w:r>
        <w:rPr>
          <w:spacing w:val="-3"/>
        </w:rPr>
        <w:t>的一站式服务中心；</w:t>
      </w:r>
      <w:r>
        <w:rPr>
          <w:rFonts w:ascii="Times New Roman" w:hAnsi="Times New Roman" w:cs="Times New Roman" w:eastAsia="Times New Roman" w:hint="default"/>
          <w:spacing w:val="-3"/>
        </w:rPr>
        <w:t>“</w:t>
      </w:r>
      <w:r>
        <w:rPr>
          <w:spacing w:val="-3"/>
        </w:rPr>
        <w:t>社会矛盾风险大数据应用平台</w:t>
      </w:r>
      <w:r>
        <w:rPr>
          <w:rFonts w:ascii="Times New Roman" w:hAnsi="Times New Roman" w:cs="Times New Roman" w:eastAsia="Times New Roman" w:hint="default"/>
          <w:spacing w:val="-3"/>
        </w:rPr>
        <w:t>”</w:t>
      </w:r>
      <w:r>
        <w:rPr>
          <w:spacing w:val="-3"/>
        </w:rPr>
        <w:t>实现矛盾风险态势感知、指挥决策、司法资源优化配置决策的支撑；</w:t>
      </w:r>
      <w:r>
        <w:rPr>
          <w:rFonts w:ascii="Times New Roman" w:hAnsi="Times New Roman" w:cs="Times New Roman" w:eastAsia="Times New Roman" w:hint="default"/>
          <w:spacing w:val="-3"/>
        </w:rPr>
        <w:t>“</w:t>
      </w:r>
      <w:r>
        <w:rPr>
          <w:spacing w:val="-3"/>
        </w:rPr>
        <w:t>司</w:t>
      </w:r>
      <w:r>
        <w:rPr>
          <w:spacing w:val="-67"/>
        </w:rPr>
        <w:t> </w:t>
      </w:r>
      <w:r>
        <w:rPr/>
        <w:t>法行政业务聚合平台</w:t>
      </w:r>
      <w:r>
        <w:rPr>
          <w:rFonts w:ascii="Times New Roman" w:hAnsi="Times New Roman" w:cs="Times New Roman" w:eastAsia="Times New Roman" w:hint="default"/>
        </w:rPr>
        <w:t>”,</w:t>
      </w:r>
      <w:r>
        <w:rPr/>
        <w:t>实现对人民群众的司法行政业务的服务聚合，让数据多跑路，群众少跑腿；</w:t>
      </w:r>
      <w:r>
        <w:rPr>
          <w:rFonts w:ascii="Times New Roman" w:hAnsi="Times New Roman" w:cs="Times New Roman" w:eastAsia="Times New Roman" w:hint="default"/>
        </w:rPr>
        <w:t>“</w:t>
      </w:r>
      <w:r>
        <w:rPr/>
        <w:t>司法行政人工智能应用 平台</w:t>
      </w:r>
      <w:r>
        <w:rPr>
          <w:rFonts w:ascii="Times New Roman" w:hAnsi="Times New Roman" w:cs="Times New Roman" w:eastAsia="Times New Roman" w:hint="default"/>
        </w:rPr>
        <w:t>”</w:t>
      </w:r>
      <w:r>
        <w:rPr/>
        <w:t>，利用人工智能问答技术、案例智能分析技术、面向司法机构及人民群众提供法律知识问答、事件案情分析、矛盾化 解分流引导、精准信息推荐等功能。目前，该方案在某一线城市司法单位进行建设示范工程。 </w:t>
      </w:r>
      <w:r>
        <w:rPr>
          <w:rFonts w:ascii="Times New Roman" w:hAnsi="Times New Roman" w:cs="Times New Roman" w:eastAsia="Times New Roman" w:hint="default"/>
        </w:rPr>
        <w:t>4</w:t>
      </w:r>
      <w:r>
        <w:rPr/>
        <w:t>、智慧健康大数据分析平台与应用的关键技术研发与应用 智慧医疗大数据分析解决方案，是一款面向省市级卫生医疗单位的大数据分析决策综合解决方案，用于解决目前医疗资源 </w:t>
      </w:r>
      <w:r>
        <w:rPr>
          <w:spacing w:val="-2"/>
        </w:rPr>
        <w:t>分布不均、机构重复、医疗效率低下、医疗服务质量不高、药品价格虚高等问题。方案通过将目前医疗服务机构已有的医院</w:t>
      </w:r>
      <w:r>
        <w:rPr>
          <w:spacing w:val="-65"/>
        </w:rPr>
        <w:t> </w:t>
      </w:r>
      <w:r>
        <w:rPr>
          <w:spacing w:val="-65"/>
        </w:rPr>
      </w:r>
      <w:r>
        <w:rPr>
          <w:spacing w:val="-1"/>
        </w:rPr>
        <w:t>信息系统（</w:t>
      </w:r>
      <w:r>
        <w:rPr>
          <w:rFonts w:ascii="Times New Roman" w:hAnsi="Times New Roman" w:cs="Times New Roman" w:eastAsia="Times New Roman" w:hint="default"/>
          <w:spacing w:val="-1"/>
        </w:rPr>
        <w:t>HIS</w:t>
      </w:r>
      <w:r>
        <w:rPr>
          <w:spacing w:val="-1"/>
        </w:rPr>
        <w:t>）数据、检验信息系统（</w:t>
      </w:r>
      <w:r>
        <w:rPr>
          <w:rFonts w:ascii="Times New Roman" w:hAnsi="Times New Roman" w:cs="Times New Roman" w:eastAsia="Times New Roman" w:hint="default"/>
          <w:spacing w:val="-1"/>
        </w:rPr>
        <w:t>LIS</w:t>
      </w:r>
      <w:r>
        <w:rPr>
          <w:spacing w:val="-1"/>
        </w:rPr>
        <w:t>）数据、医学影像存档合传输系统（</w:t>
      </w:r>
      <w:r>
        <w:rPr>
          <w:rFonts w:ascii="Times New Roman" w:hAnsi="Times New Roman" w:cs="Times New Roman" w:eastAsia="Times New Roman" w:hint="default"/>
          <w:spacing w:val="-1"/>
        </w:rPr>
        <w:t>PACS</w:t>
      </w:r>
      <w:r>
        <w:rPr>
          <w:spacing w:val="-1"/>
        </w:rPr>
        <w:t>）数据和电子病历（</w:t>
      </w:r>
      <w:r>
        <w:rPr>
          <w:rFonts w:ascii="Times New Roman" w:hAnsi="Times New Roman" w:cs="Times New Roman" w:eastAsia="Times New Roman" w:hint="default"/>
          <w:spacing w:val="-1"/>
        </w:rPr>
        <w:t>EMR</w:t>
      </w:r>
      <w:r>
        <w:rPr>
          <w:spacing w:val="-1"/>
        </w:rPr>
        <w:t>）数据等现</w:t>
      </w:r>
      <w:r>
        <w:rPr>
          <w:spacing w:val="-80"/>
        </w:rPr>
        <w:t> </w:t>
      </w:r>
      <w:r>
        <w:rPr>
          <w:spacing w:val="-80"/>
        </w:rPr>
      </w:r>
      <w:r>
        <w:rPr>
          <w:spacing w:val="-2"/>
        </w:rPr>
        <w:t>有系统积累的医药医疗大数据和信息进行深度处理，采用最新的大数据技术、</w:t>
      </w:r>
      <w:r>
        <w:rPr>
          <w:rFonts w:ascii="Times New Roman" w:hAnsi="Times New Roman" w:cs="Times New Roman" w:eastAsia="Times New Roman" w:hint="default"/>
          <w:spacing w:val="-2"/>
        </w:rPr>
        <w:t>BI</w:t>
      </w:r>
      <w:r>
        <w:rPr>
          <w:spacing w:val="-2"/>
        </w:rPr>
        <w:t>和数据挖掘技术，数据能够互相联动、层层</w:t>
      </w:r>
      <w:r>
        <w:rPr>
          <w:spacing w:val="-64"/>
        </w:rPr>
        <w:t> </w:t>
      </w:r>
      <w:r>
        <w:rPr>
          <w:spacing w:val="-64"/>
        </w:rPr>
      </w:r>
      <w:r>
        <w:rPr>
          <w:spacing w:val="-2"/>
        </w:rPr>
        <w:t>下钻，形成对医疗行业具有新视角、全方位、智能性、预测性、可视性的深层次展示分析效果，使得卫生机构官员和医院管</w:t>
      </w:r>
      <w:r>
        <w:rPr>
          <w:spacing w:val="-67"/>
        </w:rPr>
        <w:t> </w:t>
      </w:r>
      <w:r>
        <w:rPr>
          <w:spacing w:val="-67"/>
        </w:rPr>
      </w:r>
      <w:r>
        <w:rPr>
          <w:spacing w:val="-2"/>
        </w:rPr>
        <w:t>理者能够更加有效的挖掘数据价值，形成更强的决策力，洞察发现力和流程优化能力。方案在多个方面强化已有医疗卫生信</w:t>
      </w:r>
      <w:r>
        <w:rPr>
          <w:spacing w:val="-66"/>
        </w:rPr>
        <w:t> </w:t>
      </w:r>
      <w:r>
        <w:rPr>
          <w:spacing w:val="-66"/>
        </w:rPr>
      </w:r>
      <w:r>
        <w:rPr>
          <w:spacing w:val="-2"/>
        </w:rPr>
        <w:t>息化系统的数据价值，包括任意查询、即兴分析、业务增强、规则约束、预测未来、发现知识、并提供互动性、及时性、预</w:t>
      </w:r>
      <w:r>
        <w:rPr>
          <w:spacing w:val="-70"/>
        </w:rPr>
        <w:t> </w:t>
      </w:r>
      <w:r>
        <w:rPr>
          <w:spacing w:val="-70"/>
        </w:rPr>
      </w:r>
      <w:r>
        <w:rPr>
          <w:spacing w:val="-2"/>
        </w:rPr>
        <w:t>知性、洞察性，从而达到实现智慧医疗的目标。智慧医疗大数据分析解决方案包括六大应用和十大分析，六大应用包括：患</w:t>
      </w:r>
      <w:r>
        <w:rPr>
          <w:spacing w:val="-66"/>
        </w:rPr>
        <w:t> </w:t>
      </w:r>
      <w:r>
        <w:rPr>
          <w:spacing w:val="-66"/>
        </w:rPr>
      </w:r>
      <w:r>
        <w:rPr>
          <w:spacing w:val="-2"/>
        </w:rPr>
        <w:t>者医疗治疗应用、慢性病预防治疗应用、医疗卫生管理机构应用、医疗卫生资源配置管理规划应用，医疗卫生资源配置管理</w:t>
      </w:r>
      <w:r>
        <w:rPr>
          <w:spacing w:val="-66"/>
        </w:rPr>
        <w:t> </w:t>
      </w:r>
      <w:r>
        <w:rPr>
          <w:spacing w:val="-66"/>
        </w:rPr>
      </w:r>
      <w:r>
        <w:rPr>
          <w:spacing w:val="-2"/>
        </w:rPr>
        <w:t>规划应用、政府监管应用；十大分析包括：患者分析、疾病分析、医生及医护人员分析、处方分析、居民人口分析、药品分</w:t>
      </w:r>
      <w:r>
        <w:rPr>
          <w:spacing w:val="-67"/>
        </w:rPr>
        <w:t> </w:t>
      </w:r>
      <w:r>
        <w:rPr>
          <w:spacing w:val="-67"/>
        </w:rPr>
      </w:r>
      <w:r>
        <w:rPr>
          <w:spacing w:val="-2"/>
        </w:rPr>
        <w:t>析、医疗健康检验检测分析、医疗安全风险分析、医疗卫生资源分析、医疗卫生效果分析。目前该方案已经在某副省级城市</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顺利落地试运行。</w:t>
      </w:r>
    </w:p>
    <w:p>
      <w:pPr>
        <w:pStyle w:val="BodyText"/>
        <w:spacing w:line="302" w:lineRule="auto" w:before="76"/>
        <w:ind w:right="1112"/>
        <w:jc w:val="left"/>
      </w:pPr>
      <w:r>
        <w:rPr>
          <w:rFonts w:ascii="Times New Roman" w:hAnsi="Times New Roman" w:cs="Times New Roman" w:eastAsia="Times New Roman" w:hint="default"/>
        </w:rPr>
        <w:t>5</w:t>
      </w:r>
      <w:r>
        <w:rPr/>
        <w:t>、物联网</w:t>
      </w:r>
      <w:r>
        <w:rPr>
          <w:rFonts w:ascii="Times New Roman" w:hAnsi="Times New Roman" w:cs="Times New Roman" w:eastAsia="Times New Roman" w:hint="default"/>
        </w:rPr>
        <w:t>AP</w:t>
      </w:r>
      <w:r>
        <w:rPr/>
        <w:t>与中间件平台关键技术研发与应用 在物联网、云计算、移动互联等新技术大革命的背景下，物联网应用的市场化进程不断加快，物联网</w:t>
      </w:r>
      <w:r>
        <w:rPr>
          <w:rFonts w:ascii="Times New Roman" w:hAnsi="Times New Roman" w:cs="Times New Roman" w:eastAsia="Times New Roman" w:hint="default"/>
        </w:rPr>
        <w:t>AP</w:t>
      </w:r>
      <w:r>
        <w:rPr/>
        <w:t>应运而生，该产品 将企业有线网络、无线网络和</w:t>
      </w:r>
      <w:r>
        <w:rPr>
          <w:rFonts w:ascii="Times New Roman" w:hAnsi="Times New Roman" w:cs="Times New Roman" w:eastAsia="Times New Roman" w:hint="default"/>
        </w:rPr>
        <w:t>RFID</w:t>
      </w:r>
      <w:r>
        <w:rPr/>
        <w:t>（传感器）网络有效的进行融合，提供高可靠的网络传输和连接。银江股份于</w:t>
      </w:r>
      <w:r>
        <w:rPr>
          <w:rFonts w:ascii="Times New Roman" w:hAnsi="Times New Roman" w:cs="Times New Roman" w:eastAsia="Times New Roman" w:hint="default"/>
        </w:rPr>
        <w:t>2018</w:t>
      </w:r>
      <w:r>
        <w:rPr/>
        <w:t>年成 为华为在医疗物联网行业的正式供应商，物联网</w:t>
      </w:r>
      <w:r>
        <w:rPr>
          <w:rFonts w:ascii="Times New Roman" w:hAnsi="Times New Roman" w:cs="Times New Roman" w:eastAsia="Times New Roman" w:hint="default"/>
        </w:rPr>
        <w:t>AP</w:t>
      </w:r>
      <w:r>
        <w:rPr/>
        <w:t>产品是公司与华为在医院信息化领域共同研发的新一代</w:t>
      </w:r>
      <w:r>
        <w:rPr>
          <w:rFonts w:ascii="Times New Roman" w:hAnsi="Times New Roman" w:cs="Times New Roman" w:eastAsia="Times New Roman" w:hint="default"/>
        </w:rPr>
        <w:t>AP</w:t>
      </w:r>
      <w:r>
        <w:rPr/>
        <w:t>。目前该产品 已取得华为正式编码，进入华为的销售和采购目录。该产品集无线网接入点和</w:t>
      </w:r>
      <w:r>
        <w:rPr>
          <w:rFonts w:ascii="Times New Roman" w:hAnsi="Times New Roman" w:cs="Times New Roman" w:eastAsia="Times New Roman" w:hint="default"/>
        </w:rPr>
        <w:t>RFID</w:t>
      </w:r>
      <w:r>
        <w:rPr/>
        <w:t>接入点为一体的智能信息接收和发送设 备，可以同时接收和发送</w:t>
      </w:r>
      <w:r>
        <w:rPr>
          <w:rFonts w:ascii="Times New Roman" w:hAnsi="Times New Roman" w:cs="Times New Roman" w:eastAsia="Times New Roman" w:hint="default"/>
        </w:rPr>
        <w:t>WIFI</w:t>
      </w:r>
      <w:r>
        <w:rPr/>
        <w:t>信号和</w:t>
      </w:r>
      <w:r>
        <w:rPr>
          <w:rFonts w:ascii="Times New Roman" w:hAnsi="Times New Roman" w:cs="Times New Roman" w:eastAsia="Times New Roman" w:hint="default"/>
        </w:rPr>
        <w:t>RFID</w:t>
      </w:r>
      <w:r>
        <w:rPr/>
        <w:t>信号。通过物联网</w:t>
      </w:r>
      <w:r>
        <w:rPr>
          <w:rFonts w:ascii="Times New Roman" w:hAnsi="Times New Roman" w:cs="Times New Roman" w:eastAsia="Times New Roman" w:hint="default"/>
        </w:rPr>
        <w:t>AP</w:t>
      </w:r>
      <w:r>
        <w:rPr/>
        <w:t>内置的</w:t>
      </w:r>
      <w:r>
        <w:rPr>
          <w:rFonts w:ascii="Times New Roman" w:hAnsi="Times New Roman" w:cs="Times New Roman" w:eastAsia="Times New Roman" w:hint="default"/>
        </w:rPr>
        <w:t>RDID</w:t>
      </w:r>
      <w:r>
        <w:rPr/>
        <w:t>技术和先进的中间件技术，协助应用系统平台 </w:t>
      </w:r>
      <w:r>
        <w:rPr>
          <w:spacing w:val="-2"/>
        </w:rPr>
        <w:t>完成对物理实体的信息采集，为企业设施最终实现智能的物与人、物与物的控制和信息交互，提供高标准，符合标准协议和</w:t>
      </w:r>
      <w:r>
        <w:rPr>
          <w:spacing w:val="-66"/>
        </w:rPr>
        <w:t> </w:t>
      </w:r>
      <w:r>
        <w:rPr>
          <w:spacing w:val="-66"/>
        </w:rPr>
      </w:r>
      <w:r>
        <w:rPr/>
        <w:t>规范的网络基础平台。</w:t>
      </w:r>
    </w:p>
    <w:p>
      <w:pPr>
        <w:pStyle w:val="BodyText"/>
        <w:spacing w:line="312" w:lineRule="auto" w:before="29"/>
        <w:ind w:right="0"/>
        <w:jc w:val="left"/>
      </w:pPr>
      <w:r>
        <w:rPr>
          <w:rFonts w:ascii="Times New Roman" w:hAnsi="Times New Roman" w:cs="Times New Roman" w:eastAsia="Times New Roman" w:hint="default"/>
        </w:rPr>
        <w:t>6</w:t>
      </w:r>
      <w:r>
        <w:rPr/>
        <w:t>、智慧水务物联网应用及大数据服务平台关键技术研发与应用 </w:t>
      </w:r>
      <w:r>
        <w:rPr>
          <w:rFonts w:ascii="Times New Roman" w:hAnsi="Times New Roman" w:cs="Times New Roman" w:eastAsia="Times New Roman" w:hint="default"/>
        </w:rPr>
        <w:t>“</w:t>
      </w:r>
      <w:r>
        <w:rPr/>
        <w:t>智慧水务物联网应用及大数据服务平台</w:t>
      </w:r>
      <w:r>
        <w:rPr>
          <w:rFonts w:ascii="Times New Roman" w:hAnsi="Times New Roman" w:cs="Times New Roman" w:eastAsia="Times New Roman" w:hint="default"/>
        </w:rPr>
        <w:t>”</w:t>
      </w:r>
      <w:r>
        <w:rPr/>
        <w:t>是公司智慧水务领域又一个项重要应用。研发内容包括智慧水务基础支撑平台、 </w:t>
      </w:r>
      <w:r>
        <w:rPr>
          <w:spacing w:val="-2"/>
        </w:rPr>
        <w:t>智慧水务综合管理平台、水务大数据及人工智能分析应用模型及应用平台、水务云服务平台和水务物联网终端。平台通过采</w:t>
      </w:r>
      <w:r>
        <w:rPr>
          <w:spacing w:val="-66"/>
        </w:rPr>
        <w:t> </w:t>
      </w:r>
      <w:r>
        <w:rPr>
          <w:spacing w:val="-66"/>
        </w:rPr>
      </w:r>
      <w:r>
        <w:rPr>
          <w:spacing w:val="-2"/>
        </w:rPr>
        <w:t>用物联网、云计算、大数据、人工智能、移动互联网等先进信息化技术，获得、处理并公开水务信息，建立水务综合应用模</w:t>
      </w:r>
      <w:r>
        <w:rPr>
          <w:spacing w:val="-72"/>
        </w:rPr>
        <w:t> </w:t>
      </w:r>
      <w:r>
        <w:rPr>
          <w:spacing w:val="-72"/>
        </w:rPr>
      </w:r>
      <w:r>
        <w:rPr>
          <w:spacing w:val="-2"/>
        </w:rPr>
        <w:t>型，再造水务业务（事务）流程。以低碳节能、运行安全、资源高效利用为目标，有效地管理供水、用水、耗水、排水、污</w:t>
      </w:r>
      <w:r>
        <w:rPr>
          <w:spacing w:val="-71"/>
        </w:rPr>
        <w:t> </w:t>
      </w:r>
      <w:r>
        <w:rPr>
          <w:spacing w:val="-71"/>
        </w:rPr>
      </w:r>
      <w:r>
        <w:rPr>
          <w:spacing w:val="-2"/>
        </w:rPr>
        <w:t>水收集处理、再生水综合利用等过程，实现水资源循环全生命周期的管控，全程感知，深度互联，将高度复杂的水环境系统</w:t>
      </w:r>
      <w:r>
        <w:rPr>
          <w:spacing w:val="-66"/>
        </w:rPr>
        <w:t> </w:t>
      </w:r>
      <w:r>
        <w:rPr>
          <w:spacing w:val="-66"/>
        </w:rPr>
      </w:r>
      <w:r>
        <w:rPr/>
        <w:t>构建成智慧的有机体，为水务企业提供智慧水务综合管理整体解决方案。</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111,649,420.66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117,122,125.75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61,077,132.52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25,721,554.91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21,638,653.22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22,969,878.27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15.23%</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2,652,244,431.12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2,365,681,271.54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2,638,951,334.76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2,581,053,496.78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13,293,096.36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-215,372,225.24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233,418,842.96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222,476,639.04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681,291,640.93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158,903,302.75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-447,872,797.97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63,573,336.29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-804.50%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1,364,902,162.21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1,486,239,179.63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1,454,724,834.79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1,193,267,272.49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-89,822,672.58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292,971,907.14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-130.66%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-524,342,513.14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141,173,018.19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-471.42%</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、经营活动产生的现金流量净额增加，主要是本期回款所致。</w:t>
      </w:r>
    </w:p>
    <w:p>
      <w:pPr>
        <w:pStyle w:val="BodyText"/>
        <w:spacing w:line="340" w:lineRule="auto" w:before="63"/>
        <w:ind w:right="4272"/>
        <w:jc w:val="left"/>
      </w:pPr>
      <w:r>
        <w:rPr>
          <w:rFonts w:ascii="Times New Roman" w:hAnsi="Times New Roman" w:cs="Times New Roman" w:eastAsia="Times New Roman" w:hint="default"/>
        </w:rPr>
        <w:t>2</w:t>
      </w:r>
      <w:r>
        <w:rPr/>
        <w:t>、投资活动产生的现金流量净额增加，主要股权投资和房屋购置所致。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115,224,915.02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257.41%</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主要是处置浙江交通宝和 广州创显股权所致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233,959,348.05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522.65%</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主要是计提李欣业绩补偿 款坏账准备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679,042,807.1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1,206,397,843.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-8.73%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本期支付货款、股权款、房屋款所致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1,323,138,742.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1,031,784,339.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4.75%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本期收入增加所致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1,688,730,482.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1,559,772,276.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本期项目增加所致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274,140,352.3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本期购置房屋所致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613,507,346.2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424,368,812.52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增资产业基金所致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200,763,828.4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175,093,773.29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388,932.35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公司订单增加，增加借款所致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3"/>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243,449,494.5</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243,449,494.5</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326,451,759.4</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8</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61,301,350.60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215,581,350.6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9" w:space="0" w:color="D2D2D2"/>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569,901,253.9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8</w:t>
            </w:r>
          </w:p>
        </w:tc>
        <w:tc>
          <w:tcPr>
            <w:tcW w:w="1149" w:type="dxa"/>
            <w:vMerge w:val="restart"/>
            <w:tcBorders>
              <w:top w:val="single" w:sz="4" w:space="0" w:color="000000"/>
              <w:left w:val="single" w:sz="4" w:space="0" w:color="000000"/>
              <w:right w:val="single" w:sz="4" w:space="0" w:color="000000"/>
            </w:tcBorders>
          </w:tcPr>
          <w:p>
            <w:pPr/>
          </w:p>
        </w:tc>
        <w:tc>
          <w:tcPr>
            <w:tcW w:w="11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61,301,350.60</w:t>
            </w:r>
          </w:p>
        </w:tc>
        <w:tc>
          <w:tcPr>
            <w:tcW w:w="1148" w:type="dxa"/>
            <w:vMerge w:val="restart"/>
            <w:tcBorders>
              <w:top w:val="single" w:sz="4" w:space="0" w:color="000000"/>
              <w:left w:val="single" w:sz="4" w:space="0" w:color="000000"/>
              <w:right w:val="single" w:sz="4" w:space="0" w:color="000000"/>
            </w:tcBorders>
          </w:tcPr>
          <w:p>
            <w:pPr/>
          </w:p>
        </w:tc>
        <w:tc>
          <w:tcPr>
            <w:tcW w:w="1161" w:type="dxa"/>
            <w:vMerge w:val="restart"/>
            <w:tcBorders>
              <w:top w:val="single" w:sz="4" w:space="0" w:color="000000"/>
              <w:left w:val="single" w:sz="4" w:space="0" w:color="000000"/>
              <w:right w:val="single" w:sz="4" w:space="0" w:color="000000"/>
            </w:tcBorders>
          </w:tcPr>
          <w:p>
            <w:pPr/>
          </w:p>
        </w:tc>
        <w:tc>
          <w:tcPr>
            <w:tcW w:w="1153" w:type="dxa"/>
            <w:vMerge w:val="restart"/>
            <w:tcBorders>
              <w:top w:val="single" w:sz="4" w:space="0" w:color="000000"/>
              <w:left w:val="single" w:sz="4" w:space="0" w:color="000000"/>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215,581,350.6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vMerge/>
            <w:tcBorders>
              <w:left w:val="single" w:sz="9" w:space="0" w:color="D2D2D2"/>
              <w:right w:val="single" w:sz="4" w:space="0" w:color="000000"/>
            </w:tcBorders>
          </w:tcPr>
          <w:p>
            <w:pPr/>
          </w:p>
        </w:tc>
        <w:tc>
          <w:tcPr>
            <w:tcW w:w="1149" w:type="dxa"/>
            <w:vMerge/>
            <w:tcBorders>
              <w:left w:val="single" w:sz="4" w:space="0" w:color="000000"/>
              <w:right w:val="single" w:sz="4" w:space="0" w:color="000000"/>
            </w:tcBorders>
          </w:tcPr>
          <w:p>
            <w:pPr/>
          </w:p>
        </w:tc>
        <w:tc>
          <w:tcPr>
            <w:tcW w:w="1153"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161" w:type="dxa"/>
            <w:vMerge/>
            <w:tcBorders>
              <w:left w:val="single" w:sz="4" w:space="0" w:color="000000"/>
              <w:right w:val="single" w:sz="4" w:space="0" w:color="000000"/>
            </w:tcBorders>
          </w:tcPr>
          <w:p>
            <w:pPr/>
          </w:p>
        </w:tc>
        <w:tc>
          <w:tcPr>
            <w:tcW w:w="1153"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r>
      <w:tr>
        <w:trPr>
          <w:trHeight w:val="161" w:hRule="exact"/>
        </w:trPr>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9" w:space="0" w:color="D2D2D2"/>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153"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161" w:type="dxa"/>
            <w:vMerge/>
            <w:tcBorders>
              <w:left w:val="single" w:sz="4" w:space="0" w:color="000000"/>
              <w:bottom w:val="single" w:sz="4" w:space="0" w:color="000000"/>
              <w:right w:val="single" w:sz="4" w:space="0" w:color="000000"/>
            </w:tcBorders>
          </w:tcPr>
          <w:p>
            <w:pPr/>
          </w:p>
        </w:tc>
        <w:tc>
          <w:tcPr>
            <w:tcW w:w="1153"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2694"/>
        <w:gridCol w:w="3544"/>
      </w:tblGrid>
      <w:tr>
        <w:trPr>
          <w:trHeight w:val="342" w:hRule="exact"/>
        </w:trPr>
        <w:tc>
          <w:tcPr>
            <w:tcW w:w="3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49" w:val="left" w:leader="none"/>
              </w:tabs>
              <w:spacing w:line="240" w:lineRule="auto" w:before="21"/>
              <w:ind w:right="138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02"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5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5"/>
              <w:jc w:val="right"/>
              <w:rPr>
                <w:rFonts w:ascii="宋体" w:hAnsi="宋体" w:cs="宋体" w:eastAsia="宋体" w:hint="default"/>
                <w:sz w:val="18"/>
                <w:szCs w:val="18"/>
              </w:rPr>
            </w:pPr>
            <w:r>
              <w:rPr>
                <w:rFonts w:ascii="宋体"/>
                <w:sz w:val="18"/>
              </w:rPr>
              <w:t>74,733,583.22</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pacing w:val="-4"/>
                <w:sz w:val="18"/>
                <w:szCs w:val="18"/>
              </w:rPr>
              <w:t>承兑汇票、银行保函、农民工保证金、投标保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证金等</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91,112,261.44</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用于质押的应收账款</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21"/>
              <w:ind w:right="138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165,845,844.66</w:t>
            </w:r>
          </w:p>
        </w:tc>
        <w:tc>
          <w:tcPr>
            <w:tcW w:w="35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63"/>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681,291,640.93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269,306,000.00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杭州银 江智慧 产业创 业投资 合作企 </w:t>
            </w: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智慧城 市产业 </w:t>
            </w:r>
            <w:r>
              <w:rPr>
                <w:rFonts w:ascii="宋体" w:hAnsi="宋体" w:cs="宋体" w:eastAsia="宋体" w:hint="default"/>
                <w:spacing w:val="-21"/>
                <w:sz w:val="18"/>
                <w:szCs w:val="18"/>
              </w:rPr>
              <w:t>投资、互</w:t>
            </w:r>
            <w:r>
              <w:rPr>
                <w:rFonts w:ascii="宋体" w:hAnsi="宋体" w:cs="宋体" w:eastAsia="宋体" w:hint="default"/>
                <w:sz w:val="18"/>
                <w:szCs w:val="18"/>
              </w:rPr>
              <w:t> 联网金 融、教 育、旅 </w:t>
            </w:r>
            <w:r>
              <w:rPr>
                <w:rFonts w:ascii="宋体" w:hAnsi="宋体" w:cs="宋体" w:eastAsia="宋体" w:hint="default"/>
                <w:spacing w:val="-21"/>
                <w:sz w:val="18"/>
                <w:szCs w:val="18"/>
              </w:rPr>
              <w:t>游、健康</w:t>
            </w:r>
            <w:r>
              <w:rPr>
                <w:rFonts w:ascii="宋体" w:hAnsi="宋体" w:cs="宋体" w:eastAsia="宋体" w:hint="default"/>
                <w:sz w:val="18"/>
                <w:szCs w:val="18"/>
              </w:rPr>
              <w:t> 领域股 权投资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1" w:right="0"/>
              <w:jc w:val="center"/>
              <w:rPr>
                <w:rFonts w:ascii="Times New Roman" w:hAnsi="Times New Roman" w:cs="Times New Roman" w:eastAsia="Times New Roman" w:hint="default"/>
                <w:sz w:val="18"/>
                <w:szCs w:val="18"/>
              </w:rPr>
            </w:pPr>
            <w:r>
              <w:rPr>
                <w:rFonts w:ascii="Times New Roman"/>
                <w:sz w:val="18"/>
              </w:rPr>
              <w:t>36.27%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科学技 术部技 术型中 小企业 技术创 新基金 管理中 心</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-27,357,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797.12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-27,357,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797.12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中国智谷富春 园区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11#-14#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（共四幢）</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2"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2"/>
        <w:gridCol w:w="652"/>
        <w:gridCol w:w="652"/>
        <w:gridCol w:w="653"/>
        <w:gridCol w:w="652"/>
        <w:gridCol w:w="652"/>
      </w:tblGrid>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000.00</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61,301,350.60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215,581,350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股权置换</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61,301,350.60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215,581,350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1、募集资金使用情况-首次公开发行股票募集资金" w:id="50"/>
      <w:bookmarkEnd w:id="50"/>
      <w:r>
        <w:rPr>
          <w:b w:val="0"/>
          <w:bCs w:val="0"/>
        </w:rPr>
      </w:r>
      <w:r>
        <w:rPr>
          <w:rFonts w:ascii="Times New Roman" w:hAnsi="Times New Roman" w:cs="Times New Roman" w:eastAsia="Times New Roman" w:hint="default"/>
        </w:rPr>
        <w:t>5.1</w:t>
      </w:r>
      <w:r>
        <w:rPr/>
        <w:t>、募集资金使用情况</w:t>
      </w:r>
      <w:r>
        <w:rPr>
          <w:rFonts w:ascii="Times New Roman" w:hAnsi="Times New Roman" w:cs="Times New Roman" w:eastAsia="Times New Roman" w:hint="default"/>
        </w:rPr>
        <w:t>-</w:t>
      </w:r>
      <w:r>
        <w:rPr/>
        <w:t>首次公开发行股票募集资金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10.56%</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注：</w:t>
      </w:r>
      <w:r>
        <w:rPr>
          <w:rFonts w:ascii="Times New Roman" w:hAnsi="Times New Roman" w:cs="Times New Roman" w:eastAsia="Times New Roman" w:hint="default"/>
        </w:rPr>
        <w:t>1</w:t>
      </w:r>
      <w:r>
        <w:rPr/>
        <w:t>、公司如在报告期内募集资金或报告期之前募集资金的使用延续到报告期内的，应当披露本部分的内容。</w:t>
      </w:r>
    </w:p>
    <w:p>
      <w:pPr>
        <w:pStyle w:val="BodyText"/>
        <w:spacing w:line="240" w:lineRule="auto" w:before="102"/>
        <w:ind w:right="0"/>
        <w:jc w:val="left"/>
      </w:pPr>
      <w:r>
        <w:rPr>
          <w:rFonts w:ascii="Times New Roman" w:hAnsi="Times New Roman" w:cs="Times New Roman" w:eastAsia="Times New Roman" w:hint="default"/>
        </w:rPr>
        <w:t>2</w:t>
      </w:r>
      <w:r>
        <w:rPr/>
        <w:t>、报告期内发行公司债募集资金的也适用相关披露。</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9"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2" w:right="68"/>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40"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52" w:right="40"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补充营运资金和扩 大公司智能化系统 工程总包业务项目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8,000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8,000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8,007.6</w:t>
            </w:r>
          </w:p>
          <w:p>
            <w:pPr>
              <w:pStyle w:val="TableParagraph"/>
              <w:spacing w:line="240" w:lineRule="auto" w:before="77"/>
              <w:ind w:right="0"/>
              <w:jc w:val="right"/>
              <w:rPr>
                <w:rFonts w:ascii="宋体" w:hAnsi="宋体" w:cs="宋体" w:eastAsia="宋体" w:hint="default"/>
                <w:sz w:val="18"/>
                <w:szCs w:val="18"/>
              </w:rPr>
            </w:pPr>
            <w:r>
              <w:rPr>
                <w:rFonts w:ascii="宋体"/>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8" w:right="0"/>
              <w:jc w:val="center"/>
              <w:rPr>
                <w:rFonts w:ascii="宋体" w:hAnsi="宋体" w:cs="宋体" w:eastAsia="宋体" w:hint="default"/>
                <w:sz w:val="18"/>
                <w:szCs w:val="18"/>
              </w:rPr>
            </w:pPr>
            <w:r>
              <w:rPr>
                <w:rFonts w:ascii="宋体"/>
                <w:sz w:val="18"/>
              </w:rPr>
              <w:t>100.10%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9" w:right="33" w:firstLine="44"/>
              <w:jc w:val="left"/>
              <w:rPr>
                <w:rFonts w:ascii="宋体" w:hAnsi="宋体" w:cs="宋体" w:eastAsia="宋体" w:hint="default"/>
                <w:sz w:val="18"/>
                <w:szCs w:val="18"/>
              </w:rPr>
            </w:pPr>
            <w:r>
              <w:rPr>
                <w:rFonts w:ascii="宋体" w:hAnsi="宋体" w:cs="宋体" w:eastAsia="宋体" w:hint="default"/>
                <w:sz w:val="18"/>
                <w:szCs w:val="18"/>
              </w:rPr>
              <w:t>无法单 独核算</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数字化医疗关键技 术开发及产业化项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4,000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4,000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4,124.0</w:t>
            </w:r>
          </w:p>
          <w:p>
            <w:pPr>
              <w:pStyle w:val="TableParagraph"/>
              <w:spacing w:line="240" w:lineRule="auto" w:before="77"/>
              <w:ind w:right="0"/>
              <w:jc w:val="right"/>
              <w:rPr>
                <w:rFonts w:ascii="宋体" w:hAnsi="宋体" w:cs="宋体" w:eastAsia="宋体" w:hint="default"/>
                <w:sz w:val="18"/>
                <w:szCs w:val="18"/>
              </w:rPr>
            </w:pPr>
            <w:r>
              <w:rPr>
                <w:rFonts w:ascii="宋体"/>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8" w:right="0"/>
              <w:jc w:val="center"/>
              <w:rPr>
                <w:rFonts w:ascii="宋体" w:hAnsi="宋体" w:cs="宋体" w:eastAsia="宋体" w:hint="default"/>
                <w:sz w:val="18"/>
                <w:szCs w:val="18"/>
              </w:rPr>
            </w:pPr>
            <w:r>
              <w:rPr>
                <w:rFonts w:ascii="宋体"/>
                <w:sz w:val="18"/>
              </w:rPr>
              <w:t>103.10%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sz w:val="18"/>
              </w:rPr>
              <w:t>3,544.2</w:t>
            </w:r>
          </w:p>
          <w:p>
            <w:pPr>
              <w:pStyle w:val="TableParagraph"/>
              <w:spacing w:line="240" w:lineRule="auto" w:before="77"/>
              <w:ind w:left="9" w:right="0"/>
              <w:jc w:val="center"/>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sz w:val="18"/>
              </w:rPr>
              <w:t>8,551.4</w:t>
            </w:r>
          </w:p>
          <w:p>
            <w:pPr>
              <w:pStyle w:val="TableParagraph"/>
              <w:spacing w:line="240" w:lineRule="auto" w:before="77"/>
              <w:ind w:left="28" w:right="0"/>
              <w:jc w:val="left"/>
              <w:rPr>
                <w:rFonts w:ascii="宋体" w:hAnsi="宋体" w:cs="宋体" w:eastAsia="宋体" w:hint="default"/>
                <w:sz w:val="18"/>
                <w:szCs w:val="18"/>
              </w:rPr>
            </w:pPr>
            <w:r>
              <w:rPr>
                <w:rFonts w:ascii="宋体"/>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城市智能交通全集 成控制系统开发及 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3,500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3,500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3,588.5</w:t>
            </w:r>
          </w:p>
          <w:p>
            <w:pPr>
              <w:pStyle w:val="TableParagraph"/>
              <w:spacing w:line="240" w:lineRule="auto" w:before="77"/>
              <w:ind w:right="0"/>
              <w:jc w:val="right"/>
              <w:rPr>
                <w:rFonts w:ascii="宋体" w:hAnsi="宋体" w:cs="宋体" w:eastAsia="宋体" w:hint="default"/>
                <w:sz w:val="18"/>
                <w:szCs w:val="18"/>
              </w:rPr>
            </w:pPr>
            <w:r>
              <w:rPr>
                <w:rFonts w:ascii="宋体"/>
                <w:sz w:val="18"/>
              </w:rPr>
              <w:t>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8" w:right="0"/>
              <w:jc w:val="center"/>
              <w:rPr>
                <w:rFonts w:ascii="宋体" w:hAnsi="宋体" w:cs="宋体" w:eastAsia="宋体" w:hint="default"/>
                <w:sz w:val="18"/>
                <w:szCs w:val="18"/>
              </w:rPr>
            </w:pPr>
            <w:r>
              <w:rPr>
                <w:rFonts w:ascii="宋体"/>
                <w:sz w:val="18"/>
              </w:rPr>
              <w:t>102.53%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sz w:val="18"/>
              </w:rPr>
              <w:t>9,145.8</w:t>
            </w:r>
          </w:p>
          <w:p>
            <w:pPr>
              <w:pStyle w:val="TableParagraph"/>
              <w:spacing w:line="240" w:lineRule="auto" w:before="77"/>
              <w:ind w:left="9" w:right="0"/>
              <w:jc w:val="center"/>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sz w:val="18"/>
              </w:rPr>
              <w:t>31,118.</w:t>
            </w:r>
          </w:p>
          <w:p>
            <w:pPr>
              <w:pStyle w:val="TableParagraph"/>
              <w:spacing w:line="240" w:lineRule="auto" w:before="77"/>
              <w:ind w:left="28" w:right="0"/>
              <w:jc w:val="left"/>
              <w:rPr>
                <w:rFonts w:ascii="宋体" w:hAnsi="宋体" w:cs="宋体" w:eastAsia="宋体" w:hint="default"/>
                <w:sz w:val="18"/>
                <w:szCs w:val="18"/>
              </w:rPr>
            </w:pPr>
            <w:r>
              <w:rPr>
                <w:rFonts w:ascii="宋体"/>
                <w:sz w:val="18"/>
              </w:rPr>
              <w:t>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城市快速公交营运 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1,502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1,502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1,675.8</w:t>
            </w:r>
          </w:p>
          <w:p>
            <w:pPr>
              <w:pStyle w:val="TableParagraph"/>
              <w:spacing w:line="240" w:lineRule="auto" w:before="77"/>
              <w:ind w:right="0"/>
              <w:jc w:val="right"/>
              <w:rPr>
                <w:rFonts w:ascii="宋体" w:hAnsi="宋体" w:cs="宋体" w:eastAsia="宋体" w:hint="default"/>
                <w:sz w:val="18"/>
                <w:szCs w:val="18"/>
              </w:rPr>
            </w:pPr>
            <w:r>
              <w:rPr>
                <w:rFonts w:ascii="宋体"/>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8" w:right="0"/>
              <w:jc w:val="center"/>
              <w:rPr>
                <w:rFonts w:ascii="宋体" w:hAnsi="宋体" w:cs="宋体" w:eastAsia="宋体" w:hint="default"/>
                <w:sz w:val="18"/>
                <w:szCs w:val="18"/>
              </w:rPr>
            </w:pPr>
            <w:r>
              <w:rPr>
                <w:rFonts w:ascii="宋体"/>
                <w:sz w:val="18"/>
              </w:rPr>
              <w:t>111.58%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sz w:val="18"/>
              </w:rPr>
              <w:t>1,529.9</w:t>
            </w:r>
          </w:p>
          <w:p>
            <w:pPr>
              <w:pStyle w:val="TableParagraph"/>
              <w:spacing w:line="240" w:lineRule="auto" w:before="77"/>
              <w:ind w:left="9" w:right="0"/>
              <w:jc w:val="center"/>
              <w:rPr>
                <w:rFonts w:ascii="宋体" w:hAnsi="宋体" w:cs="宋体" w:eastAsia="宋体" w:hint="default"/>
                <w:sz w:val="18"/>
                <w:szCs w:val="18"/>
              </w:rPr>
            </w:pPr>
            <w:r>
              <w:rPr>
                <w:rFonts w:ascii="宋体"/>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sz w:val="18"/>
              </w:rPr>
              <w:t>3,502.6</w:t>
            </w:r>
          </w:p>
          <w:p>
            <w:pPr>
              <w:pStyle w:val="TableParagraph"/>
              <w:spacing w:line="240" w:lineRule="auto" w:before="77"/>
              <w:ind w:left="28" w:right="0"/>
              <w:jc w:val="left"/>
              <w:rPr>
                <w:rFonts w:ascii="宋体" w:hAnsi="宋体" w:cs="宋体" w:eastAsia="宋体" w:hint="default"/>
                <w:sz w:val="18"/>
                <w:szCs w:val="18"/>
              </w:rPr>
            </w:pPr>
            <w:r>
              <w:rPr>
                <w:rFonts w:ascii="宋体"/>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6" w:right="0"/>
              <w:jc w:val="left"/>
              <w:rPr>
                <w:rFonts w:ascii="宋体" w:hAnsi="宋体" w:cs="宋体" w:eastAsia="宋体" w:hint="default"/>
                <w:sz w:val="18"/>
                <w:szCs w:val="18"/>
              </w:rPr>
            </w:pPr>
            <w:r>
              <w:rPr>
                <w:rFonts w:ascii="宋体"/>
                <w:sz w:val="18"/>
              </w:rPr>
              <w:t>17,002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9" w:right="0"/>
              <w:jc w:val="left"/>
              <w:rPr>
                <w:rFonts w:ascii="宋体" w:hAnsi="宋体" w:cs="宋体" w:eastAsia="宋体" w:hint="default"/>
                <w:sz w:val="18"/>
                <w:szCs w:val="18"/>
              </w:rPr>
            </w:pPr>
            <w:r>
              <w:rPr>
                <w:rFonts w:ascii="宋体"/>
                <w:sz w:val="18"/>
              </w:rPr>
              <w:t>17,002</w:t>
            </w: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宋体" w:hAnsi="宋体" w:cs="宋体" w:eastAsia="宋体" w:hint="default"/>
                <w:sz w:val="18"/>
                <w:szCs w:val="18"/>
              </w:rPr>
            </w:pPr>
            <w:r>
              <w:rPr>
                <w:rFonts w:ascii="宋体"/>
                <w:sz w:val="18"/>
              </w:rPr>
              <w:t>17,396.</w:t>
            </w:r>
          </w:p>
          <w:p>
            <w:pPr>
              <w:pStyle w:val="TableParagraph"/>
              <w:spacing w:line="240" w:lineRule="auto" w:before="77"/>
              <w:ind w:right="-5"/>
              <w:jc w:val="right"/>
              <w:rPr>
                <w:rFonts w:ascii="宋体" w:hAnsi="宋体" w:cs="宋体" w:eastAsia="宋体" w:hint="default"/>
                <w:sz w:val="18"/>
                <w:szCs w:val="18"/>
              </w:rPr>
            </w:pPr>
            <w:r>
              <w:rPr>
                <w:rFonts w:ascii="宋体"/>
                <w:sz w:val="18"/>
              </w:rPr>
              <w:t>14</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sz w:val="18"/>
              </w:rPr>
              <w:t>14,220.</w:t>
            </w:r>
          </w:p>
          <w:p>
            <w:pPr>
              <w:pStyle w:val="TableParagraph"/>
              <w:spacing w:line="240" w:lineRule="auto" w:before="78"/>
              <w:ind w:left="21" w:right="0"/>
              <w:jc w:val="left"/>
              <w:rPr>
                <w:rFonts w:ascii="宋体" w:hAnsi="宋体" w:cs="宋体" w:eastAsia="宋体" w:hint="default"/>
                <w:sz w:val="18"/>
                <w:szCs w:val="18"/>
              </w:rPr>
            </w:pPr>
            <w:r>
              <w:rPr>
                <w:rFonts w:ascii="宋体"/>
                <w:sz w:val="18"/>
              </w:rPr>
              <w:t>06</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sz w:val="18"/>
              </w:rPr>
              <w:t>43,172.</w:t>
            </w:r>
          </w:p>
          <w:p>
            <w:pPr>
              <w:pStyle w:val="TableParagraph"/>
              <w:spacing w:line="240" w:lineRule="auto" w:before="78"/>
              <w:ind w:left="28" w:right="0"/>
              <w:jc w:val="left"/>
              <w:rPr>
                <w:rFonts w:ascii="宋体" w:hAnsi="宋体" w:cs="宋体" w:eastAsia="宋体" w:hint="default"/>
                <w:sz w:val="18"/>
                <w:szCs w:val="18"/>
              </w:rPr>
            </w:pPr>
            <w:r>
              <w:rPr>
                <w:rFonts w:ascii="宋体"/>
                <w:sz w:val="18"/>
              </w:rPr>
              <w:t>22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r>
      <w:tr>
        <w:trPr>
          <w:trHeight w:val="322"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银江（北京）物联网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
              <w:jc w:val="right"/>
              <w:rPr>
                <w:rFonts w:ascii="宋体" w:hAnsi="宋体" w:cs="宋体" w:eastAsia="宋体" w:hint="default"/>
                <w:sz w:val="18"/>
                <w:szCs w:val="18"/>
              </w:rPr>
            </w:pPr>
            <w:r>
              <w:rPr>
                <w:rFonts w:ascii="宋体"/>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4" w:right="0"/>
              <w:jc w:val="left"/>
              <w:rPr>
                <w:rFonts w:ascii="宋体" w:hAnsi="宋体" w:cs="宋体" w:eastAsia="宋体" w:hint="default"/>
                <w:sz w:val="18"/>
                <w:szCs w:val="18"/>
              </w:rPr>
            </w:pPr>
            <w:r>
              <w:rPr>
                <w:rFonts w:ascii="宋体"/>
                <w:sz w:val="18"/>
              </w:rPr>
              <w:t>1,000</w:t>
            </w:r>
          </w:p>
        </w:tc>
        <w:tc>
          <w:tcPr>
            <w:tcW w:w="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1" w:right="0"/>
              <w:jc w:val="center"/>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4"/>
              <w:jc w:val="center"/>
              <w:rPr>
                <w:rFonts w:ascii="宋体" w:hAnsi="宋体" w:cs="宋体" w:eastAsia="宋体" w:hint="default"/>
                <w:sz w:val="18"/>
                <w:szCs w:val="18"/>
              </w:rPr>
            </w:pPr>
            <w:r>
              <w:rPr>
                <w:rFonts w:ascii="宋体"/>
                <w:sz w:val="18"/>
              </w:rPr>
              <w:t>-156.97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
              <w:jc w:val="center"/>
              <w:rPr>
                <w:rFonts w:ascii="宋体" w:hAnsi="宋体" w:cs="宋体" w:eastAsia="宋体" w:hint="default"/>
                <w:sz w:val="18"/>
                <w:szCs w:val="18"/>
              </w:rPr>
            </w:pPr>
            <w:r>
              <w:rPr>
                <w:rFonts w:ascii="宋体"/>
                <w:sz w:val="18"/>
              </w:rPr>
              <w:t>-1,022.</w:t>
            </w:r>
          </w:p>
          <w:p>
            <w:pPr>
              <w:pStyle w:val="TableParagraph"/>
              <w:spacing w:line="240" w:lineRule="auto" w:before="77"/>
              <w:ind w:right="3"/>
              <w:jc w:val="center"/>
              <w:rPr>
                <w:rFonts w:ascii="宋体" w:hAnsi="宋体" w:cs="宋体" w:eastAsia="宋体" w:hint="default"/>
                <w:sz w:val="18"/>
                <w:szCs w:val="18"/>
              </w:rPr>
            </w:pPr>
            <w:r>
              <w:rPr>
                <w:rFonts w:ascii="宋体"/>
                <w:sz w:val="18"/>
              </w:rPr>
              <w:t>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7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区域营销中心建设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4"/>
              <w:jc w:val="right"/>
              <w:rPr>
                <w:rFonts w:ascii="宋体" w:hAnsi="宋体" w:cs="宋体" w:eastAsia="宋体" w:hint="default"/>
                <w:sz w:val="18"/>
                <w:szCs w:val="18"/>
              </w:rPr>
            </w:pPr>
            <w:r>
              <w:rPr>
                <w:rFonts w:ascii="宋体"/>
                <w:sz w:val="18"/>
              </w:rPr>
              <w:t>8,640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4"/>
              <w:jc w:val="right"/>
              <w:rPr>
                <w:rFonts w:ascii="宋体" w:hAnsi="宋体" w:cs="宋体" w:eastAsia="宋体" w:hint="default"/>
                <w:sz w:val="18"/>
                <w:szCs w:val="18"/>
              </w:rPr>
            </w:pPr>
            <w:r>
              <w:rPr>
                <w:rFonts w:ascii="宋体"/>
                <w:sz w:val="18"/>
              </w:rPr>
              <w:t>4,814</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sz w:val="18"/>
              </w:rPr>
              <w:t>4,816.</w:t>
            </w:r>
          </w:p>
          <w:p>
            <w:pPr>
              <w:pStyle w:val="TableParagraph"/>
              <w:spacing w:line="240" w:lineRule="auto" w:before="76"/>
              <w:ind w:left="454" w:right="0"/>
              <w:jc w:val="left"/>
              <w:rPr>
                <w:rFonts w:ascii="宋体" w:hAnsi="宋体" w:cs="宋体" w:eastAsia="宋体" w:hint="default"/>
                <w:sz w:val="18"/>
                <w:szCs w:val="18"/>
              </w:rPr>
            </w:pPr>
            <w:r>
              <w:rPr>
                <w:rFonts w:ascii="宋体"/>
                <w:sz w:val="18"/>
              </w:rPr>
              <w:t>28</w:t>
            </w:r>
          </w:p>
        </w:tc>
        <w:tc>
          <w:tcPr>
            <w:tcW w:w="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1" w:right="0"/>
              <w:jc w:val="center"/>
              <w:rPr>
                <w:rFonts w:ascii="宋体" w:hAnsi="宋体" w:cs="宋体" w:eastAsia="宋体" w:hint="default"/>
                <w:sz w:val="18"/>
                <w:szCs w:val="18"/>
              </w:rPr>
            </w:pPr>
            <w:r>
              <w:rPr>
                <w:rFonts w:ascii="宋体"/>
                <w:sz w:val="18"/>
              </w:rPr>
              <w:t>100.05%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sz w:val="18"/>
              </w:rPr>
              <w:t>9,073.9</w:t>
            </w:r>
          </w:p>
          <w:p>
            <w:pPr>
              <w:pStyle w:val="TableParagraph"/>
              <w:spacing w:line="240" w:lineRule="auto" w:before="77"/>
              <w:ind w:left="21" w:right="0"/>
              <w:jc w:val="left"/>
              <w:rPr>
                <w:rFonts w:ascii="宋体" w:hAnsi="宋体" w:cs="宋体" w:eastAsia="宋体" w:hint="default"/>
                <w:sz w:val="18"/>
                <w:szCs w:val="18"/>
              </w:rPr>
            </w:pPr>
            <w:r>
              <w:rPr>
                <w:rFonts w:ascii="宋体"/>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4"/>
              <w:jc w:val="center"/>
              <w:rPr>
                <w:rFonts w:ascii="宋体" w:hAnsi="宋体" w:cs="宋体" w:eastAsia="宋体" w:hint="default"/>
                <w:sz w:val="18"/>
                <w:szCs w:val="18"/>
              </w:rPr>
            </w:pPr>
            <w:r>
              <w:rPr>
                <w:rFonts w:ascii="宋体"/>
                <w:sz w:val="18"/>
              </w:rPr>
              <w:t>46,955.</w:t>
            </w:r>
          </w:p>
          <w:p>
            <w:pPr>
              <w:pStyle w:val="TableParagraph"/>
              <w:spacing w:line="240" w:lineRule="auto" w:before="77"/>
              <w:ind w:right="3"/>
              <w:jc w:val="center"/>
              <w:rPr>
                <w:rFonts w:ascii="宋体" w:hAnsi="宋体" w:cs="宋体" w:eastAsia="宋体" w:hint="default"/>
                <w:sz w:val="18"/>
                <w:szCs w:val="18"/>
              </w:rPr>
            </w:pPr>
            <w:r>
              <w:rPr>
                <w:rFonts w:ascii="宋体"/>
                <w:sz w:val="18"/>
              </w:rPr>
              <w:t>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79"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智慧交通、智慧医疗</w:t>
            </w:r>
            <w:r>
              <w:rPr>
                <w:rFonts w:ascii="宋体" w:hAnsi="宋体" w:cs="宋体" w:eastAsia="宋体" w:hint="default"/>
                <w:sz w:val="18"/>
                <w:szCs w:val="18"/>
              </w:rPr>
              <w:t> 等领域投资与并购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4"/>
              <w:jc w:val="right"/>
              <w:rPr>
                <w:rFonts w:ascii="宋体" w:hAnsi="宋体" w:cs="宋体" w:eastAsia="宋体" w:hint="default"/>
                <w:sz w:val="18"/>
                <w:szCs w:val="18"/>
              </w:rPr>
            </w:pPr>
            <w:r>
              <w:rPr>
                <w:rFonts w:ascii="宋体"/>
                <w:sz w:val="18"/>
              </w:rPr>
              <w:t>4,540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4"/>
              <w:jc w:val="right"/>
              <w:rPr>
                <w:rFonts w:ascii="宋体" w:hAnsi="宋体" w:cs="宋体" w:eastAsia="宋体" w:hint="default"/>
                <w:sz w:val="18"/>
                <w:szCs w:val="18"/>
              </w:rPr>
            </w:pPr>
            <w:r>
              <w:rPr>
                <w:rFonts w:ascii="宋体"/>
                <w:sz w:val="18"/>
              </w:rPr>
              <w:t>8,366</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sz w:val="18"/>
              </w:rPr>
              <w:t>8,463.</w:t>
            </w:r>
          </w:p>
          <w:p>
            <w:pPr>
              <w:pStyle w:val="TableParagraph"/>
              <w:spacing w:line="240" w:lineRule="auto" w:before="77"/>
              <w:ind w:left="454" w:right="0"/>
              <w:jc w:val="left"/>
              <w:rPr>
                <w:rFonts w:ascii="宋体" w:hAnsi="宋体" w:cs="宋体" w:eastAsia="宋体" w:hint="default"/>
                <w:sz w:val="18"/>
                <w:szCs w:val="18"/>
              </w:rPr>
            </w:pPr>
            <w:r>
              <w:rPr>
                <w:rFonts w:ascii="宋体"/>
                <w:sz w:val="18"/>
              </w:rPr>
              <w:t>13</w:t>
            </w:r>
          </w:p>
        </w:tc>
        <w:tc>
          <w:tcPr>
            <w:tcW w:w="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1" w:right="0"/>
              <w:jc w:val="center"/>
              <w:rPr>
                <w:rFonts w:ascii="宋体" w:hAnsi="宋体" w:cs="宋体" w:eastAsia="宋体" w:hint="default"/>
                <w:sz w:val="18"/>
                <w:szCs w:val="18"/>
              </w:rPr>
            </w:pPr>
            <w:r>
              <w:rPr>
                <w:rFonts w:ascii="宋体"/>
                <w:sz w:val="18"/>
              </w:rPr>
              <w:t>101.16%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-5,398.</w:t>
            </w:r>
          </w:p>
          <w:p>
            <w:pPr>
              <w:pStyle w:val="TableParagraph"/>
              <w:spacing w:line="240" w:lineRule="auto" w:before="77"/>
              <w:ind w:right="23"/>
              <w:jc w:val="right"/>
              <w:rPr>
                <w:rFonts w:ascii="宋体" w:hAnsi="宋体" w:cs="宋体" w:eastAsia="宋体" w:hint="default"/>
                <w:sz w:val="18"/>
                <w:szCs w:val="18"/>
              </w:rPr>
            </w:pPr>
            <w:r>
              <w:rPr>
                <w:rFonts w:ascii="宋体"/>
                <w:sz w:val="18"/>
              </w:rPr>
              <w:t>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2" w:right="0"/>
              <w:jc w:val="left"/>
              <w:rPr>
                <w:rFonts w:ascii="宋体" w:hAnsi="宋体" w:cs="宋体" w:eastAsia="宋体" w:hint="default"/>
                <w:sz w:val="18"/>
                <w:szCs w:val="18"/>
              </w:rPr>
            </w:pPr>
            <w:r>
              <w:rPr>
                <w:rFonts w:ascii="宋体"/>
                <w:sz w:val="18"/>
              </w:rPr>
              <w:t>-10,576</w:t>
            </w:r>
          </w:p>
          <w:p>
            <w:pPr>
              <w:pStyle w:val="TableParagraph"/>
              <w:spacing w:line="240" w:lineRule="auto" w:before="77"/>
              <w:ind w:left="412" w:right="0"/>
              <w:jc w:val="left"/>
              <w:rPr>
                <w:rFonts w:ascii="宋体" w:hAnsi="宋体" w:cs="宋体" w:eastAsia="宋体" w:hint="default"/>
                <w:sz w:val="18"/>
                <w:szCs w:val="18"/>
              </w:rPr>
            </w:pPr>
            <w:r>
              <w:rPr>
                <w:rFonts w:ascii="宋体"/>
                <w:sz w:val="18"/>
              </w:rPr>
              <w:t>.59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22"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FFFFFF"/>
            </w:tcBorders>
          </w:tcPr>
          <w:p>
            <w:pPr/>
          </w:p>
        </w:tc>
        <w:tc>
          <w:tcPr>
            <w:tcW w:w="735" w:type="dxa"/>
            <w:vMerge w:val="restart"/>
            <w:tcBorders>
              <w:top w:val="single" w:sz="4" w:space="0" w:color="000000"/>
              <w:left w:val="single" w:sz="4" w:space="0" w:color="FFFFFF"/>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FFFFFF"/>
            </w:tcBorders>
          </w:tcPr>
          <w:p>
            <w:pPr/>
          </w:p>
        </w:tc>
        <w:tc>
          <w:tcPr>
            <w:tcW w:w="735" w:type="dxa"/>
            <w:vMerge/>
            <w:tcBorders>
              <w:left w:val="single" w:sz="4" w:space="0" w:color="FFFFFF"/>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FFFFFF"/>
            </w:tcBorders>
          </w:tcPr>
          <w:p>
            <w:pPr/>
          </w:p>
        </w:tc>
        <w:tc>
          <w:tcPr>
            <w:tcW w:w="735" w:type="dxa"/>
            <w:vMerge/>
            <w:tcBorders>
              <w:left w:val="single" w:sz="4" w:space="0" w:color="FFFFFF"/>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sz w:val="18"/>
              </w:rPr>
              <w:t>5,040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sz w:val="18"/>
              </w:rPr>
              <w:t>5,040</w:t>
            </w: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FFFFFF"/>
            </w:tcBorders>
          </w:tcPr>
          <w:p>
            <w:pPr>
              <w:pStyle w:val="TableParagraph"/>
              <w:spacing w:line="240" w:lineRule="auto" w:before="51"/>
              <w:ind w:left="94" w:right="0"/>
              <w:jc w:val="left"/>
              <w:rPr>
                <w:rFonts w:ascii="宋体" w:hAnsi="宋体" w:cs="宋体" w:eastAsia="宋体" w:hint="default"/>
                <w:sz w:val="18"/>
                <w:szCs w:val="18"/>
              </w:rPr>
            </w:pPr>
            <w:r>
              <w:rPr>
                <w:rFonts w:ascii="宋体"/>
                <w:sz w:val="18"/>
              </w:rPr>
              <w:t>5,132.</w:t>
            </w:r>
          </w:p>
          <w:p>
            <w:pPr>
              <w:pStyle w:val="TableParagraph"/>
              <w:spacing w:line="240" w:lineRule="auto" w:before="77"/>
              <w:ind w:left="454" w:right="0"/>
              <w:jc w:val="left"/>
              <w:rPr>
                <w:rFonts w:ascii="宋体" w:hAnsi="宋体" w:cs="宋体" w:eastAsia="宋体" w:hint="default"/>
                <w:sz w:val="18"/>
                <w:szCs w:val="18"/>
              </w:rPr>
            </w:pPr>
            <w:r>
              <w:rPr>
                <w:rFonts w:ascii="宋体"/>
                <w:sz w:val="18"/>
              </w:rPr>
              <w:t>47</w:t>
            </w:r>
          </w:p>
        </w:tc>
        <w:tc>
          <w:tcPr>
            <w:tcW w:w="735" w:type="dxa"/>
            <w:vMerge w:val="restart"/>
            <w:tcBorders>
              <w:top w:val="single" w:sz="4" w:space="0" w:color="000000"/>
              <w:left w:val="single" w:sz="4" w:space="0" w:color="FFFFFF"/>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8" w:right="0"/>
              <w:jc w:val="left"/>
              <w:rPr>
                <w:rFonts w:ascii="宋体" w:hAnsi="宋体" w:cs="宋体" w:eastAsia="宋体" w:hint="default"/>
                <w:sz w:val="18"/>
                <w:szCs w:val="18"/>
              </w:rPr>
            </w:pPr>
            <w:r>
              <w:rPr>
                <w:rFonts w:ascii="宋体"/>
                <w:sz w:val="18"/>
              </w:rPr>
              <w:t>101.83%</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FFFFFF"/>
            </w:tcBorders>
          </w:tcPr>
          <w:p>
            <w:pPr/>
          </w:p>
        </w:tc>
        <w:tc>
          <w:tcPr>
            <w:tcW w:w="735" w:type="dxa"/>
            <w:vMerge/>
            <w:tcBorders>
              <w:left w:val="single" w:sz="4" w:space="0" w:color="FFFFFF"/>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FFFFFF"/>
            </w:tcBorders>
          </w:tcPr>
          <w:p>
            <w:pPr/>
          </w:p>
        </w:tc>
        <w:tc>
          <w:tcPr>
            <w:tcW w:w="735" w:type="dxa"/>
            <w:vMerge/>
            <w:tcBorders>
              <w:left w:val="single" w:sz="4" w:space="0" w:color="FFFFFF"/>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5" w:right="0"/>
              <w:jc w:val="left"/>
              <w:rPr>
                <w:rFonts w:ascii="宋体" w:hAnsi="宋体" w:cs="宋体" w:eastAsia="宋体" w:hint="default"/>
                <w:sz w:val="18"/>
                <w:szCs w:val="18"/>
              </w:rPr>
            </w:pPr>
            <w:r>
              <w:rPr>
                <w:rFonts w:ascii="宋体"/>
                <w:sz w:val="18"/>
              </w:rPr>
              <w:t>19,220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1" w:right="0"/>
              <w:jc w:val="left"/>
              <w:rPr>
                <w:rFonts w:ascii="宋体" w:hAnsi="宋体" w:cs="宋体" w:eastAsia="宋体" w:hint="default"/>
                <w:sz w:val="18"/>
                <w:szCs w:val="18"/>
              </w:rPr>
            </w:pPr>
            <w:r>
              <w:rPr>
                <w:rFonts w:ascii="宋体"/>
                <w:sz w:val="18"/>
              </w:rPr>
              <w:t>19,220</w:t>
            </w: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sz w:val="18"/>
              </w:rPr>
              <w:t>19,411</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.88</w:t>
            </w:r>
          </w:p>
        </w:tc>
        <w:tc>
          <w:tcPr>
            <w:tcW w:w="735" w:type="dxa"/>
            <w:tcBorders>
              <w:top w:val="single" w:sz="4" w:space="0" w:color="000000"/>
              <w:left w:val="single" w:sz="4" w:space="0" w:color="FFFFFF"/>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4" w:right="0"/>
              <w:jc w:val="left"/>
              <w:rPr>
                <w:rFonts w:ascii="宋体" w:hAnsi="宋体" w:cs="宋体" w:eastAsia="宋体" w:hint="default"/>
                <w:sz w:val="18"/>
                <w:szCs w:val="18"/>
              </w:rPr>
            </w:pPr>
            <w:r>
              <w:rPr>
                <w:rFonts w:ascii="宋体"/>
                <w:sz w:val="18"/>
              </w:rPr>
              <w:t>3,518.6</w:t>
            </w:r>
          </w:p>
          <w:p>
            <w:pPr>
              <w:pStyle w:val="TableParagraph"/>
              <w:spacing w:line="240" w:lineRule="auto" w:before="77"/>
              <w:ind w:left="14" w:right="0"/>
              <w:jc w:val="left"/>
              <w:rPr>
                <w:rFonts w:ascii="宋体" w:hAnsi="宋体" w:cs="宋体" w:eastAsia="宋体" w:hint="default"/>
                <w:sz w:val="18"/>
                <w:szCs w:val="18"/>
              </w:rPr>
            </w:pPr>
            <w:r>
              <w:rPr>
                <w:rFonts w:ascii="宋体"/>
                <w:sz w:val="18"/>
              </w:rPr>
              <w:t>2</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0" w:right="0"/>
              <w:jc w:val="left"/>
              <w:rPr>
                <w:rFonts w:ascii="宋体" w:hAnsi="宋体" w:cs="宋体" w:eastAsia="宋体" w:hint="default"/>
                <w:sz w:val="18"/>
                <w:szCs w:val="18"/>
              </w:rPr>
            </w:pPr>
            <w:r>
              <w:rPr>
                <w:rFonts w:ascii="宋体"/>
                <w:sz w:val="18"/>
              </w:rPr>
              <w:t>35,357.</w:t>
            </w:r>
          </w:p>
          <w:p>
            <w:pPr>
              <w:pStyle w:val="TableParagraph"/>
              <w:spacing w:line="240" w:lineRule="auto" w:before="77"/>
              <w:ind w:left="20" w:right="0"/>
              <w:jc w:val="left"/>
              <w:rPr>
                <w:rFonts w:ascii="宋体" w:hAnsi="宋体" w:cs="宋体" w:eastAsia="宋体" w:hint="default"/>
                <w:sz w:val="18"/>
                <w:szCs w:val="18"/>
              </w:rPr>
            </w:pPr>
            <w:r>
              <w:rPr>
                <w:rFonts w:ascii="宋体"/>
                <w:sz w:val="18"/>
              </w:rPr>
              <w:t>20</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FFFFFF"/>
            </w:tcBorders>
          </w:tcPr>
          <w:p>
            <w:pPr/>
          </w:p>
        </w:tc>
        <w:tc>
          <w:tcPr>
            <w:tcW w:w="735"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right="39"/>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317"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FFFFFF"/>
            </w:tcBorders>
          </w:tcPr>
          <w:p>
            <w:pPr/>
          </w:p>
        </w:tc>
        <w:tc>
          <w:tcPr>
            <w:tcW w:w="735" w:type="dxa"/>
            <w:tcBorders>
              <w:top w:val="nil" w:sz="6" w:space="0" w:color="auto"/>
              <w:left w:val="single" w:sz="4" w:space="0" w:color="FFFFFF"/>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33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sz w:val="18"/>
              </w:rPr>
              <w:t>36,222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sz w:val="18"/>
              </w:rPr>
              <w:t>36,222</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sz w:val="18"/>
              </w:rPr>
              <w:t>36,808</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.02</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17,738.</w:t>
            </w:r>
          </w:p>
          <w:p>
            <w:pPr>
              <w:pStyle w:val="TableParagraph"/>
              <w:spacing w:line="240" w:lineRule="auto" w:before="77"/>
              <w:ind w:left="23" w:right="0"/>
              <w:jc w:val="left"/>
              <w:rPr>
                <w:rFonts w:ascii="宋体" w:hAnsi="宋体" w:cs="宋体" w:eastAsia="宋体" w:hint="default"/>
                <w:sz w:val="18"/>
                <w:szCs w:val="18"/>
              </w:rPr>
            </w:pPr>
            <w:r>
              <w:rPr>
                <w:rFonts w:ascii="宋体"/>
                <w:sz w:val="18"/>
              </w:rPr>
              <w:t>68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sz w:val="18"/>
              </w:rPr>
              <w:t>78,529.</w:t>
            </w:r>
          </w:p>
          <w:p>
            <w:pPr>
              <w:pStyle w:val="TableParagraph"/>
              <w:spacing w:line="240" w:lineRule="auto" w:before="77"/>
              <w:ind w:left="22" w:right="0"/>
              <w:jc w:val="left"/>
              <w:rPr>
                <w:rFonts w:ascii="宋体" w:hAnsi="宋体" w:cs="宋体" w:eastAsia="宋体" w:hint="default"/>
                <w:sz w:val="18"/>
                <w:szCs w:val="18"/>
              </w:rPr>
            </w:pPr>
            <w:r>
              <w:rPr>
                <w:rFonts w:ascii="宋体"/>
                <w:sz w:val="18"/>
              </w:rPr>
              <w:t>42</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33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670"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19" w:lineRule="auto" w:before="52"/>
              <w:ind w:left="16" w:right="48"/>
              <w:jc w:val="both"/>
              <w:rPr>
                <w:rFonts w:ascii="宋体" w:hAnsi="宋体" w:cs="宋体" w:eastAsia="宋体" w:hint="default"/>
                <w:sz w:val="18"/>
                <w:szCs w:val="18"/>
              </w:rPr>
            </w:pPr>
            <w:r>
              <w:rPr>
                <w:rFonts w:ascii="宋体" w:hAnsi="宋体" w:cs="宋体" w:eastAsia="宋体" w:hint="default"/>
                <w:sz w:val="18"/>
                <w:szCs w:val="18"/>
              </w:rPr>
              <w:t>用于银江（北京）物联网技术有限公司建设项目的超募资金累计</w:t>
            </w:r>
            <w:r>
              <w:rPr>
                <w:rFonts w:ascii="宋体" w:hAnsi="宋体" w:cs="宋体" w:eastAsia="宋体" w:hint="default"/>
                <w:spacing w:val="-46"/>
                <w:sz w:val="18"/>
                <w:szCs w:val="18"/>
              </w:rPr>
              <w:t> </w:t>
            </w: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万元，后期市场发展与公 司前期投资时预测差异较大，无法实现原预测效益。</w:t>
            </w:r>
          </w:p>
          <w:p>
            <w:pPr>
              <w:pStyle w:val="TableParagraph"/>
              <w:spacing w:line="319" w:lineRule="auto" w:before="96"/>
              <w:ind w:left="16" w:right="21"/>
              <w:jc w:val="both"/>
              <w:rPr>
                <w:rFonts w:ascii="宋体" w:hAnsi="宋体" w:cs="宋体" w:eastAsia="宋体" w:hint="default"/>
                <w:sz w:val="18"/>
                <w:szCs w:val="18"/>
              </w:rPr>
            </w:pPr>
            <w:r>
              <w:rPr>
                <w:rFonts w:ascii="宋体" w:hAnsi="宋体" w:cs="宋体" w:eastAsia="宋体" w:hint="default"/>
                <w:sz w:val="18"/>
                <w:szCs w:val="18"/>
              </w:rPr>
              <w:t>用于交通、医疗等领域投资与并购项目的超募资金累计</w:t>
            </w:r>
            <w:r>
              <w:rPr>
                <w:rFonts w:ascii="宋体" w:hAnsi="宋体" w:cs="宋体" w:eastAsia="宋体" w:hint="default"/>
                <w:spacing w:val="-46"/>
                <w:sz w:val="18"/>
                <w:szCs w:val="18"/>
              </w:rPr>
              <w:t> </w:t>
            </w:r>
            <w:r>
              <w:rPr>
                <w:rFonts w:ascii="宋体" w:hAnsi="宋体" w:cs="宋体" w:eastAsia="宋体" w:hint="default"/>
                <w:sz w:val="18"/>
                <w:szCs w:val="18"/>
              </w:rPr>
              <w:t>8,463.13</w:t>
            </w:r>
            <w:r>
              <w:rPr>
                <w:rFonts w:ascii="宋体" w:hAnsi="宋体" w:cs="宋体" w:eastAsia="宋体" w:hint="default"/>
                <w:spacing w:val="-46"/>
                <w:sz w:val="18"/>
                <w:szCs w:val="18"/>
              </w:rPr>
              <w:t> </w:t>
            </w:r>
            <w:r>
              <w:rPr>
                <w:rFonts w:ascii="宋体" w:hAnsi="宋体" w:cs="宋体" w:eastAsia="宋体" w:hint="default"/>
                <w:sz w:val="18"/>
                <w:szCs w:val="18"/>
              </w:rPr>
              <w:t>万元。智慧交通集团及其下属子公 </w:t>
            </w:r>
            <w:r>
              <w:rPr>
                <w:rFonts w:ascii="宋体" w:hAnsi="宋体" w:cs="宋体" w:eastAsia="宋体" w:hint="default"/>
                <w:spacing w:val="-2"/>
                <w:sz w:val="18"/>
                <w:szCs w:val="18"/>
              </w:rPr>
              <w:t>司已在客户中树立了良好形象，已经实现了较好的盈利效益；同时部分需要使用股份公司资质的项目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收入及效益未体现在智慧交通集团报表中。智慧医疗集团尚未实现盈利，但已取得软件企业资质，并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单独承接医疗信息化项目；同时部分需要使用股份公司资质的项目收入及效益未体现在智慧医疗集团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报表中。</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668"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2"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2、募集资金使用情况-资产重组配套募集" w:id="54"/>
      <w:bookmarkEnd w:id="54"/>
      <w:r>
        <w:rPr>
          <w:b w:val="0"/>
          <w:bCs w:val="0"/>
        </w:rPr>
      </w:r>
      <w:r>
        <w:rPr>
          <w:rFonts w:ascii="Times New Roman" w:hAnsi="Times New Roman" w:cs="Times New Roman" w:eastAsia="Times New Roman" w:hint="default"/>
        </w:rPr>
        <w:t>5.2</w:t>
      </w:r>
      <w:r>
        <w:rPr/>
        <w:t>、募集资金使用情况</w:t>
      </w:r>
      <w:r>
        <w:rPr>
          <w:rFonts w:ascii="Times New Roman" w:hAnsi="Times New Roman" w:cs="Times New Roman" w:eastAsia="Times New Roman" w:hint="default"/>
        </w:rPr>
        <w:t>-</w:t>
      </w:r>
      <w:r>
        <w:rPr/>
        <w:t>资产重组配套募集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5"/>
      <w:bookmarkEnd w:id="55"/>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资产重组 配套募集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sz w:val="18"/>
              </w:rPr>
              <w:t>19,305.00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19,311.52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19,305.00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19,311.52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注：</w:t>
      </w:r>
      <w:r>
        <w:rPr>
          <w:rFonts w:ascii="Times New Roman" w:hAnsi="Times New Roman" w:cs="Times New Roman" w:eastAsia="Times New Roman" w:hint="default"/>
        </w:rPr>
        <w:t>1</w:t>
      </w:r>
      <w:r>
        <w:rPr/>
        <w:t>、公司如在报告期内募集资金或报告期之前募集资金的使用延续到报告期内的，应当披露本部分的内容。</w:t>
      </w:r>
    </w:p>
    <w:p>
      <w:pPr>
        <w:pStyle w:val="BodyText"/>
        <w:spacing w:line="240" w:lineRule="auto" w:before="103"/>
        <w:ind w:right="0"/>
        <w:jc w:val="left"/>
      </w:pPr>
      <w:r>
        <w:rPr>
          <w:rFonts w:ascii="Times New Roman" w:hAnsi="Times New Roman" w:cs="Times New Roman" w:eastAsia="Times New Roman" w:hint="default"/>
        </w:rPr>
        <w:t>2</w:t>
      </w:r>
      <w:r>
        <w:rPr/>
        <w:t>、报告期内发行公司债募集资金的也适用相关披露。</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募集资金承诺项目情况" w:id="56"/>
      <w:bookmarkEnd w:id="56"/>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86"/>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 w:right="41"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4" w:right="41"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729"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5"/>
              <w:jc w:val="left"/>
              <w:rPr>
                <w:rFonts w:ascii="宋体" w:hAnsi="宋体" w:cs="宋体" w:eastAsia="宋体" w:hint="default"/>
                <w:sz w:val="18"/>
                <w:szCs w:val="18"/>
              </w:rPr>
            </w:pPr>
            <w:r>
              <w:rPr>
                <w:rFonts w:ascii="宋体" w:hAnsi="宋体" w:cs="宋体" w:eastAsia="宋体" w:hint="default"/>
                <w:sz w:val="18"/>
                <w:szCs w:val="18"/>
              </w:rPr>
              <w:t>购买北京亚太安讯 科技股份有限公司 </w:t>
            </w:r>
            <w:r>
              <w:rPr>
                <w:rFonts w:ascii="宋体" w:hAnsi="宋体" w:cs="宋体" w:eastAsia="宋体" w:hint="default"/>
                <w:sz w:val="18"/>
                <w:szCs w:val="18"/>
              </w:rPr>
              <w:t>100.00%</w:t>
            </w:r>
            <w:r>
              <w:rPr>
                <w:rFonts w:ascii="宋体" w:hAnsi="宋体" w:cs="宋体" w:eastAsia="宋体" w:hint="default"/>
                <w:sz w:val="18"/>
                <w:szCs w:val="18"/>
              </w:rPr>
              <w:t>股权现金支 付部分</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10,000.</w:t>
            </w:r>
          </w:p>
          <w:p>
            <w:pPr>
              <w:pStyle w:val="TableParagraph"/>
              <w:spacing w:line="240" w:lineRule="auto" w:before="77"/>
              <w:ind w:right="17"/>
              <w:jc w:val="right"/>
              <w:rPr>
                <w:rFonts w:ascii="宋体" w:hAnsi="宋体" w:cs="宋体" w:eastAsia="宋体" w:hint="default"/>
                <w:sz w:val="18"/>
                <w:szCs w:val="18"/>
              </w:rPr>
            </w:pPr>
            <w:r>
              <w:rPr>
                <w:rFonts w:ascii="宋体"/>
                <w:sz w:val="18"/>
              </w:rPr>
              <w:t>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10,000.</w:t>
            </w:r>
          </w:p>
          <w:p>
            <w:pPr>
              <w:pStyle w:val="TableParagraph"/>
              <w:spacing w:line="240" w:lineRule="auto" w:before="77"/>
              <w:ind w:right="17"/>
              <w:jc w:val="right"/>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p>
            <w:pPr>
              <w:pStyle w:val="TableParagraph"/>
              <w:spacing w:line="240" w:lineRule="auto" w:before="77"/>
              <w:ind w:right="18"/>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 w:right="0"/>
              <w:jc w:val="center"/>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sz w:val="18"/>
              </w:rPr>
              <w:t>-19,886</w:t>
            </w:r>
          </w:p>
          <w:p>
            <w:pPr>
              <w:pStyle w:val="TableParagraph"/>
              <w:spacing w:line="240" w:lineRule="auto" w:before="77"/>
              <w:ind w:left="419" w:right="0"/>
              <w:jc w:val="left"/>
              <w:rPr>
                <w:rFonts w:ascii="宋体" w:hAnsi="宋体" w:cs="宋体" w:eastAsia="宋体" w:hint="default"/>
                <w:sz w:val="18"/>
                <w:szCs w:val="18"/>
              </w:rPr>
            </w:pPr>
            <w:r>
              <w:rPr>
                <w:rFonts w:ascii="宋体"/>
                <w:sz w:val="18"/>
              </w:rPr>
              <w:t>.54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60" w:right="0"/>
              <w:jc w:val="left"/>
              <w:rPr>
                <w:rFonts w:ascii="宋体" w:hAnsi="宋体" w:cs="宋体" w:eastAsia="宋体" w:hint="default"/>
                <w:sz w:val="18"/>
                <w:szCs w:val="18"/>
              </w:rPr>
            </w:pPr>
            <w:r>
              <w:rPr>
                <w:rFonts w:ascii="宋体"/>
                <w:sz w:val="18"/>
              </w:rPr>
              <w:t>-21,391</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6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补充上市公司运营 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9,305.0</w:t>
            </w:r>
          </w:p>
          <w:p>
            <w:pPr>
              <w:pStyle w:val="TableParagraph"/>
              <w:spacing w:line="240" w:lineRule="auto" w:before="78"/>
              <w:ind w:right="17"/>
              <w:jc w:val="right"/>
              <w:rPr>
                <w:rFonts w:ascii="宋体" w:hAnsi="宋体" w:cs="宋体" w:eastAsia="宋体" w:hint="default"/>
                <w:sz w:val="18"/>
                <w:szCs w:val="18"/>
              </w:rPr>
            </w:pPr>
            <w:r>
              <w:rPr>
                <w:rFonts w:ascii="宋体"/>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9,311.5</w:t>
            </w:r>
          </w:p>
          <w:p>
            <w:pPr>
              <w:pStyle w:val="TableParagraph"/>
              <w:spacing w:line="240" w:lineRule="auto" w:before="78"/>
              <w:ind w:right="17"/>
              <w:jc w:val="right"/>
              <w:rPr>
                <w:rFonts w:ascii="宋体" w:hAnsi="宋体" w:cs="宋体" w:eastAsia="宋体" w:hint="default"/>
                <w:sz w:val="18"/>
                <w:szCs w:val="18"/>
              </w:rPr>
            </w:pPr>
            <w:r>
              <w:rPr>
                <w:rFonts w:ascii="宋体"/>
                <w:sz w:val="18"/>
              </w:rPr>
              <w:t>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9311.52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宋体" w:hAnsi="宋体" w:cs="宋体" w:eastAsia="宋体" w:hint="default"/>
                <w:sz w:val="18"/>
                <w:szCs w:val="18"/>
              </w:rPr>
            </w:pPr>
            <w:r>
              <w:rPr>
                <w:rFonts w:ascii="宋体"/>
                <w:sz w:val="18"/>
              </w:rPr>
              <w:t>100.00</w:t>
            </w:r>
          </w:p>
          <w:p>
            <w:pPr>
              <w:pStyle w:val="TableParagraph"/>
              <w:spacing w:line="240" w:lineRule="auto" w:before="116"/>
              <w:ind w:right="17"/>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4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3" w:right="0"/>
              <w:jc w:val="left"/>
              <w:rPr>
                <w:rFonts w:ascii="宋体" w:hAnsi="宋体" w:cs="宋体" w:eastAsia="宋体" w:hint="default"/>
                <w:sz w:val="18"/>
                <w:szCs w:val="18"/>
              </w:rPr>
            </w:pPr>
            <w:r>
              <w:rPr>
                <w:rFonts w:ascii="宋体"/>
                <w:sz w:val="18"/>
              </w:rPr>
              <w:t>19,305.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19,311.</w:t>
            </w:r>
          </w:p>
          <w:p>
            <w:pPr>
              <w:pStyle w:val="TableParagraph"/>
              <w:spacing w:line="240" w:lineRule="auto" w:before="76"/>
              <w:ind w:right="17"/>
              <w:jc w:val="right"/>
              <w:rPr>
                <w:rFonts w:ascii="宋体" w:hAnsi="宋体" w:cs="宋体" w:eastAsia="宋体" w:hint="default"/>
                <w:sz w:val="18"/>
                <w:szCs w:val="18"/>
              </w:rPr>
            </w:pPr>
            <w:r>
              <w:rPr>
                <w:rFonts w:ascii="宋体"/>
                <w:sz w:val="18"/>
              </w:rPr>
              <w:t>52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宋体" w:hAnsi="宋体" w:cs="宋体" w:eastAsia="宋体" w:hint="default"/>
                <w:sz w:val="18"/>
                <w:szCs w:val="18"/>
              </w:rPr>
            </w:pPr>
            <w:r>
              <w:rPr>
                <w:rFonts w:ascii="宋体"/>
                <w:sz w:val="18"/>
              </w:rPr>
              <w:t>19,311.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 w:right="0"/>
              <w:jc w:val="left"/>
              <w:rPr>
                <w:rFonts w:ascii="宋体" w:hAnsi="宋体" w:cs="宋体" w:eastAsia="宋体" w:hint="default"/>
                <w:sz w:val="18"/>
                <w:szCs w:val="18"/>
              </w:rPr>
            </w:pPr>
            <w:r>
              <w:rPr>
                <w:rFonts w:ascii="宋体"/>
                <w:sz w:val="18"/>
              </w:rPr>
              <w:t>-19,886</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.54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宋体" w:hAnsi="宋体" w:cs="宋体" w:eastAsia="宋体" w:hint="default"/>
                <w:sz w:val="18"/>
                <w:szCs w:val="18"/>
              </w:rPr>
            </w:pPr>
            <w:r>
              <w:rPr>
                <w:rFonts w:ascii="宋体"/>
                <w:sz w:val="18"/>
              </w:rPr>
              <w:t>-21,391</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36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52</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743"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743"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9" w:space="0" w:color="D2D2D2"/>
            </w:tcBorders>
          </w:tcPr>
          <w:p>
            <w:pP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9"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6"/>
              <w:jc w:val="right"/>
              <w:rPr>
                <w:rFonts w:ascii="宋体" w:hAnsi="宋体" w:cs="宋体" w:eastAsia="宋体" w:hint="default"/>
                <w:sz w:val="18"/>
                <w:szCs w:val="18"/>
              </w:rPr>
            </w:pPr>
            <w:r>
              <w:rPr>
                <w:rFonts w:ascii="宋体"/>
                <w:sz w:val="18"/>
              </w:rPr>
              <w:t>19,305.</w:t>
            </w:r>
          </w:p>
          <w:p>
            <w:pPr>
              <w:pStyle w:val="TableParagraph"/>
              <w:spacing w:line="240" w:lineRule="auto" w:before="77"/>
              <w:ind w:right="26"/>
              <w:jc w:val="right"/>
              <w:rPr>
                <w:rFonts w:ascii="宋体" w:hAnsi="宋体" w:cs="宋体" w:eastAsia="宋体" w:hint="default"/>
                <w:sz w:val="18"/>
                <w:szCs w:val="18"/>
              </w:rPr>
            </w:pPr>
            <w:r>
              <w:rPr>
                <w:rFonts w:ascii="宋体"/>
                <w:sz w:val="18"/>
              </w:rPr>
              <w:t>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z w:val="18"/>
              </w:rPr>
              <w:t>19,311.</w:t>
            </w:r>
          </w:p>
          <w:p>
            <w:pPr>
              <w:pStyle w:val="TableParagraph"/>
              <w:spacing w:line="240" w:lineRule="auto" w:before="76"/>
              <w:ind w:right="27"/>
              <w:jc w:val="right"/>
              <w:rPr>
                <w:rFonts w:ascii="宋体" w:hAnsi="宋体" w:cs="宋体" w:eastAsia="宋体" w:hint="default"/>
                <w:sz w:val="18"/>
                <w:szCs w:val="18"/>
              </w:rPr>
            </w:pPr>
            <w:r>
              <w:rPr>
                <w:rFonts w:ascii="宋体"/>
                <w:sz w:val="18"/>
              </w:rPr>
              <w:t>52</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2" w:right="0"/>
              <w:jc w:val="left"/>
              <w:rPr>
                <w:rFonts w:ascii="宋体" w:hAnsi="宋体" w:cs="宋体" w:eastAsia="宋体" w:hint="default"/>
                <w:sz w:val="18"/>
                <w:szCs w:val="18"/>
              </w:rPr>
            </w:pPr>
            <w:r>
              <w:rPr>
                <w:rFonts w:ascii="宋体"/>
                <w:sz w:val="18"/>
              </w:rPr>
              <w:t>19,311</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.52</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51"/>
              <w:ind w:right="249"/>
              <w:jc w:val="center"/>
              <w:rPr>
                <w:rFonts w:ascii="宋体" w:hAnsi="宋体" w:cs="宋体" w:eastAsia="宋体" w:hint="default"/>
                <w:sz w:val="18"/>
                <w:szCs w:val="18"/>
              </w:rPr>
            </w:pPr>
            <w:r>
              <w:rPr>
                <w:rFonts w:ascii="宋体"/>
                <w:sz w:val="18"/>
              </w:rPr>
              <w:t>-19,</w:t>
            </w:r>
          </w:p>
          <w:p>
            <w:pPr>
              <w:pStyle w:val="TableParagraph"/>
              <w:spacing w:line="240" w:lineRule="auto" w:before="75"/>
              <w:ind w:right="249"/>
              <w:jc w:val="center"/>
              <w:rPr>
                <w:rFonts w:ascii="宋体" w:hAnsi="宋体" w:cs="宋体" w:eastAsia="宋体" w:hint="default"/>
                <w:sz w:val="18"/>
                <w:szCs w:val="18"/>
              </w:rPr>
            </w:pPr>
            <w:r>
              <w:rPr>
                <w:rFonts w:ascii="宋体"/>
                <w:sz w:val="18"/>
              </w:rPr>
              <w:t>886.</w:t>
            </w:r>
          </w:p>
          <w:p>
            <w:pPr>
              <w:pStyle w:val="TableParagraph"/>
              <w:spacing w:line="240" w:lineRule="auto" w:before="77"/>
              <w:ind w:right="69"/>
              <w:jc w:val="center"/>
              <w:rPr>
                <w:rFonts w:ascii="宋体" w:hAnsi="宋体" w:cs="宋体" w:eastAsia="宋体" w:hint="default"/>
                <w:sz w:val="18"/>
                <w:szCs w:val="18"/>
              </w:rPr>
            </w:pPr>
            <w:r>
              <w:rPr>
                <w:rFonts w:ascii="宋体"/>
                <w:sz w:val="18"/>
              </w:rPr>
              <w:t>54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sz w:val="18"/>
              </w:rPr>
              <w:t>-21,39</w:t>
            </w:r>
          </w:p>
          <w:p>
            <w:pPr>
              <w:pStyle w:val="TableParagraph"/>
              <w:spacing w:line="240" w:lineRule="auto" w:before="76"/>
              <w:ind w:left="121" w:right="0"/>
              <w:jc w:val="center"/>
              <w:rPr>
                <w:rFonts w:ascii="宋体" w:hAnsi="宋体" w:cs="宋体" w:eastAsia="宋体" w:hint="default"/>
                <w:sz w:val="18"/>
                <w:szCs w:val="18"/>
              </w:rPr>
            </w:pPr>
            <w:r>
              <w:rPr>
                <w:rFonts w:ascii="宋体"/>
                <w:sz w:val="18"/>
              </w:rPr>
              <w:t>1.52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r>
      <w:tr>
        <w:trPr>
          <w:trHeight w:val="31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、公司已经于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年度处置北京亚太安讯科技有限责任公司全部股权。</w:t>
            </w:r>
          </w:p>
          <w:p>
            <w:pPr>
              <w:pStyle w:val="TableParagraph"/>
              <w:spacing w:line="319" w:lineRule="auto" w:before="75"/>
              <w:ind w:left="16" w:right="2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、与购买本次股权相关的业绩补偿款尚未收回，公司预计上述业绩补偿款收回可能性较低，本年 已经将剩余业绩补偿款扣除确定可以收回的金额后的余额计提了资产减值准备。</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募集资金变更项目情况" w:id="57"/>
      <w:bookmarkEnd w:id="57"/>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3、募集资金使用情况-非公开发行股票募集" w:id="58"/>
      <w:bookmarkEnd w:id="58"/>
      <w:r>
        <w:rPr>
          <w:b w:val="0"/>
          <w:bCs w:val="0"/>
        </w:rPr>
      </w:r>
      <w:r>
        <w:rPr>
          <w:rFonts w:ascii="Times New Roman" w:hAnsi="Times New Roman" w:cs="Times New Roman" w:eastAsia="Times New Roman" w:hint="default"/>
        </w:rPr>
        <w:t>5.3</w:t>
      </w:r>
      <w:r>
        <w:rPr/>
        <w:t>、募集资金使用情况</w:t>
      </w:r>
      <w:r>
        <w:rPr>
          <w:rFonts w:ascii="Times New Roman" w:hAnsi="Times New Roman" w:cs="Times New Roman" w:eastAsia="Times New Roman" w:hint="default"/>
        </w:rPr>
        <w:t>-</w:t>
      </w:r>
      <w:r>
        <w:rPr/>
        <w:t>非公开发行股票募集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9"/>
      <w:bookmarkEnd w:id="5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sz w:val="18"/>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sz w:val="18"/>
              </w:rPr>
              <w:t>13,558.25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52,963.17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45,128.72</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sz w:val="18"/>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13,558.25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52,963.17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45,128.72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注：</w:t>
      </w:r>
      <w:r>
        <w:rPr>
          <w:rFonts w:ascii="Times New Roman" w:hAnsi="Times New Roman" w:cs="Times New Roman" w:eastAsia="Times New Roman" w:hint="default"/>
        </w:rPr>
        <w:t>1</w:t>
      </w:r>
      <w:r>
        <w:rPr/>
        <w:t>、公司如在报告期内募集资金或报告期之前募集资金的使用延续到报告期内的，应当披露本部分的内容。</w:t>
      </w:r>
    </w:p>
    <w:p>
      <w:pPr>
        <w:pStyle w:val="BodyText"/>
        <w:spacing w:line="240" w:lineRule="auto" w:before="102"/>
        <w:ind w:right="0"/>
        <w:jc w:val="left"/>
      </w:pPr>
      <w:r>
        <w:rPr>
          <w:rFonts w:ascii="Times New Roman" w:hAnsi="Times New Roman" w:cs="Times New Roman" w:eastAsia="Times New Roman" w:hint="default"/>
        </w:rPr>
        <w:t>2</w:t>
      </w:r>
      <w:r>
        <w:rPr/>
        <w:t>、报告期内发行公司债募集资金的也适用相关披露。</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募集资金承诺项目情况" w:id="60"/>
      <w:bookmarkEnd w:id="6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86"/>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 w:right="41"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4" w:right="41"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731"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智慧城市基地化建 设及应用服务项目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60,000.</w:t>
            </w:r>
          </w:p>
          <w:p>
            <w:pPr>
              <w:pStyle w:val="TableParagraph"/>
              <w:spacing w:line="240" w:lineRule="auto" w:before="77"/>
              <w:ind w:left="1" w:right="0"/>
              <w:jc w:val="center"/>
              <w:rPr>
                <w:rFonts w:ascii="宋体" w:hAnsi="宋体" w:cs="宋体" w:eastAsia="宋体" w:hint="default"/>
                <w:sz w:val="18"/>
                <w:szCs w:val="18"/>
              </w:rPr>
            </w:pPr>
            <w:r>
              <w:rPr>
                <w:rFonts w:ascii="宋体"/>
                <w:sz w:val="18"/>
              </w:rPr>
              <w:t>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sz w:val="18"/>
              </w:rPr>
              <w:t>60,000.</w:t>
            </w:r>
          </w:p>
          <w:p>
            <w:pPr>
              <w:pStyle w:val="TableParagraph"/>
              <w:spacing w:line="240" w:lineRule="auto" w:before="77"/>
              <w:ind w:left="6" w:right="0"/>
              <w:jc w:val="center"/>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sz w:val="18"/>
              </w:rPr>
              <w:t>18,522.</w:t>
            </w:r>
          </w:p>
          <w:p>
            <w:pPr>
              <w:pStyle w:val="TableParagraph"/>
              <w:spacing w:line="240" w:lineRule="auto" w:before="77"/>
              <w:ind w:left="8" w:right="0"/>
              <w:jc w:val="center"/>
              <w:rPr>
                <w:rFonts w:ascii="宋体" w:hAnsi="宋体" w:cs="宋体" w:eastAsia="宋体" w:hint="default"/>
                <w:sz w:val="18"/>
                <w:szCs w:val="18"/>
              </w:rPr>
            </w:pPr>
            <w:r>
              <w:rPr>
                <w:rFonts w:ascii="宋体"/>
                <w:sz w:val="18"/>
              </w:rPr>
              <w:t>27</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45,841.</w:t>
            </w:r>
          </w:p>
          <w:p>
            <w:pPr>
              <w:pStyle w:val="TableParagraph"/>
              <w:spacing w:line="240" w:lineRule="auto" w:before="77"/>
              <w:ind w:left="6" w:right="0"/>
              <w:jc w:val="center"/>
              <w:rPr>
                <w:rFonts w:ascii="宋体" w:hAnsi="宋体" w:cs="宋体" w:eastAsia="宋体" w:hint="default"/>
                <w:sz w:val="18"/>
                <w:szCs w:val="18"/>
              </w:rPr>
            </w:pPr>
            <w:r>
              <w:rPr>
                <w:rFonts w:ascii="宋体"/>
                <w:sz w:val="18"/>
              </w:rPr>
              <w:t>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 w:right="0"/>
              <w:jc w:val="left"/>
              <w:rPr>
                <w:rFonts w:ascii="宋体" w:hAnsi="宋体" w:cs="宋体" w:eastAsia="宋体" w:hint="default"/>
                <w:sz w:val="18"/>
                <w:szCs w:val="18"/>
              </w:rPr>
            </w:pPr>
            <w:r>
              <w:rPr>
                <w:rFonts w:ascii="宋体"/>
                <w:sz w:val="18"/>
              </w:rPr>
              <w:t>76.40%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7" w:right="137"/>
              <w:jc w:val="left"/>
              <w:rPr>
                <w:rFonts w:ascii="宋体" w:hAnsi="宋体" w:cs="宋体" w:eastAsia="宋体" w:hint="default"/>
                <w:sz w:val="18"/>
                <w:szCs w:val="18"/>
              </w:rPr>
            </w:pPr>
            <w:r>
              <w:rPr>
                <w:rFonts w:ascii="宋体" w:hAnsi="宋体" w:cs="宋体" w:eastAsia="宋体" w:hint="default"/>
                <w:sz w:val="18"/>
                <w:szCs w:val="18"/>
              </w:rPr>
              <w:t>正常执 行</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2,738.9</w:t>
            </w:r>
          </w:p>
          <w:p>
            <w:pPr>
              <w:pStyle w:val="TableParagraph"/>
              <w:spacing w:line="240" w:lineRule="auto" w:before="77"/>
              <w:ind w:right="17"/>
              <w:jc w:val="right"/>
              <w:rPr>
                <w:rFonts w:ascii="宋体" w:hAnsi="宋体" w:cs="宋体" w:eastAsia="宋体" w:hint="default"/>
                <w:sz w:val="18"/>
                <w:szCs w:val="18"/>
              </w:rPr>
            </w:pPr>
            <w:r>
              <w:rPr>
                <w:rFonts w:ascii="宋体"/>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
              <w:jc w:val="right"/>
              <w:rPr>
                <w:rFonts w:ascii="宋体" w:hAnsi="宋体" w:cs="宋体" w:eastAsia="宋体" w:hint="default"/>
                <w:sz w:val="18"/>
                <w:szCs w:val="18"/>
              </w:rPr>
            </w:pPr>
            <w:r>
              <w:rPr>
                <w:rFonts w:ascii="宋体"/>
                <w:sz w:val="18"/>
              </w:rPr>
              <w:t>4,462.4</w:t>
            </w:r>
          </w:p>
          <w:p>
            <w:pPr>
              <w:pStyle w:val="TableParagraph"/>
              <w:spacing w:line="240" w:lineRule="auto" w:before="77"/>
              <w:ind w:right="16"/>
              <w:jc w:val="right"/>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企业技术中心研发 升级项目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sz w:val="18"/>
              </w:rPr>
              <w:t>9,975.0</w:t>
            </w:r>
          </w:p>
          <w:p>
            <w:pPr>
              <w:pStyle w:val="TableParagraph"/>
              <w:spacing w:line="240" w:lineRule="auto" w:before="78"/>
              <w:ind w:left="2" w:right="0"/>
              <w:jc w:val="center"/>
              <w:rPr>
                <w:rFonts w:ascii="宋体" w:hAnsi="宋体" w:cs="宋体" w:eastAsia="宋体" w:hint="default"/>
                <w:sz w:val="18"/>
                <w:szCs w:val="18"/>
              </w:rPr>
            </w:pPr>
            <w:r>
              <w:rPr>
                <w:rFonts w:ascii="宋体"/>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sz w:val="18"/>
              </w:rPr>
              <w:t>9,975.0</w:t>
            </w:r>
          </w:p>
          <w:p>
            <w:pPr>
              <w:pStyle w:val="TableParagraph"/>
              <w:spacing w:line="240" w:lineRule="auto" w:before="78"/>
              <w:ind w:left="7" w:right="0"/>
              <w:jc w:val="center"/>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sz w:val="18"/>
              </w:rPr>
              <w:t>2,573.3</w:t>
            </w:r>
          </w:p>
          <w:p>
            <w:pPr>
              <w:pStyle w:val="TableParagraph"/>
              <w:spacing w:line="240" w:lineRule="auto" w:before="78"/>
              <w:ind w:left="7" w:right="0"/>
              <w:jc w:val="center"/>
              <w:rPr>
                <w:rFonts w:ascii="宋体" w:hAnsi="宋体" w:cs="宋体" w:eastAsia="宋体" w:hint="default"/>
                <w:sz w:val="18"/>
                <w:szCs w:val="18"/>
              </w:rPr>
            </w:pPr>
            <w:r>
              <w:rPr>
                <w:rFonts w:ascii="宋体"/>
                <w:sz w:val="18"/>
              </w:rPr>
              <w:t>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center"/>
              <w:rPr>
                <w:rFonts w:ascii="宋体" w:hAnsi="宋体" w:cs="宋体" w:eastAsia="宋体" w:hint="default"/>
                <w:sz w:val="18"/>
                <w:szCs w:val="18"/>
              </w:rPr>
            </w:pPr>
            <w:r>
              <w:rPr>
                <w:rFonts w:ascii="宋体"/>
                <w:sz w:val="18"/>
              </w:rPr>
              <w:t>4,120.9</w:t>
            </w:r>
          </w:p>
          <w:p>
            <w:pPr>
              <w:pStyle w:val="TableParagraph"/>
              <w:spacing w:line="240" w:lineRule="auto" w:before="78"/>
              <w:ind w:left="30" w:right="0"/>
              <w:jc w:val="center"/>
              <w:rPr>
                <w:rFonts w:ascii="宋体" w:hAnsi="宋体" w:cs="宋体" w:eastAsia="宋体" w:hint="default"/>
                <w:sz w:val="18"/>
                <w:szCs w:val="18"/>
              </w:rPr>
            </w:pPr>
            <w:r>
              <w:rPr>
                <w:rFonts w:ascii="宋体"/>
                <w:sz w:val="18"/>
              </w:rPr>
              <w:t>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1" w:right="0"/>
              <w:jc w:val="center"/>
              <w:rPr>
                <w:rFonts w:ascii="宋体" w:hAnsi="宋体" w:cs="宋体" w:eastAsia="宋体" w:hint="default"/>
                <w:sz w:val="18"/>
                <w:szCs w:val="18"/>
              </w:rPr>
            </w:pPr>
            <w:r>
              <w:rPr>
                <w:rFonts w:ascii="宋体"/>
                <w:sz w:val="18"/>
              </w:rPr>
              <w:t>41.31%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0"/>
              <w:jc w:val="center"/>
              <w:rPr>
                <w:rFonts w:ascii="宋体" w:hAnsi="宋体" w:cs="宋体" w:eastAsia="宋体" w:hint="default"/>
                <w:sz w:val="18"/>
                <w:szCs w:val="18"/>
              </w:rPr>
            </w:pPr>
            <w:r>
              <w:rPr>
                <w:rFonts w:ascii="宋体" w:hAnsi="宋体" w:cs="宋体" w:eastAsia="宋体" w:hint="default"/>
                <w:sz w:val="18"/>
                <w:szCs w:val="18"/>
              </w:rPr>
              <w:t>未完成</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智慧城市信息服务 平台开发及产业化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sz w:val="18"/>
              </w:rPr>
              <w:t>9,825.0</w:t>
            </w:r>
          </w:p>
          <w:p>
            <w:pPr>
              <w:pStyle w:val="TableParagraph"/>
              <w:spacing w:line="240" w:lineRule="auto" w:before="77"/>
              <w:ind w:left="2" w:right="0"/>
              <w:jc w:val="center"/>
              <w:rPr>
                <w:rFonts w:ascii="宋体" w:hAnsi="宋体" w:cs="宋体" w:eastAsia="宋体" w:hint="default"/>
                <w:sz w:val="18"/>
                <w:szCs w:val="18"/>
              </w:rPr>
            </w:pPr>
            <w:r>
              <w:rPr>
                <w:rFonts w:ascii="宋体"/>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sz w:val="18"/>
              </w:rPr>
              <w:t>9,825.0</w:t>
            </w:r>
          </w:p>
          <w:p>
            <w:pPr>
              <w:pStyle w:val="TableParagraph"/>
              <w:spacing w:line="240" w:lineRule="auto" w:before="77"/>
              <w:ind w:left="7" w:right="0"/>
              <w:jc w:val="center"/>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87" w:right="0"/>
              <w:jc w:val="left"/>
              <w:rPr>
                <w:rFonts w:ascii="宋体" w:hAnsi="宋体" w:cs="宋体" w:eastAsia="宋体" w:hint="default"/>
                <w:sz w:val="18"/>
                <w:szCs w:val="18"/>
              </w:rPr>
            </w:pPr>
            <w:r>
              <w:rPr>
                <w:rFonts w:ascii="宋体"/>
                <w:sz w:val="18"/>
              </w:rPr>
              <w:t>930.11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center"/>
              <w:rPr>
                <w:rFonts w:ascii="宋体" w:hAnsi="宋体" w:cs="宋体" w:eastAsia="宋体" w:hint="default"/>
                <w:sz w:val="18"/>
                <w:szCs w:val="18"/>
              </w:rPr>
            </w:pPr>
            <w:r>
              <w:rPr>
                <w:rFonts w:ascii="宋体"/>
                <w:sz w:val="18"/>
              </w:rPr>
              <w:t>4,996.2</w:t>
            </w:r>
          </w:p>
          <w:p>
            <w:pPr>
              <w:pStyle w:val="TableParagraph"/>
              <w:spacing w:line="240" w:lineRule="auto" w:before="77"/>
              <w:ind w:left="30" w:right="0"/>
              <w:jc w:val="center"/>
              <w:rPr>
                <w:rFonts w:ascii="宋体" w:hAnsi="宋体" w:cs="宋体" w:eastAsia="宋体" w:hint="default"/>
                <w:sz w:val="18"/>
                <w:szCs w:val="18"/>
              </w:rPr>
            </w:pPr>
            <w:r>
              <w:rPr>
                <w:rFonts w:ascii="宋体"/>
                <w:sz w:val="18"/>
              </w:rPr>
              <w:t>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1" w:right="0"/>
              <w:jc w:val="center"/>
              <w:rPr>
                <w:rFonts w:ascii="宋体" w:hAnsi="宋体" w:cs="宋体" w:eastAsia="宋体" w:hint="default"/>
                <w:sz w:val="18"/>
                <w:szCs w:val="18"/>
              </w:rPr>
            </w:pPr>
            <w:r>
              <w:rPr>
                <w:rFonts w:ascii="宋体"/>
                <w:sz w:val="18"/>
              </w:rPr>
              <w:t>50.85%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0"/>
              <w:jc w:val="center"/>
              <w:rPr>
                <w:rFonts w:ascii="宋体" w:hAnsi="宋体" w:cs="宋体" w:eastAsia="宋体" w:hint="default"/>
                <w:sz w:val="18"/>
                <w:szCs w:val="18"/>
              </w:rPr>
            </w:pPr>
            <w:r>
              <w:rPr>
                <w:rFonts w:ascii="宋体" w:hAnsi="宋体" w:cs="宋体" w:eastAsia="宋体" w:hint="default"/>
                <w:sz w:val="18"/>
                <w:szCs w:val="18"/>
              </w:rPr>
              <w:t>未完成</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sz w:val="18"/>
              </w:rPr>
              <w:t>20,000.</w:t>
            </w:r>
          </w:p>
          <w:p>
            <w:pPr>
              <w:pStyle w:val="TableParagraph"/>
              <w:spacing w:line="240" w:lineRule="auto" w:before="77"/>
              <w:ind w:left="1" w:right="0"/>
              <w:jc w:val="center"/>
              <w:rPr>
                <w:rFonts w:ascii="宋体" w:hAnsi="宋体" w:cs="宋体" w:eastAsia="宋体" w:hint="default"/>
                <w:sz w:val="18"/>
                <w:szCs w:val="18"/>
              </w:rPr>
            </w:pPr>
            <w:r>
              <w:rPr>
                <w:rFonts w:ascii="宋体"/>
                <w:sz w:val="18"/>
              </w:rPr>
              <w:t>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sz w:val="18"/>
              </w:rPr>
              <w:t>20,000.</w:t>
            </w:r>
          </w:p>
          <w:p>
            <w:pPr>
              <w:pStyle w:val="TableParagraph"/>
              <w:spacing w:line="240" w:lineRule="auto" w:before="77"/>
              <w:ind w:left="6" w:right="0"/>
              <w:jc w:val="center"/>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center"/>
              <w:rPr>
                <w:rFonts w:ascii="宋体" w:hAnsi="宋体" w:cs="宋体" w:eastAsia="宋体" w:hint="default"/>
                <w:sz w:val="18"/>
                <w:szCs w:val="18"/>
              </w:rPr>
            </w:pPr>
            <w:r>
              <w:rPr>
                <w:rFonts w:ascii="宋体"/>
                <w:sz w:val="18"/>
              </w:rPr>
              <w:t>20,029.</w:t>
            </w:r>
          </w:p>
          <w:p>
            <w:pPr>
              <w:pStyle w:val="TableParagraph"/>
              <w:spacing w:line="240" w:lineRule="auto" w:before="77"/>
              <w:ind w:left="31" w:right="0"/>
              <w:jc w:val="center"/>
              <w:rPr>
                <w:rFonts w:ascii="宋体" w:hAnsi="宋体" w:cs="宋体" w:eastAsia="宋体" w:hint="default"/>
                <w:sz w:val="18"/>
                <w:szCs w:val="18"/>
              </w:rPr>
            </w:pPr>
            <w:r>
              <w:rPr>
                <w:rFonts w:ascii="宋体"/>
                <w:sz w:val="18"/>
              </w:rPr>
              <w:t>77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center"/>
              <w:rPr>
                <w:rFonts w:ascii="宋体" w:hAnsi="宋体" w:cs="宋体" w:eastAsia="宋体" w:hint="default"/>
                <w:sz w:val="18"/>
                <w:szCs w:val="18"/>
              </w:rPr>
            </w:pPr>
            <w:r>
              <w:rPr>
                <w:rFonts w:ascii="宋体"/>
                <w:sz w:val="18"/>
              </w:rPr>
              <w:t>100.15%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99,800.</w:t>
            </w:r>
          </w:p>
          <w:p>
            <w:pPr>
              <w:pStyle w:val="TableParagraph"/>
              <w:spacing w:line="240" w:lineRule="auto" w:before="77"/>
              <w:ind w:right="2"/>
              <w:jc w:val="center"/>
              <w:rPr>
                <w:rFonts w:ascii="宋体" w:hAnsi="宋体" w:cs="宋体" w:eastAsia="宋体" w:hint="default"/>
                <w:sz w:val="18"/>
                <w:szCs w:val="18"/>
              </w:rPr>
            </w:pPr>
            <w:r>
              <w:rPr>
                <w:rFonts w:ascii="宋体"/>
                <w:sz w:val="18"/>
              </w:rPr>
              <w:t>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sz w:val="18"/>
              </w:rPr>
              <w:t>99,800.</w:t>
            </w:r>
          </w:p>
          <w:p>
            <w:pPr>
              <w:pStyle w:val="TableParagraph"/>
              <w:spacing w:line="240" w:lineRule="auto" w:before="77"/>
              <w:ind w:left="6" w:right="0"/>
              <w:jc w:val="center"/>
              <w:rPr>
                <w:rFonts w:ascii="宋体" w:hAnsi="宋体" w:cs="宋体" w:eastAsia="宋体" w:hint="default"/>
                <w:sz w:val="18"/>
                <w:szCs w:val="18"/>
              </w:rPr>
            </w:pPr>
            <w:r>
              <w:rPr>
                <w:rFonts w:ascii="宋体"/>
                <w:sz w:val="18"/>
              </w:rPr>
              <w:t>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sz w:val="18"/>
              </w:rPr>
              <w:t>22,025.</w:t>
            </w:r>
          </w:p>
          <w:p>
            <w:pPr>
              <w:pStyle w:val="TableParagraph"/>
              <w:spacing w:line="240" w:lineRule="auto" w:before="77"/>
              <w:ind w:left="27" w:right="0"/>
              <w:jc w:val="left"/>
              <w:rPr>
                <w:rFonts w:ascii="宋体" w:hAnsi="宋体" w:cs="宋体" w:eastAsia="宋体" w:hint="default"/>
                <w:sz w:val="18"/>
                <w:szCs w:val="18"/>
              </w:rPr>
            </w:pPr>
            <w:r>
              <w:rPr>
                <w:rFonts w:ascii="宋体"/>
                <w:sz w:val="18"/>
              </w:rPr>
              <w:t>77</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center"/>
              <w:rPr>
                <w:rFonts w:ascii="宋体" w:hAnsi="宋体" w:cs="宋体" w:eastAsia="宋体" w:hint="default"/>
                <w:sz w:val="18"/>
                <w:szCs w:val="18"/>
              </w:rPr>
            </w:pPr>
            <w:r>
              <w:rPr>
                <w:rFonts w:ascii="宋体"/>
                <w:sz w:val="18"/>
              </w:rPr>
              <w:t>74,988.</w:t>
            </w:r>
          </w:p>
          <w:p>
            <w:pPr>
              <w:pStyle w:val="TableParagraph"/>
              <w:spacing w:line="240" w:lineRule="auto" w:before="77"/>
              <w:ind w:left="31" w:right="0"/>
              <w:jc w:val="center"/>
              <w:rPr>
                <w:rFonts w:ascii="宋体" w:hAnsi="宋体" w:cs="宋体" w:eastAsia="宋体" w:hint="default"/>
                <w:sz w:val="18"/>
                <w:szCs w:val="18"/>
              </w:rPr>
            </w:pPr>
            <w:r>
              <w:rPr>
                <w:rFonts w:ascii="宋体"/>
                <w:sz w:val="18"/>
              </w:rPr>
              <w:t>95</w:t>
            </w:r>
          </w:p>
        </w:tc>
        <w:tc>
          <w:tcPr>
            <w:tcW w:w="743"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2,738.9</w:t>
            </w:r>
          </w:p>
          <w:p>
            <w:pPr>
              <w:pStyle w:val="TableParagraph"/>
              <w:spacing w:line="240" w:lineRule="auto" w:before="77"/>
              <w:ind w:right="17"/>
              <w:jc w:val="right"/>
              <w:rPr>
                <w:rFonts w:ascii="宋体" w:hAnsi="宋体" w:cs="宋体" w:eastAsia="宋体" w:hint="default"/>
                <w:sz w:val="18"/>
                <w:szCs w:val="18"/>
              </w:rPr>
            </w:pPr>
            <w:r>
              <w:rPr>
                <w:rFonts w:ascii="宋体"/>
                <w:sz w:val="18"/>
              </w:rPr>
              <w:t>7</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4,462.4</w:t>
            </w:r>
          </w:p>
          <w:p>
            <w:pPr>
              <w:pStyle w:val="TableParagraph"/>
              <w:spacing w:line="240" w:lineRule="auto" w:before="76"/>
              <w:ind w:right="11"/>
              <w:jc w:val="right"/>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r>
      <w:tr>
        <w:trPr>
          <w:trHeight w:val="322"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FFFFFF"/>
            </w:tcBorders>
          </w:tcPr>
          <w:p>
            <w:pPr/>
          </w:p>
        </w:tc>
        <w:tc>
          <w:tcPr>
            <w:tcW w:w="743" w:type="dxa"/>
            <w:tcBorders>
              <w:top w:val="single" w:sz="4" w:space="0" w:color="000000"/>
              <w:left w:val="single" w:sz="4" w:space="0" w:color="FFFFFF"/>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FFFFFF"/>
            </w:tcBorders>
          </w:tcPr>
          <w:p>
            <w:pPr/>
          </w:p>
        </w:tc>
        <w:tc>
          <w:tcPr>
            <w:tcW w:w="743" w:type="dxa"/>
            <w:vMerge w:val="restart"/>
            <w:tcBorders>
              <w:top w:val="single" w:sz="4" w:space="0" w:color="000000"/>
              <w:left w:val="single" w:sz="4" w:space="0" w:color="FFFFFF"/>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FFFFFF"/>
            </w:tcBorders>
          </w:tcPr>
          <w:p>
            <w:pPr/>
          </w:p>
        </w:tc>
        <w:tc>
          <w:tcPr>
            <w:tcW w:w="743" w:type="dxa"/>
            <w:vMerge/>
            <w:tcBorders>
              <w:left w:val="single" w:sz="4" w:space="0" w:color="FFFFFF"/>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FFFFFF"/>
            </w:tcBorders>
          </w:tcPr>
          <w:p>
            <w:pPr/>
          </w:p>
        </w:tc>
        <w:tc>
          <w:tcPr>
            <w:tcW w:w="743" w:type="dxa"/>
            <w:vMerge/>
            <w:tcBorders>
              <w:left w:val="single" w:sz="4" w:space="0" w:color="FFFFFF"/>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FFFFFF"/>
            </w:tcBorders>
          </w:tcPr>
          <w:p>
            <w:pPr/>
          </w:p>
        </w:tc>
        <w:tc>
          <w:tcPr>
            <w:tcW w:w="743" w:type="dxa"/>
            <w:vMerge w:val="restart"/>
            <w:tcBorders>
              <w:top w:val="single" w:sz="4" w:space="0" w:color="000000"/>
              <w:left w:val="single" w:sz="4" w:space="0" w:color="FFFFFF"/>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FFFFFF"/>
            </w:tcBorders>
          </w:tcPr>
          <w:p>
            <w:pPr/>
          </w:p>
        </w:tc>
        <w:tc>
          <w:tcPr>
            <w:tcW w:w="743" w:type="dxa"/>
            <w:vMerge/>
            <w:tcBorders>
              <w:left w:val="single" w:sz="4" w:space="0" w:color="FFFFFF"/>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FFFFFF"/>
            </w:tcBorders>
          </w:tcPr>
          <w:p>
            <w:pPr/>
          </w:p>
        </w:tc>
        <w:tc>
          <w:tcPr>
            <w:tcW w:w="743" w:type="dxa"/>
            <w:vMerge/>
            <w:tcBorders>
              <w:left w:val="single" w:sz="4" w:space="0" w:color="FFFFFF"/>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FFFFFF"/>
            </w:tcBorders>
          </w:tcPr>
          <w:p>
            <w:pPr/>
          </w:p>
        </w:tc>
        <w:tc>
          <w:tcPr>
            <w:tcW w:w="743"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33"/>
              <w:jc w:val="center"/>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719"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9"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sz w:val="18"/>
              </w:rPr>
              <w:t>99,800.</w:t>
            </w:r>
          </w:p>
          <w:p>
            <w:pPr>
              <w:pStyle w:val="TableParagraph"/>
              <w:spacing w:line="240" w:lineRule="auto" w:before="77"/>
              <w:ind w:left="16" w:right="0"/>
              <w:jc w:val="left"/>
              <w:rPr>
                <w:rFonts w:ascii="宋体" w:hAnsi="宋体" w:cs="宋体" w:eastAsia="宋体" w:hint="default"/>
                <w:sz w:val="18"/>
                <w:szCs w:val="18"/>
              </w:rPr>
            </w:pPr>
            <w:r>
              <w:rPr>
                <w:rFonts w:ascii="宋体"/>
                <w:sz w:val="18"/>
              </w:rPr>
              <w:t>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sz w:val="18"/>
              </w:rPr>
              <w:t>99,800.</w:t>
            </w:r>
          </w:p>
          <w:p>
            <w:pPr>
              <w:pStyle w:val="TableParagraph"/>
              <w:spacing w:line="240" w:lineRule="auto" w:before="77"/>
              <w:ind w:left="18" w:right="0"/>
              <w:jc w:val="left"/>
              <w:rPr>
                <w:rFonts w:ascii="宋体" w:hAnsi="宋体" w:cs="宋体" w:eastAsia="宋体" w:hint="default"/>
                <w:sz w:val="18"/>
                <w:szCs w:val="18"/>
              </w:rPr>
            </w:pPr>
            <w:r>
              <w:rPr>
                <w:rFonts w:ascii="宋体"/>
                <w:sz w:val="18"/>
              </w:rPr>
              <w:t>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sz w:val="18"/>
              </w:rPr>
              <w:t>22,025.</w:t>
            </w:r>
          </w:p>
          <w:p>
            <w:pPr>
              <w:pStyle w:val="TableParagraph"/>
              <w:spacing w:line="240" w:lineRule="auto" w:before="77"/>
              <w:ind w:left="19" w:right="0"/>
              <w:jc w:val="left"/>
              <w:rPr>
                <w:rFonts w:ascii="宋体" w:hAnsi="宋体" w:cs="宋体" w:eastAsia="宋体" w:hint="default"/>
                <w:sz w:val="18"/>
                <w:szCs w:val="18"/>
              </w:rPr>
            </w:pPr>
            <w:r>
              <w:rPr>
                <w:rFonts w:ascii="宋体"/>
                <w:sz w:val="18"/>
              </w:rPr>
              <w:t>77</w:t>
            </w:r>
          </w:p>
        </w:tc>
        <w:tc>
          <w:tcPr>
            <w:tcW w:w="694"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sz w:val="18"/>
              </w:rPr>
              <w:t>74,988</w:t>
            </w:r>
          </w:p>
          <w:p>
            <w:pPr>
              <w:pStyle w:val="TableParagraph"/>
              <w:spacing w:line="240" w:lineRule="auto" w:before="77"/>
              <w:ind w:left="19" w:right="0"/>
              <w:jc w:val="left"/>
              <w:rPr>
                <w:rFonts w:ascii="宋体" w:hAnsi="宋体" w:cs="宋体" w:eastAsia="宋体" w:hint="default"/>
                <w:sz w:val="18"/>
                <w:szCs w:val="18"/>
              </w:rPr>
            </w:pPr>
            <w:r>
              <w:rPr>
                <w:rFonts w:ascii="宋体"/>
                <w:sz w:val="18"/>
              </w:rPr>
              <w:t>.95</w:t>
            </w:r>
          </w:p>
        </w:tc>
        <w:tc>
          <w:tcPr>
            <w:tcW w:w="743" w:type="dxa"/>
            <w:tcBorders>
              <w:top w:val="single" w:sz="4" w:space="0" w:color="000000"/>
              <w:left w:val="single" w:sz="4" w:space="0" w:color="FFFFFF"/>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z w:val="18"/>
              </w:rPr>
              <w:t>2,738.9</w:t>
            </w:r>
          </w:p>
          <w:p>
            <w:pPr>
              <w:pStyle w:val="TableParagraph"/>
              <w:spacing w:line="240" w:lineRule="auto" w:before="77"/>
              <w:ind w:right="24"/>
              <w:jc w:val="right"/>
              <w:rPr>
                <w:rFonts w:ascii="宋体" w:hAnsi="宋体" w:cs="宋体" w:eastAsia="宋体" w:hint="default"/>
                <w:sz w:val="18"/>
                <w:szCs w:val="18"/>
              </w:rPr>
            </w:pPr>
            <w:r>
              <w:rPr>
                <w:rFonts w:ascii="宋体"/>
                <w:sz w:val="18"/>
              </w:rPr>
              <w:t>7</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4,462.4</w:t>
            </w:r>
          </w:p>
          <w:p>
            <w:pPr>
              <w:pStyle w:val="TableParagraph"/>
              <w:spacing w:line="240" w:lineRule="auto" w:before="77"/>
              <w:ind w:right="18"/>
              <w:jc w:val="right"/>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FFFFFF"/>
            </w:tcBorders>
          </w:tcPr>
          <w:p>
            <w:pPr/>
          </w:p>
        </w:tc>
        <w:tc>
          <w:tcPr>
            <w:tcW w:w="743"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right="33"/>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31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FFFFFF"/>
            </w:tcBorders>
          </w:tcPr>
          <w:p>
            <w:pPr/>
          </w:p>
        </w:tc>
        <w:tc>
          <w:tcPr>
            <w:tcW w:w="743" w:type="dxa"/>
            <w:tcBorders>
              <w:top w:val="nil" w:sz="6" w:space="0" w:color="auto"/>
              <w:left w:val="single" w:sz="4" w:space="0" w:color="FFFFFF"/>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359"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16" w:lineRule="auto" w:before="93"/>
              <w:ind w:left="16" w:right="20"/>
              <w:jc w:val="both"/>
              <w:rPr>
                <w:rFonts w:ascii="宋体" w:hAnsi="宋体" w:cs="宋体" w:eastAsia="宋体" w:hint="default"/>
                <w:sz w:val="18"/>
                <w:szCs w:val="18"/>
              </w:rPr>
            </w:pPr>
            <w:r>
              <w:rPr>
                <w:rFonts w:ascii="宋体" w:hAnsi="宋体" w:cs="宋体" w:eastAsia="宋体" w:hint="default"/>
                <w:spacing w:val="-2"/>
                <w:sz w:val="18"/>
                <w:szCs w:val="18"/>
              </w:rPr>
              <w:t>为提高非公开发行股票募集资金投资项目的实施效率，公司扩大募集资金投资项目“智慧城市基地化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建设及应用服务项目”的实施范围，实施主体、实施方式等均不发生变化。上述扩大募集资金实施范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围的议案《关于扩大部分募集资金投资项目实施范围的议案》业经公司第四届董事会第四次会议、第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四届监事会第三次会议审议通过，并经公司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w:t>
            </w:r>
          </w:p>
        </w:tc>
      </w:tr>
      <w:tr>
        <w:trPr>
          <w:trHeight w:val="704"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right w:val="single" w:sz="4" w:space="0" w:color="000000"/>
            </w:tcBorders>
          </w:tcPr>
          <w:p>
            <w:pPr/>
          </w:p>
        </w:tc>
      </w:tr>
      <w:tr>
        <w:trPr>
          <w:trHeight w:val="358"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本次非公开发行股票募集资金投资项目经公司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年度第二次临时股东大会审议通过利用募集资金 投资计划。部分募集资金投资项目在募集资金实际到位之前已由公司自筹资金先行投入，</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 公司置换自筹资金预先投入募投项目的款项金额为</w:t>
            </w:r>
            <w:r>
              <w:rPr>
                <w:rFonts w:ascii="宋体" w:hAnsi="宋体" w:cs="宋体" w:eastAsia="宋体" w:hint="default"/>
                <w:spacing w:val="-41"/>
                <w:sz w:val="18"/>
                <w:szCs w:val="18"/>
              </w:rPr>
              <w:t> </w:t>
            </w:r>
            <w:r>
              <w:rPr>
                <w:rFonts w:ascii="宋体" w:hAnsi="宋体" w:cs="宋体" w:eastAsia="宋体" w:hint="default"/>
                <w:sz w:val="18"/>
                <w:szCs w:val="18"/>
              </w:rPr>
              <w:t>79,519,318.64</w:t>
            </w:r>
            <w:r>
              <w:rPr>
                <w:rFonts w:ascii="宋体" w:hAnsi="宋体" w:cs="宋体" w:eastAsia="宋体" w:hint="default"/>
                <w:spacing w:val="-41"/>
                <w:sz w:val="18"/>
                <w:szCs w:val="18"/>
              </w:rPr>
              <w:t> </w:t>
            </w:r>
            <w:r>
              <w:rPr>
                <w:rFonts w:ascii="宋体" w:hAnsi="宋体" w:cs="宋体" w:eastAsia="宋体" w:hint="default"/>
                <w:spacing w:val="-5"/>
                <w:sz w:val="18"/>
                <w:szCs w:val="18"/>
              </w:rPr>
              <w:t>元，上述募集资金置换事项业经立</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信会计师事务所（特殊普通合伙）审核，并出具信会师报字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610600</w:t>
            </w:r>
            <w:r>
              <w:rPr>
                <w:rFonts w:ascii="宋体" w:hAnsi="宋体" w:cs="宋体" w:eastAsia="宋体" w:hint="default"/>
                <w:spacing w:val="-46"/>
                <w:sz w:val="18"/>
                <w:szCs w:val="18"/>
              </w:rPr>
              <w:t> </w:t>
            </w:r>
            <w:r>
              <w:rPr>
                <w:rFonts w:ascii="宋体" w:hAnsi="宋体" w:cs="宋体" w:eastAsia="宋体" w:hint="default"/>
                <w:sz w:val="18"/>
                <w:szCs w:val="18"/>
              </w:rPr>
              <w:t>号鉴证报告。</w:t>
            </w:r>
          </w:p>
        </w:tc>
      </w:tr>
      <w:tr>
        <w:trPr>
          <w:trHeight w:val="22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为满足公司日常经营资金需求，提高公司募集资金使用效率，在保证募集资金投资项目的资金需求以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及募集资金使用计划正常进行的前提下，结合公司目前生产经营情况以及财务状况，拟使用部分闲置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募集资金</w:t>
            </w:r>
            <w:r>
              <w:rPr>
                <w:rFonts w:ascii="宋体" w:hAnsi="宋体" w:cs="宋体" w:eastAsia="宋体" w:hint="default"/>
                <w:spacing w:val="-54"/>
                <w:sz w:val="18"/>
                <w:szCs w:val="18"/>
              </w:rPr>
              <w:t> </w:t>
            </w:r>
            <w:r>
              <w:rPr>
                <w:rFonts w:ascii="宋体" w:hAnsi="宋体" w:cs="宋体" w:eastAsia="宋体" w:hint="default"/>
                <w:sz w:val="18"/>
                <w:szCs w:val="18"/>
              </w:rPr>
              <w:t>20,000</w:t>
            </w:r>
            <w:r>
              <w:rPr>
                <w:rFonts w:ascii="宋体" w:hAnsi="宋体" w:cs="宋体" w:eastAsia="宋体" w:hint="default"/>
                <w:spacing w:val="-54"/>
                <w:sz w:val="18"/>
                <w:szCs w:val="18"/>
              </w:rPr>
              <w:t> </w:t>
            </w:r>
            <w:r>
              <w:rPr>
                <w:rFonts w:ascii="宋体" w:hAnsi="宋体" w:cs="宋体" w:eastAsia="宋体" w:hint="default"/>
                <w:sz w:val="18"/>
                <w:szCs w:val="18"/>
              </w:rPr>
              <w:t>万元用于暂时补充流动资金，使用期限自董事会审议通过之日起不超过</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pacing w:val="-8"/>
                <w:sz w:val="18"/>
                <w:szCs w:val="18"/>
              </w:rPr>
              <w:t>个月，到</w:t>
            </w:r>
            <w:r>
              <w:rPr>
                <w:rFonts w:ascii="宋体" w:hAnsi="宋体" w:cs="宋体" w:eastAsia="宋体" w:hint="default"/>
                <w:sz w:val="18"/>
                <w:szCs w:val="18"/>
              </w:rPr>
              <w:t> </w:t>
            </w:r>
            <w:r>
              <w:rPr>
                <w:rFonts w:ascii="宋体" w:hAnsi="宋体" w:cs="宋体" w:eastAsia="宋体" w:hint="default"/>
                <w:spacing w:val="-2"/>
                <w:sz w:val="18"/>
                <w:szCs w:val="18"/>
              </w:rPr>
              <w:t>期将归还至募集资金专户。上述使用闲置募集资金暂时补充流动资金的议案《关于使用部分闲置募集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资金暂时补充流动资金的议案》业经公司第四届董事会第十二次会议、第四届监事会第十次会议于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日审议通过。截至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日，公司已经使用闲置募集资金暂时补充流动资</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月对上述暂时补充流动资金全部予以了归还。</w:t>
            </w:r>
          </w:p>
        </w:tc>
      </w:tr>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公司累计结余募集资金</w:t>
            </w:r>
            <w:r>
              <w:rPr>
                <w:rFonts w:ascii="宋体" w:hAnsi="宋体" w:cs="宋体" w:eastAsia="宋体" w:hint="default"/>
                <w:spacing w:val="-46"/>
                <w:sz w:val="18"/>
                <w:szCs w:val="18"/>
              </w:rPr>
              <w:t> </w:t>
            </w:r>
            <w:r>
              <w:rPr>
                <w:rFonts w:ascii="宋体" w:hAnsi="宋体" w:cs="宋体" w:eastAsia="宋体" w:hint="default"/>
                <w:sz w:val="18"/>
                <w:szCs w:val="18"/>
              </w:rPr>
              <w:t>250,955,281.82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日，公司第四届董事会第十九次会议决</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议通过《关于募集资金投资项目结项并将结余资金永久补充流动资金的议案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年第三次临时股东大会决议通过了上述董事会决议议案，公司保荐机构浙商证券对上述议</w:t>
            </w:r>
          </w:p>
          <w:p>
            <w:pPr>
              <w:pStyle w:val="TableParagraph"/>
              <w:spacing w:line="319" w:lineRule="auto" w:before="76"/>
              <w:ind w:left="22" w:right="48"/>
              <w:jc w:val="left"/>
              <w:rPr>
                <w:rFonts w:ascii="宋体" w:hAnsi="宋体" w:cs="宋体" w:eastAsia="宋体" w:hint="default"/>
                <w:sz w:val="18"/>
                <w:szCs w:val="18"/>
              </w:rPr>
            </w:pPr>
            <w:r>
              <w:rPr>
                <w:rFonts w:ascii="宋体" w:hAnsi="宋体" w:cs="宋体" w:eastAsia="宋体" w:hint="default"/>
                <w:sz w:val="18"/>
                <w:szCs w:val="18"/>
              </w:rPr>
              <w:t>案发表了核查意见。截至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日，公司已对所有募集资金账户进行销户，上述结余募集 资金已全部用于永久补充公司流动资金。</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61"/>
      <w:bookmarkEnd w:id="6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62"/>
      <w:bookmarkEnd w:id="6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63"/>
      <w:bookmarkEnd w:id="6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64"/>
      <w:bookmarkEnd w:id="6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1338"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5" w:right="66"/>
              <w:jc w:val="both"/>
              <w:rPr>
                <w:rFonts w:ascii="宋体" w:hAnsi="宋体" w:cs="宋体" w:eastAsia="宋体" w:hint="default"/>
                <w:sz w:val="18"/>
                <w:szCs w:val="18"/>
              </w:rPr>
            </w:pPr>
            <w:r>
              <w:rPr>
                <w:rFonts w:ascii="宋体" w:hAnsi="宋体" w:cs="宋体" w:eastAsia="宋体" w:hint="default"/>
                <w:sz w:val="18"/>
                <w:szCs w:val="18"/>
              </w:rPr>
              <w:t>所涉及 的股权 是否已 全部过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2547"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6"/>
              <w:jc w:val="center"/>
              <w:rPr>
                <w:rFonts w:ascii="宋体" w:hAnsi="宋体" w:cs="宋体" w:eastAsia="宋体" w:hint="default"/>
                <w:sz w:val="18"/>
                <w:szCs w:val="18"/>
              </w:rPr>
            </w:pPr>
            <w:r>
              <w:rPr>
                <w:rFonts w:ascii="宋体" w:hAnsi="宋体" w:cs="宋体" w:eastAsia="宋体" w:hint="default"/>
                <w:sz w:val="18"/>
                <w:szCs w:val="18"/>
              </w:rPr>
              <w:t>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浙江开 达装饰 工程有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浙江交 通宝互 联网技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积极影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市场评 估价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浙江帕 帝实业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广州创 显科教 股份有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积极影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3"/>
              <w:jc w:val="left"/>
              <w:rPr>
                <w:rFonts w:ascii="宋体" w:hAnsi="宋体" w:cs="宋体" w:eastAsia="宋体" w:hint="default"/>
                <w:sz w:val="18"/>
                <w:szCs w:val="18"/>
              </w:rPr>
            </w:pPr>
            <w:r>
              <w:rPr>
                <w:rFonts w:ascii="宋体" w:hAnsi="宋体" w:cs="宋体" w:eastAsia="宋体" w:hint="default"/>
                <w:sz w:val="18"/>
                <w:szCs w:val="18"/>
              </w:rPr>
              <w:t>市场评 估价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65"/>
      <w:bookmarkEnd w:id="65"/>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19,610,000.0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25,817,297.7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20,471,757.4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570,055.35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-4,719,446.5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-4,720,739.2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11,110,000.0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6,832,696.93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-1,909,183.1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2,039,669.89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-1,905,684.5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-1,905,684.5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江西银江智 慧城市信息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11,510,239.7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964,089.84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11,740,707.0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3,779,368.05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3,758,787.58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西安银江智 慧城市技术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11,110,000.0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26,034,447.9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7,648,696.77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17,155,871.2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-2,646,727.5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-2,060,344.4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2,320,977.93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1,462,193.81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974,720.76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1,103,332.17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-1,179,117.6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5,156,201.32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2,338,963.82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4,163,401.47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844,571.03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761,253.16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浙江银江云 计算技术有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软件技术开 发服务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20,367,294.2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-968,805.29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19,637,879.6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-337,188.34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-325,983.19</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医疗咨询服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6,278,000.00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584,233.14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-2,953,610.3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-353,567.16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-353,567.16</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11,120,000.0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10,794,255.0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928,531.04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6,424,962.49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-1,934,285.2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-1,850,388.8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物联网技术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25,952,800.0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20,426,776.6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11,910,923.9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2,007,867.92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-3,773,014.7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9,566,838.64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9,506,954.49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-445,843.23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-445,843.23</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136,800,000.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153,702,271.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134,656,504.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122,350,845.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-1,989,380.5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-1,988,763.8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积极影响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重庆银江交通工程有限公司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0"/>
        <w:jc w:val="left"/>
      </w:pPr>
      <w:r>
        <w:rPr/>
        <w:t>主要控股参股公司情况说明 </w:t>
      </w:r>
      <w:r>
        <w:rPr>
          <w:spacing w:val="-4"/>
        </w:rPr>
        <w:t>由于项目招投标要求，项目投标通常在项目所在地需设立相应的分子机构，而在招投标的过程中，由于公司资质等条件要求，</w:t>
      </w:r>
      <w:r>
        <w:rPr>
          <w:spacing w:val="-44"/>
        </w:rPr>
        <w:t> </w:t>
      </w:r>
      <w:r>
        <w:rPr>
          <w:spacing w:val="-44"/>
        </w:rPr>
      </w:r>
      <w:r>
        <w:rPr>
          <w:spacing w:val="-4"/>
        </w:rPr>
        <w:t>通常以银江股份的名义去投标、中标，分子机构更多的是承担市场开拓的功能，而暂时没有完全独立承接业务的能力；同时，</w:t>
      </w:r>
    </w:p>
    <w:p>
      <w:pPr>
        <w:pStyle w:val="BodyText"/>
        <w:spacing w:line="319" w:lineRule="auto" w:before="2"/>
        <w:ind w:right="0"/>
        <w:jc w:val="left"/>
      </w:pPr>
      <w:r>
        <w:rPr>
          <w:spacing w:val="-2"/>
        </w:rPr>
        <w:t>基于税收筹划的考虑，由于银江股份享有一定的税收优惠政策，所以项目中标后，只对部分子公司进行适当比例的分包或维</w:t>
      </w:r>
      <w:r>
        <w:rPr>
          <w:spacing w:val="-65"/>
        </w:rPr>
        <w:t> </w:t>
      </w:r>
      <w:r>
        <w:rPr>
          <w:spacing w:val="-65"/>
        </w:rPr>
      </w:r>
      <w:r>
        <w:rPr/>
        <w:t>护，所以多家子公司净利润为负数。</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66"/>
      <w:bookmarkEnd w:id="6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67"/>
      <w:bookmarkEnd w:id="6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（一）公司所处的行业发展趋势 </w:t>
      </w:r>
      <w:r>
        <w:rPr>
          <w:spacing w:val="-2"/>
        </w:rPr>
        <w:t>“城市大脑”是智慧城市的基础设施，亦是智慧城市建设发展的必然产物。城市大脑以建设信息资源统一开放的大数据管理</w:t>
      </w:r>
      <w:r>
        <w:rPr>
          <w:spacing w:val="-66"/>
        </w:rPr>
        <w:t> </w:t>
      </w:r>
      <w:r>
        <w:rPr>
          <w:spacing w:val="-66"/>
        </w:rPr>
      </w:r>
      <w:r>
        <w:rPr>
          <w:spacing w:val="-2"/>
        </w:rPr>
        <w:t>平台为载体，与泛在物联网感知系统对接，通过综合运用大数据、云计算、人工智能等技术的智能分析、管理和应用，最终</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实现城市管理、民生服务、高端制造三大领域的服务。银江股份专注于交通大脑、健康大脑、司法大脑领域，立足于城市管</w:t>
      </w:r>
      <w:r>
        <w:rPr>
          <w:spacing w:val="-67"/>
        </w:rPr>
        <w:t> </w:t>
      </w:r>
      <w:r>
        <w:rPr>
          <w:spacing w:val="-67"/>
        </w:rPr>
      </w:r>
      <w:r>
        <w:rPr/>
        <w:t>理及民生服务，打造新型智慧城市，做好城市大脑运营及服务。</w:t>
      </w:r>
    </w:p>
    <w:p>
      <w:pPr>
        <w:pStyle w:val="BodyText"/>
        <w:spacing w:line="316" w:lineRule="auto" w:before="19"/>
        <w:ind w:left="244" w:right="7332" w:hanging="90"/>
        <w:jc w:val="left"/>
      </w:pPr>
      <w:r>
        <w:rPr/>
        <w:t>（二）公司未来发展战略及</w:t>
      </w:r>
      <w:r>
        <w:rPr>
          <w:rFonts w:ascii="宋体" w:hAnsi="宋体" w:cs="宋体" w:eastAsia="宋体" w:hint="default"/>
        </w:rPr>
        <w:t>2019</w:t>
      </w:r>
      <w:r>
        <w:rPr/>
        <w:t>年经营计划 </w:t>
      </w:r>
      <w:r>
        <w:rPr>
          <w:rFonts w:ascii="宋体" w:hAnsi="宋体" w:cs="宋体" w:eastAsia="宋体" w:hint="default"/>
        </w:rPr>
        <w:t>1</w:t>
      </w:r>
      <w:r>
        <w:rPr/>
        <w:t>、公司未来发展战略</w:t>
      </w:r>
    </w:p>
    <w:p>
      <w:pPr>
        <w:pStyle w:val="BodyText"/>
        <w:spacing w:line="316" w:lineRule="auto" w:before="19"/>
        <w:ind w:right="1032"/>
        <w:jc w:val="left"/>
      </w:pPr>
      <w:r>
        <w:rPr>
          <w:spacing w:val="-2"/>
        </w:rPr>
        <w:t>公司将坚持贯彻城市大脑运营服务商经营战略，专注于通过物联网、云计算、大数据、人工智能等技术的行业应用，为城市</w:t>
      </w:r>
      <w:r>
        <w:rPr>
          <w:spacing w:val="-66"/>
        </w:rPr>
        <w:t> </w:t>
      </w:r>
      <w:r>
        <w:rPr>
          <w:spacing w:val="-66"/>
        </w:rPr>
      </w:r>
      <w:r>
        <w:rPr>
          <w:spacing w:val="-4"/>
        </w:rPr>
        <w:t>管理和民生服务打造跨领域、跨区域的城市大脑数据资源交换和共享平台，推动城市文明发展的新浪潮。公司聚焦智慧交通、</w:t>
      </w:r>
      <w:r>
        <w:rPr>
          <w:spacing w:val="-44"/>
        </w:rPr>
        <w:t> </w:t>
      </w:r>
      <w:r>
        <w:rPr>
          <w:spacing w:val="-44"/>
        </w:rPr>
      </w:r>
      <w:r>
        <w:rPr>
          <w:spacing w:val="-2"/>
        </w:rPr>
        <w:t>智慧医疗等行业，通过在全国各地设立区域服务公司构建了覆盖全国的完整市场营销网络，通过“系统建设、软件交付、运</w:t>
      </w:r>
      <w:r>
        <w:rPr>
          <w:spacing w:val="-65"/>
        </w:rPr>
        <w:t> </w:t>
      </w:r>
      <w:r>
        <w:rPr>
          <w:spacing w:val="-65"/>
        </w:rPr>
      </w:r>
      <w:r>
        <w:rPr>
          <w:spacing w:val="-2"/>
        </w:rPr>
        <w:t>营服务”落实三位一体的企业发展战略和经营策略，通过市场平台和产业资本的深度融合构建全产业链的开放生态系统。公</w:t>
      </w:r>
      <w:r>
        <w:rPr>
          <w:spacing w:val="-66"/>
        </w:rPr>
        <w:t> </w:t>
      </w:r>
      <w:r>
        <w:rPr>
          <w:spacing w:val="-66"/>
        </w:rPr>
      </w:r>
      <w:r>
        <w:rPr>
          <w:spacing w:val="-2"/>
        </w:rPr>
        <w:t>司以城市大脑为推进主体，深耕交通大脑和健康大脑的行业应用，并开拓司法大脑的行业创新应用，通过线上与线下相结合</w:t>
      </w:r>
      <w:r>
        <w:rPr>
          <w:spacing w:val="-66"/>
        </w:rPr>
        <w:t> </w:t>
      </w:r>
      <w:r>
        <w:rPr>
          <w:spacing w:val="-66"/>
        </w:rPr>
      </w:r>
      <w:r>
        <w:rPr/>
        <w:t>做全行业应用做深行业技术，通过系统建设与运营服务业务同步发展实现公司主营业务的新发展。 </w:t>
      </w:r>
      <w:r>
        <w:rPr>
          <w:spacing w:val="-2"/>
        </w:rPr>
        <w:t>公司将继续发挥样板城市的示范效应，依托杭州交通大脑、沈阳健康大脑、上海司法大脑目前在样板城市的示范效应，结合</w:t>
      </w:r>
      <w:r>
        <w:rPr>
          <w:spacing w:val="-66"/>
        </w:rPr>
        <w:t> </w:t>
      </w:r>
      <w:r>
        <w:rPr>
          <w:spacing w:val="-66"/>
        </w:rPr>
      </w:r>
      <w:r>
        <w:rPr/>
        <w:t>已在其它城市展开的城市大脑的业务布局，继续将加大创新业务落地，在未来实现公司样板城市业务的复制及规模化效应。 </w:t>
      </w:r>
      <w:r>
        <w:rPr>
          <w:rFonts w:ascii="宋体" w:hAnsi="宋体" w:cs="宋体" w:eastAsia="宋体" w:hint="default"/>
        </w:rPr>
        <w:t>2</w:t>
      </w:r>
      <w:r>
        <w:rPr/>
        <w:t>、</w:t>
      </w:r>
      <w:r>
        <w:rPr>
          <w:rFonts w:ascii="宋体" w:hAnsi="宋体" w:cs="宋体" w:eastAsia="宋体" w:hint="default"/>
        </w:rPr>
        <w:t>2019</w:t>
      </w:r>
      <w:r>
        <w:rPr/>
        <w:t>年经营计划</w:t>
      </w:r>
    </w:p>
    <w:p>
      <w:pPr>
        <w:pStyle w:val="BodyText"/>
        <w:spacing w:line="240" w:lineRule="auto" w:before="19"/>
        <w:ind w:left="244" w:right="0"/>
        <w:jc w:val="left"/>
      </w:pPr>
      <w:r>
        <w:rPr/>
        <w:t>在城市大脑核心战略布局下，为圆满实现全年战略目标，</w:t>
      </w:r>
      <w:r>
        <w:rPr>
          <w:rFonts w:ascii="宋体" w:hAnsi="宋体" w:cs="宋体" w:eastAsia="宋体" w:hint="default"/>
        </w:rPr>
        <w:t>2019</w:t>
      </w:r>
      <w:r>
        <w:rPr/>
        <w:t>年度重点工作计划如下：</w:t>
      </w:r>
    </w:p>
    <w:p>
      <w:pPr>
        <w:pStyle w:val="BodyText"/>
        <w:spacing w:line="316" w:lineRule="auto" w:before="76"/>
        <w:ind w:right="1032"/>
        <w:jc w:val="left"/>
      </w:pPr>
      <w:r>
        <w:rPr/>
        <w:t>（</w:t>
      </w:r>
      <w:r>
        <w:rPr>
          <w:rFonts w:ascii="宋体" w:hAnsi="宋体" w:cs="宋体" w:eastAsia="宋体" w:hint="default"/>
        </w:rPr>
        <w:t>1</w:t>
      </w:r>
      <w:r>
        <w:rPr/>
        <w:t>）巩固现有业务，大力开拓新业务 </w:t>
      </w:r>
      <w:r>
        <w:rPr>
          <w:spacing w:val="-2"/>
        </w:rPr>
        <w:t>紧紧围绕城市大脑经营战略布局，积极把握国家政策方向和牢牢抓住人工智能、</w:t>
      </w:r>
      <w:r>
        <w:rPr>
          <w:rFonts w:ascii="宋体" w:hAnsi="宋体" w:cs="宋体" w:eastAsia="宋体" w:hint="default"/>
          <w:spacing w:val="-2"/>
        </w:rPr>
        <w:t>5G</w:t>
      </w:r>
      <w:r>
        <w:rPr>
          <w:spacing w:val="-2"/>
        </w:rPr>
        <w:t>等高新技术发展趋势，加快智慧交通和智</w:t>
      </w:r>
      <w:r>
        <w:rPr>
          <w:spacing w:val="-63"/>
        </w:rPr>
        <w:t> </w:t>
      </w:r>
      <w:r>
        <w:rPr>
          <w:spacing w:val="-63"/>
        </w:rPr>
      </w:r>
      <w:r>
        <w:rPr>
          <w:spacing w:val="-2"/>
        </w:rPr>
        <w:t>慧医疗两大业务为核心的以城市大脑为抓手的新型战略业务，巩固并提升公司各领域的市场地位和影响力；同时公司将统筹</w:t>
      </w:r>
      <w:r>
        <w:rPr>
          <w:spacing w:val="-64"/>
        </w:rPr>
        <w:t> </w:t>
      </w:r>
      <w:r>
        <w:rPr>
          <w:spacing w:val="-64"/>
        </w:rPr>
      </w:r>
      <w:r>
        <w:rPr>
          <w:spacing w:val="-2"/>
        </w:rPr>
        <w:t>各方面资源，根据各业务发展需要提供必要支持，力争旗下产业链各子公司均能实现持续、健康、稳定发展，从而带动公司</w:t>
      </w:r>
      <w:r>
        <w:rPr>
          <w:spacing w:val="-66"/>
        </w:rPr>
        <w:t> </w:t>
      </w:r>
      <w:r>
        <w:rPr>
          <w:spacing w:val="-66"/>
        </w:rPr>
      </w:r>
      <w:r>
        <w:rPr/>
        <w:t>整体效益的进一步提升。公司在统筹推进“城市大脑运营服务商”的总体布局下，协调推进“区域、领域、战略三位一体” </w:t>
      </w:r>
      <w:r>
        <w:rPr>
          <w:spacing w:val="-4"/>
        </w:rPr>
        <w:t>的协同布局下，公司通过梳理生产关系，解放生产力，增强技术驱动力，做大业务体量，公司事业取得新发展、开创新局面。</w:t>
      </w:r>
    </w:p>
    <w:p>
      <w:pPr>
        <w:pStyle w:val="BodyText"/>
        <w:spacing w:line="316" w:lineRule="auto" w:before="19"/>
        <w:ind w:right="0"/>
        <w:jc w:val="left"/>
      </w:pPr>
      <w:r>
        <w:rPr/>
        <w:t>（</w:t>
      </w:r>
      <w:r>
        <w:rPr>
          <w:rFonts w:ascii="宋体" w:hAnsi="宋体" w:cs="宋体" w:eastAsia="宋体" w:hint="default"/>
        </w:rPr>
        <w:t>2</w:t>
      </w:r>
      <w:r>
        <w:rPr/>
        <w:t>）加大研发创新投入，强化产品技术优势 </w:t>
      </w:r>
      <w:r>
        <w:rPr>
          <w:spacing w:val="-2"/>
        </w:rPr>
        <w:t>公司以技术创新作为核心竞争力，加速科技成果转化公司研发团队将与各业务部门紧密联系，以市场为导向，结合行业发展</w:t>
      </w:r>
      <w:r>
        <w:rPr>
          <w:spacing w:val="-66"/>
        </w:rPr>
        <w:t> </w:t>
      </w:r>
      <w:r>
        <w:rPr>
          <w:spacing w:val="-66"/>
        </w:rPr>
      </w:r>
      <w:r>
        <w:rPr>
          <w:spacing w:val="-2"/>
        </w:rPr>
        <w:t>趋势及客户新需求，充分借助国家级企业技术中心、院士专家工作站和国家级企业博士后工作站等技术平台，与国内著名高</w:t>
      </w:r>
      <w:r>
        <w:rPr>
          <w:spacing w:val="-66"/>
        </w:rPr>
        <w:t> </w:t>
      </w:r>
      <w:r>
        <w:rPr>
          <w:spacing w:val="-66"/>
        </w:rPr>
      </w:r>
      <w:r>
        <w:rPr>
          <w:spacing w:val="-2"/>
        </w:rPr>
        <w:t>等院校、科研院所和行业专家学者紧密合作，推进科技成果转化，运用人工智能、大数据、云计算等技术，重点打造面向城</w:t>
      </w:r>
      <w:r>
        <w:rPr>
          <w:spacing w:val="-68"/>
        </w:rPr>
        <w:t> </w:t>
      </w:r>
      <w:r>
        <w:rPr>
          <w:spacing w:val="-68"/>
        </w:rPr>
      </w:r>
      <w:r>
        <w:rPr>
          <w:spacing w:val="-2"/>
        </w:rPr>
        <w:t>市民生服务和城市管理的城市大数据资源共享技术支撑平台和规模化市场应用，为公司的业务升级和发展提供强大的技术和</w:t>
      </w:r>
      <w:r>
        <w:rPr>
          <w:spacing w:val="-64"/>
        </w:rPr>
        <w:t> </w:t>
      </w:r>
      <w:r>
        <w:rPr>
          <w:spacing w:val="-64"/>
        </w:rPr>
      </w:r>
      <w:r>
        <w:rPr/>
        <w:t>产品支撑能力，同时以期达到进一步强化公司产品技术市场优势。</w:t>
      </w:r>
    </w:p>
    <w:p>
      <w:pPr>
        <w:pStyle w:val="BodyText"/>
        <w:spacing w:line="316" w:lineRule="auto" w:before="19"/>
        <w:ind w:right="1032"/>
        <w:jc w:val="left"/>
      </w:pPr>
      <w:r>
        <w:rPr/>
        <w:t>（</w:t>
      </w:r>
      <w:r>
        <w:rPr>
          <w:rFonts w:ascii="宋体" w:hAnsi="宋体" w:cs="宋体" w:eastAsia="宋体" w:hint="default"/>
        </w:rPr>
        <w:t>3</w:t>
      </w:r>
      <w:r>
        <w:rPr/>
        <w:t>）推动产业整合构建平台化体系，加强战略合作实现合作共赢 </w:t>
      </w:r>
      <w:r>
        <w:rPr>
          <w:spacing w:val="-2"/>
        </w:rPr>
        <w:t>公司一方面通过内部管理精细化管理，进一步提升业务市场占有率和软件研发交付运营能力，打造适应未来发展的平台化运</w:t>
      </w:r>
      <w:r>
        <w:rPr>
          <w:spacing w:val="-64"/>
        </w:rPr>
        <w:t> </w:t>
      </w:r>
      <w:r>
        <w:rPr>
          <w:spacing w:val="-64"/>
        </w:rPr>
      </w:r>
      <w:r>
        <w:rPr>
          <w:spacing w:val="-2"/>
        </w:rPr>
        <w:t>作体系，另一方面将利用上市公司资本市场平台，结合自身优势资源，通过投资与辅导、收购与兼并等多种方式，充分整合</w:t>
      </w:r>
      <w:r>
        <w:rPr>
          <w:spacing w:val="-66"/>
        </w:rPr>
        <w:t> </w:t>
      </w:r>
      <w:r>
        <w:rPr>
          <w:spacing w:val="-66"/>
        </w:rPr>
      </w:r>
      <w:r>
        <w:rPr/>
        <w:t>上下游资源，进一步完善产业布局，全面提升盈利模式和盈利水平。同时公司将继续积极寻求诸如阿里、华为等科技龙头、</w:t>
      </w:r>
      <w:r>
        <w:rPr/>
        <w:t> </w:t>
      </w:r>
      <w:r>
        <w:rPr>
          <w:spacing w:val="-2"/>
        </w:rPr>
        <w:t>行业巨头达成战略合作，在优势互补的前提下深度合作，将公司在交通和医疗领域的行业基础和技术优势发挥最大，实现合</w:t>
      </w:r>
      <w:r>
        <w:rPr>
          <w:spacing w:val="-66"/>
        </w:rPr>
        <w:t> </w:t>
      </w:r>
      <w:r>
        <w:rPr>
          <w:spacing w:val="-66"/>
        </w:rPr>
      </w:r>
      <w:r>
        <w:rPr/>
        <w:t>作共赢。</w:t>
      </w:r>
    </w:p>
    <w:p>
      <w:pPr>
        <w:pStyle w:val="BodyText"/>
        <w:spacing w:line="316" w:lineRule="auto" w:before="19"/>
        <w:ind w:right="1115"/>
        <w:jc w:val="left"/>
      </w:pPr>
      <w:r>
        <w:rPr/>
        <w:t>（</w:t>
      </w:r>
      <w:r>
        <w:rPr>
          <w:rFonts w:ascii="宋体" w:hAnsi="宋体" w:cs="宋体" w:eastAsia="宋体" w:hint="default"/>
        </w:rPr>
        <w:t>4</w:t>
      </w:r>
      <w:r>
        <w:rPr/>
        <w:t>）优化中高层次人才队伍，推动企业文化建设 </w:t>
      </w:r>
      <w:r>
        <w:rPr>
          <w:spacing w:val="-2"/>
        </w:rPr>
        <w:t>当前是公司在战略转型升级的关键时期，新的技术创新和新的业务领域需要更多优秀的中高层次人才，特别是技术方面的人</w:t>
      </w:r>
      <w:r>
        <w:rPr>
          <w:spacing w:val="-64"/>
        </w:rPr>
        <w:t> </w:t>
      </w:r>
      <w:r>
        <w:rPr>
          <w:spacing w:val="-64"/>
        </w:rPr>
      </w:r>
      <w:r>
        <w:rPr>
          <w:spacing w:val="-2"/>
        </w:rPr>
        <w:t>才。公司继续推进“银江合伙人计划”，使股东、管理层、骨干员工的利益进一步趋同，为公司的持续发展提供制度性和政</w:t>
      </w:r>
      <w:r>
        <w:rPr>
          <w:spacing w:val="-70"/>
        </w:rPr>
        <w:t> </w:t>
      </w:r>
      <w:r>
        <w:rPr>
          <w:spacing w:val="-70"/>
        </w:rPr>
      </w:r>
      <w:r>
        <w:rPr/>
        <w:t>策性的</w:t>
      </w:r>
      <w:r>
        <w:rPr>
          <w:spacing w:val="-38"/>
        </w:rPr>
        <w:t> </w:t>
      </w:r>
      <w:r>
        <w:rPr/>
        <w:t>保障环境。此外，公司还将持续推进</w:t>
      </w:r>
      <w:r>
        <w:rPr>
          <w:spacing w:val="-45"/>
        </w:rPr>
        <w:t> </w:t>
      </w:r>
      <w:r>
        <w:rPr/>
        <w:t>“胜任力”企业文化建设，营造积极向上的文化氛围，增强员工凝聚力，不断</w:t>
      </w:r>
      <w:r>
        <w:rPr/>
        <w:t> 提升员工的归属感认同感，充分 体现公司的核心价值观。</w:t>
      </w:r>
    </w:p>
    <w:p>
      <w:pPr>
        <w:pStyle w:val="BodyText"/>
        <w:spacing w:line="316" w:lineRule="auto" w:before="19"/>
        <w:ind w:right="9492"/>
        <w:jc w:val="left"/>
      </w:pPr>
      <w:r>
        <w:rPr/>
        <w:t>（三）风险因素 </w:t>
      </w:r>
      <w:r>
        <w:rPr>
          <w:rFonts w:ascii="宋体" w:hAnsi="宋体" w:cs="宋体" w:eastAsia="宋体" w:hint="default"/>
        </w:rPr>
        <w:t>1</w:t>
      </w:r>
      <w:r>
        <w:rPr/>
        <w:t>、政策性风险</w:t>
      </w:r>
    </w:p>
    <w:p>
      <w:pPr>
        <w:pStyle w:val="BodyText"/>
        <w:spacing w:line="319" w:lineRule="auto" w:before="19"/>
        <w:ind w:right="0"/>
        <w:jc w:val="left"/>
      </w:pPr>
      <w:r>
        <w:rPr>
          <w:spacing w:val="-2"/>
        </w:rPr>
        <w:t>公司所处智慧城市建设相关行业与国家宏观经济运行状况密切，公司的发展与国民经济运行状况呈正相关性，公司的多数客</w:t>
      </w:r>
      <w:r>
        <w:rPr>
          <w:spacing w:val="-64"/>
        </w:rPr>
        <w:t> </w:t>
      </w:r>
      <w:r>
        <w:rPr>
          <w:spacing w:val="-64"/>
        </w:rPr>
      </w:r>
      <w:r>
        <w:rPr/>
        <w:t>户为政府客户，所以国家宏观调控政策的力度、经济复苏振兴政策的力度都直接和间接影响公司主营业务和公司客户。 </w:t>
      </w:r>
      <w:r>
        <w:rPr>
          <w:spacing w:val="-2"/>
        </w:rPr>
        <w:t>应对措施：为减少因行业集中形成的风险，公司更积极增加各相关细分行业的投入，筛选优质客户，并选择信誉好、财政充</w:t>
      </w:r>
      <w:r>
        <w:rPr>
          <w:spacing w:val="-66"/>
        </w:rPr>
        <w:t> </w:t>
      </w:r>
      <w:r>
        <w:rPr>
          <w:spacing w:val="-66"/>
        </w:rPr>
      </w:r>
      <w:r>
        <w:rPr/>
        <w:t>足的客户共同合作，规避客户风险。</w:t>
      </w:r>
    </w:p>
    <w:p>
      <w:pPr>
        <w:pStyle w:val="BodyText"/>
        <w:spacing w:line="240" w:lineRule="auto" w:before="17"/>
        <w:ind w:left="244" w:right="0"/>
        <w:jc w:val="left"/>
      </w:pPr>
      <w:r>
        <w:rPr>
          <w:rFonts w:ascii="宋体" w:hAnsi="宋体" w:cs="宋体" w:eastAsia="宋体" w:hint="default"/>
        </w:rPr>
        <w:t>2</w:t>
      </w:r>
      <w:r>
        <w:rPr/>
        <w:t>、核心人员流失风险</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行业技术变革日新月异和市场竞争的不断加剧，特别是大数据和互联网的产业兴起，对公司的市场开拓、技术储备和人才储</w:t>
      </w:r>
      <w:r>
        <w:rPr>
          <w:spacing w:val="-65"/>
        </w:rPr>
        <w:t> </w:t>
      </w:r>
      <w:r>
        <w:rPr>
          <w:spacing w:val="-65"/>
        </w:rPr>
      </w:r>
      <w:r>
        <w:rPr>
          <w:spacing w:val="-2"/>
        </w:rPr>
        <w:t>备带来一定的挑战。如果公司不能有效保持和完善核心人员的激励机制，将会影响到核心人员积极性、创造性的发挥，也会</w:t>
      </w:r>
      <w:r>
        <w:rPr>
          <w:spacing w:val="-66"/>
        </w:rPr>
        <w:t> </w:t>
      </w:r>
      <w:r>
        <w:rPr>
          <w:spacing w:val="-66"/>
        </w:rPr>
      </w:r>
      <w:r>
        <w:rPr/>
        <w:t>影响到核心团队后备力量的建设，造成人才流失，从而给公司的生产经营造成不利影响。 </w:t>
      </w:r>
      <w:r>
        <w:rPr>
          <w:spacing w:val="-2"/>
        </w:rPr>
        <w:t>应对措施：人才资源是公司核心竞争力，公司把对外部高端人才的引进和对内部骨干及后备人才的培养提到了战略高度，建</w:t>
      </w:r>
      <w:r>
        <w:rPr>
          <w:spacing w:val="-66"/>
        </w:rPr>
        <w:t> </w:t>
      </w:r>
      <w:r>
        <w:rPr>
          <w:spacing w:val="-66"/>
        </w:rPr>
      </w:r>
      <w:r>
        <w:rPr>
          <w:spacing w:val="-5"/>
        </w:rPr>
        <w:t>立了完善的人才聘用及管理、激励制度，并通过股权激励、员工持股计划、子公司改制来稳定核心技术人才队伍。公司的“银</w:t>
      </w:r>
      <w:r>
        <w:rPr>
          <w:spacing w:val="-81"/>
        </w:rPr>
        <w:t> </w:t>
      </w:r>
      <w:r>
        <w:rPr>
          <w:spacing w:val="-81"/>
        </w:rPr>
      </w:r>
      <w:r>
        <w:rPr>
          <w:spacing w:val="-4"/>
        </w:rPr>
        <w:t>江合伙人计划”通过选择合适的全资和控股子公司股权改造，实现子公司经营管理层持有其所经营的子公司适当比例的股权，</w:t>
      </w:r>
      <w:r>
        <w:rPr>
          <w:spacing w:val="-44"/>
        </w:rPr>
        <w:t> </w:t>
      </w:r>
      <w:r>
        <w:rPr>
          <w:spacing w:val="-44"/>
        </w:rPr>
      </w:r>
      <w:r>
        <w:rPr>
          <w:spacing w:val="-2"/>
        </w:rPr>
        <w:t>使股东、管理层、骨干员工的利益进一步趋同，为公司的持续发展提供制度性和政策性的保障环境。公司自上市以来，核心</w:t>
      </w:r>
      <w:r>
        <w:rPr>
          <w:spacing w:val="-66"/>
        </w:rPr>
        <w:t> </w:t>
      </w:r>
      <w:r>
        <w:rPr>
          <w:spacing w:val="-66"/>
        </w:rPr>
      </w:r>
      <w:r>
        <w:rPr/>
        <w:t>人员稳定，流失风险较小。</w:t>
      </w:r>
    </w:p>
    <w:p>
      <w:pPr>
        <w:pStyle w:val="BodyText"/>
        <w:spacing w:line="316" w:lineRule="auto" w:before="19"/>
        <w:ind w:right="0"/>
        <w:jc w:val="left"/>
      </w:pPr>
      <w:r>
        <w:rPr>
          <w:rFonts w:ascii="宋体" w:hAnsi="宋体" w:cs="宋体" w:eastAsia="宋体" w:hint="default"/>
        </w:rPr>
        <w:t>3</w:t>
      </w:r>
      <w:r>
        <w:rPr/>
        <w:t>、智慧城市业务模式的风险 </w:t>
      </w:r>
      <w:r>
        <w:rPr>
          <w:spacing w:val="-2"/>
        </w:rPr>
        <w:t>智慧城市建设主导者是城市管理者即地方政府或政府有关部门，而受益者则是城市的主体即城市中的企业和市民。由于智慧</w:t>
      </w:r>
      <w:r>
        <w:rPr>
          <w:spacing w:val="-64"/>
        </w:rPr>
        <w:t> </w:t>
      </w:r>
      <w:r>
        <w:rPr>
          <w:spacing w:val="-64"/>
        </w:rPr>
      </w:r>
      <w:r>
        <w:rPr>
          <w:spacing w:val="-2"/>
        </w:rPr>
        <w:t>城市总包项目投资总金额大、项目建设周期长、项目所涉及的地方政府下属部门或分支机构较多、智慧城市总包合同仅为较</w:t>
      </w:r>
      <w:r>
        <w:rPr>
          <w:spacing w:val="-66"/>
        </w:rPr>
        <w:t> </w:t>
      </w:r>
      <w:r>
        <w:rPr>
          <w:spacing w:val="-66"/>
        </w:rPr>
      </w:r>
      <w:r>
        <w:rPr>
          <w:spacing w:val="-2"/>
        </w:rPr>
        <w:t>笼统的框架性协议，因此智慧城市总包业务模式存在政府换届或国家政策调整变化、地方政府财政紧张导致投入延迟或无法</w:t>
      </w:r>
      <w:r>
        <w:rPr>
          <w:spacing w:val="-64"/>
        </w:rPr>
        <w:t> </w:t>
      </w:r>
      <w:r>
        <w:rPr>
          <w:spacing w:val="-64"/>
        </w:rPr>
      </w:r>
      <w:r>
        <w:rPr/>
        <w:t>持续投入、费用控制不力、公司现金流压力和回款压力等因素造成项目部分或全部无法实施或延期的风险。 </w:t>
      </w:r>
      <w:r>
        <w:rPr>
          <w:spacing w:val="-2"/>
        </w:rPr>
        <w:t>应对措施：公司会持续密切关注国家政策和相关法律法规规章制度在智慧城市建设方面的变化，选择地方财政和信誉情况较</w:t>
      </w:r>
      <w:r>
        <w:rPr>
          <w:spacing w:val="-64"/>
        </w:rPr>
        <w:t> </w:t>
      </w:r>
      <w:r>
        <w:rPr>
          <w:spacing w:val="-64"/>
        </w:rPr>
      </w:r>
      <w:r>
        <w:rPr>
          <w:spacing w:val="-2"/>
        </w:rPr>
        <w:t>好的地区开拓业务市场，由专门的工作小组跟进总包业务项目，及时向公司管理层反馈项目进展情况，按照项目计划严格控</w:t>
      </w:r>
      <w:r>
        <w:rPr>
          <w:spacing w:val="-66"/>
        </w:rPr>
        <w:t> </w:t>
      </w:r>
      <w:r>
        <w:rPr>
          <w:spacing w:val="-66"/>
        </w:rPr>
      </w:r>
      <w:r>
        <w:rPr>
          <w:spacing w:val="-2"/>
        </w:rPr>
        <w:t>制项目费用和成本投入，并以“质量优先、风险为上”为指导原则，对于风险可能较大的总包业务项目采取“宁可暂缓、宁</w:t>
      </w:r>
      <w:r>
        <w:rPr>
          <w:spacing w:val="-68"/>
        </w:rPr>
        <w:t> </w:t>
      </w:r>
      <w:r>
        <w:rPr>
          <w:spacing w:val="-68"/>
        </w:rPr>
      </w:r>
      <w:r>
        <w:rPr/>
        <w:t>可放弃、不可强求”的执行原则，降低总包业务风险。</w:t>
      </w:r>
    </w:p>
    <w:p>
      <w:pPr>
        <w:pStyle w:val="BodyText"/>
        <w:spacing w:line="316" w:lineRule="auto" w:before="19"/>
        <w:ind w:right="1032" w:firstLine="90"/>
        <w:jc w:val="left"/>
      </w:pPr>
      <w:r>
        <w:rPr>
          <w:rFonts w:ascii="宋体" w:hAnsi="宋体" w:cs="宋体" w:eastAsia="宋体" w:hint="default"/>
        </w:rPr>
        <w:t>4</w:t>
      </w:r>
      <w:r>
        <w:rPr/>
        <w:t>、投资并购及管理风险 </w:t>
      </w:r>
      <w:r>
        <w:rPr>
          <w:spacing w:val="-2"/>
        </w:rPr>
        <w:t>为了公司发展战略及规划的需要，公司及公司全资子公司或产业基金于相继完成多个公司的股权投资和并购，但投资并购本</w:t>
      </w:r>
      <w:r>
        <w:rPr>
          <w:spacing w:val="-64"/>
        </w:rPr>
        <w:t> </w:t>
      </w:r>
      <w:r>
        <w:rPr>
          <w:spacing w:val="-64"/>
        </w:rPr>
      </w:r>
      <w:r>
        <w:rPr/>
        <w:t>身就是一种风险较高的商业活动。随着投资并购项目的不断增多，公司与被投资并购的企业之间存在业务模式、管理制度、 </w:t>
      </w:r>
      <w:r>
        <w:rPr>
          <w:spacing w:val="-2"/>
        </w:rPr>
        <w:t>企业文化上的差异，异地管理带来的管控风险、团队的稳定性风险等因素都给公司管理带来新的挑战。同时，公司对外投资</w:t>
      </w:r>
      <w:r>
        <w:rPr>
          <w:spacing w:val="-66"/>
        </w:rPr>
        <w:t> </w:t>
      </w:r>
      <w:r>
        <w:rPr>
          <w:spacing w:val="-66"/>
        </w:rPr>
      </w:r>
      <w:r>
        <w:rPr>
          <w:spacing w:val="-2"/>
        </w:rPr>
        <w:t>并购时，存在项目本身承诺利润能否实现、商誉减值、市场政策变化及法律等方面的风险因素。若因宏观经济环境的恶化或</w:t>
      </w:r>
      <w:r>
        <w:rPr>
          <w:spacing w:val="-66"/>
        </w:rPr>
        <w:t> </w:t>
      </w:r>
      <w:r>
        <w:rPr>
          <w:spacing w:val="-66"/>
        </w:rPr>
      </w:r>
      <w:r>
        <w:rPr/>
        <w:t>被收购公司的经营出现风险，相关收购形成的商誉将对公司年度经营业绩产生不利影响。 </w:t>
      </w:r>
      <w:r>
        <w:rPr>
          <w:spacing w:val="-4"/>
        </w:rPr>
        <w:t>应对措施：公司在投资并购方面采取较为稳健的投资策略，审慎选择投资标的，投前做好市场以及收购对象的尽职调查工作，</w:t>
      </w:r>
      <w:r>
        <w:rPr>
          <w:spacing w:val="-44"/>
        </w:rPr>
        <w:t> </w:t>
      </w:r>
      <w:r>
        <w:rPr>
          <w:spacing w:val="-44"/>
        </w:rPr>
      </w:r>
      <w:r>
        <w:rPr>
          <w:spacing w:val="-2"/>
        </w:rPr>
        <w:t>并完善投资并购协议以减少法律风险，投后发挥协同效应实现其价值，从而不断提升公司盈利能力和市场规模。对于尚未实</w:t>
      </w:r>
      <w:r>
        <w:rPr>
          <w:spacing w:val="-66"/>
        </w:rPr>
        <w:t> </w:t>
      </w:r>
      <w:r>
        <w:rPr>
          <w:spacing w:val="-66"/>
        </w:rPr>
      </w:r>
      <w:r>
        <w:rPr>
          <w:spacing w:val="-2"/>
        </w:rPr>
        <w:t>现盈利的子公司，公司已充分意识到潜在的商誉减值风险，将从收购源头开始控制风险，最大限度地降低可能的商誉减值风</w:t>
      </w:r>
      <w:r>
        <w:rPr>
          <w:spacing w:val="-66"/>
        </w:rPr>
        <w:t> </w:t>
      </w:r>
      <w:r>
        <w:rPr>
          <w:spacing w:val="-66"/>
        </w:rPr>
      </w:r>
      <w:r>
        <w:rPr/>
        <w:t>险。同时，公司将加强内部控制尤其是风险控制体系建设，以面对公司规模扩大后所带来的管理风险。 </w:t>
      </w:r>
      <w:r>
        <w:rPr>
          <w:rFonts w:ascii="宋体" w:hAnsi="宋体" w:cs="宋体" w:eastAsia="宋体" w:hint="default"/>
        </w:rPr>
        <w:t>5</w:t>
      </w:r>
      <w:r>
        <w:rPr/>
        <w:t>、商业模式创新风险 </w:t>
      </w:r>
      <w:r>
        <w:rPr>
          <w:spacing w:val="-2"/>
        </w:rPr>
        <w:t>凡是创新就一定具有不确定性，就一定存在风险。目前公司业务采用的是智慧城市项目建设</w:t>
      </w:r>
      <w:r>
        <w:rPr>
          <w:rFonts w:ascii="宋体" w:hAnsi="宋体" w:cs="宋体" w:eastAsia="宋体" w:hint="default"/>
          <w:spacing w:val="-2"/>
        </w:rPr>
        <w:t>+</w:t>
      </w:r>
      <w:r>
        <w:rPr>
          <w:spacing w:val="-2"/>
        </w:rPr>
        <w:t>业务总包</w:t>
      </w:r>
      <w:r>
        <w:rPr>
          <w:rFonts w:ascii="宋体" w:hAnsi="宋体" w:cs="宋体" w:eastAsia="宋体" w:hint="default"/>
          <w:spacing w:val="-2"/>
        </w:rPr>
        <w:t>+</w:t>
      </w:r>
      <w:r>
        <w:rPr>
          <w:spacing w:val="-2"/>
        </w:rPr>
        <w:t>数据运营服务三结合</w:t>
      </w:r>
      <w:r>
        <w:rPr>
          <w:spacing w:val="-62"/>
        </w:rPr>
        <w:t> </w:t>
      </w:r>
      <w:r>
        <w:rPr>
          <w:spacing w:val="-2"/>
        </w:rPr>
        <w:t>的商业模式，无论是政府出资企业建设模式，或政府和企业共同出资建设模式，或政府规划第三方建设和运营模式，均存在</w:t>
      </w:r>
      <w:r>
        <w:rPr>
          <w:spacing w:val="-66"/>
        </w:rPr>
        <w:t> </w:t>
      </w:r>
      <w:r>
        <w:rPr>
          <w:spacing w:val="-66"/>
        </w:rPr>
      </w:r>
      <w:r>
        <w:rPr>
          <w:spacing w:val="-2"/>
        </w:rPr>
        <w:t>不同利弊和风险。同时，智慧城市的运营和服务是智慧城市推进面临的最大挑战之一，是全行业企业都需要探索的新业务和</w:t>
      </w:r>
      <w:r>
        <w:rPr>
          <w:spacing w:val="-66"/>
        </w:rPr>
        <w:t> </w:t>
      </w:r>
      <w:r>
        <w:rPr>
          <w:spacing w:val="-66"/>
        </w:rPr>
      </w:r>
      <w:r>
        <w:rPr/>
        <w:t>新模式，存在大量的不确定性。 </w:t>
      </w:r>
      <w:r>
        <w:rPr>
          <w:spacing w:val="-2"/>
        </w:rPr>
        <w:t>应对措施：公司会密切关注与行业相关的国家政策法规的跟踪与研究，在现有智慧城市项目商业模式的基础上，根据市场和</w:t>
      </w:r>
      <w:r>
        <w:rPr>
          <w:spacing w:val="-66"/>
        </w:rPr>
        <w:t> </w:t>
      </w:r>
      <w:r>
        <w:rPr>
          <w:spacing w:val="-66"/>
        </w:rPr>
      </w:r>
      <w:r>
        <w:rPr>
          <w:spacing w:val="-2"/>
        </w:rPr>
        <w:t>行业发展需求，采取“存量”业务和“增量”业务并重且比例优化的经营方式，在保证“存量”业务体量的基础上，逐步提</w:t>
      </w:r>
      <w:r>
        <w:rPr>
          <w:spacing w:val="-69"/>
        </w:rPr>
        <w:t> </w:t>
      </w:r>
      <w:r>
        <w:rPr>
          <w:spacing w:val="-69"/>
        </w:rPr>
      </w:r>
      <w:r>
        <w:rPr/>
        <w:t>升“增量”业务——大型软件支持和交付、运维</w:t>
      </w:r>
      <w:r>
        <w:rPr>
          <w:rFonts w:ascii="宋体" w:hAnsi="宋体" w:cs="宋体" w:eastAsia="宋体" w:hint="default"/>
        </w:rPr>
        <w:t>/</w:t>
      </w:r>
      <w:r>
        <w:rPr/>
        <w:t>数据运营服务的业务占比，待“增量”业务的商业模式得到充分验证后再 大规模推进，由此可以 尽可能降低由于商业模式创新风险对公司可能带来的影响。</w:t>
      </w:r>
    </w:p>
    <w:p>
      <w:pPr>
        <w:pStyle w:val="BodyText"/>
        <w:spacing w:line="316" w:lineRule="auto" w:before="19"/>
        <w:ind w:right="1122" w:firstLine="90"/>
        <w:jc w:val="left"/>
      </w:pPr>
      <w:r>
        <w:rPr>
          <w:rFonts w:ascii="宋体" w:hAnsi="宋体" w:cs="宋体" w:eastAsia="宋体" w:hint="default"/>
        </w:rPr>
        <w:t>6</w:t>
      </w:r>
      <w:r>
        <w:rPr/>
        <w:t>、诉讼结果不确定的风险 截止本公告披露日，公司于</w:t>
      </w:r>
      <w:r>
        <w:rPr>
          <w:rFonts w:ascii="宋体" w:hAnsi="宋体" w:cs="宋体" w:eastAsia="宋体" w:hint="default"/>
        </w:rPr>
        <w:t>2018</w:t>
      </w:r>
      <w:r>
        <w:rPr/>
        <w:t>年</w:t>
      </w:r>
      <w:r>
        <w:rPr>
          <w:rFonts w:ascii="宋体" w:hAnsi="宋体" w:cs="宋体" w:eastAsia="宋体" w:hint="default"/>
        </w:rPr>
        <w:t>6</w:t>
      </w:r>
      <w:r>
        <w:rPr/>
        <w:t>月向杭州市中级人民法院就李欣、浙江浙商证券资产管理有限公司确认合同无效纠纷提 </w:t>
      </w:r>
      <w:r>
        <w:rPr>
          <w:spacing w:val="-2"/>
        </w:rPr>
        <w:t>起民事诉讼，杭州市中级人民法院已受理并正式立案，公司的主要诉讼请求为确认李欣、浙江浙商证券资产管理有限公司签</w:t>
      </w:r>
      <w:r>
        <w:rPr>
          <w:spacing w:val="-66"/>
        </w:rPr>
        <w:t> </w:t>
      </w:r>
      <w:r>
        <w:rPr>
          <w:spacing w:val="-66"/>
        </w:rPr>
      </w:r>
      <w:r>
        <w:rPr/>
        <w:t>订的浙商聚银</w:t>
      </w:r>
      <w:r>
        <w:rPr>
          <w:rFonts w:ascii="宋体" w:hAnsi="宋体" w:cs="宋体" w:eastAsia="宋体" w:hint="default"/>
        </w:rPr>
        <w:t>1</w:t>
      </w:r>
      <w:r>
        <w:rPr/>
        <w:t>号银江股份股票收益权</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3</w:t>
      </w:r>
      <w:r>
        <w:rPr/>
        <w:t>号专项资产管理计划《股票质押合同》均无效。</w:t>
      </w:r>
      <w:r>
        <w:rPr>
          <w:rFonts w:ascii="宋体" w:hAnsi="宋体" w:cs="宋体" w:eastAsia="宋体" w:hint="default"/>
        </w:rPr>
        <w:t>2019</w:t>
      </w:r>
      <w:r>
        <w:rPr/>
        <w:t>年</w:t>
      </w:r>
      <w:r>
        <w:rPr>
          <w:rFonts w:ascii="宋体" w:hAnsi="宋体" w:cs="宋体" w:eastAsia="宋体" w:hint="default"/>
        </w:rPr>
        <w:t>2</w:t>
      </w:r>
      <w:r>
        <w:rPr/>
        <w:t>月，公司收到浙江省 杭州市中级人民法院，杭州市中级人民法院作出一审判决，驳回原告银江股份的诉讼请求。</w:t>
      </w:r>
      <w:r>
        <w:rPr>
          <w:rFonts w:ascii="宋体" w:hAnsi="宋体" w:cs="宋体" w:eastAsia="宋体" w:hint="default"/>
        </w:rPr>
        <w:t>2019</w:t>
      </w:r>
      <w:r>
        <w:rPr/>
        <w:t>年</w:t>
      </w:r>
      <w:r>
        <w:rPr>
          <w:rFonts w:ascii="宋体" w:hAnsi="宋体" w:cs="宋体" w:eastAsia="宋体" w:hint="default"/>
        </w:rPr>
        <w:t>2</w:t>
      </w:r>
      <w:r>
        <w:rPr/>
        <w:t>月，公司对一审判决不 服，向浙江省高级人民法院提起上诉。判决审理结果存在不确定性。 </w:t>
      </w:r>
      <w:r>
        <w:rPr>
          <w:spacing w:val="-2"/>
        </w:rPr>
        <w:t>应对措施：以保护上市公司基本利益，维护广大投资者合法权益为前提，公司将按照现行法律法规积极应对案件执行过程中</w:t>
      </w:r>
      <w:r>
        <w:rPr>
          <w:spacing w:val="-66"/>
        </w:rPr>
        <w:t> </w:t>
      </w:r>
      <w:r>
        <w:rPr>
          <w:spacing w:val="-66"/>
        </w:rPr>
      </w:r>
      <w:r>
        <w:rPr/>
        <w:t>的所有可能性。</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登记表" w:id="68"/>
      <w:bookmarkEnd w:id="6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9"/>
      <w:bookmarkEnd w:id="6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61.380005pt;width:290.95pt;height:20.8pt;mso-position-horizontal-relative:page;mso-position-vertical-relative:page;z-index:-1157104" coordorigin="4857,13228" coordsize="5819,416">
            <v:group style="position:absolute;left:4868;top:13239;width:2;height:393" coordorigin="4868,13239" coordsize="2,393">
              <v:shape style="position:absolute;left:4868;top:13239;width:2;height:393" coordorigin="4868,13239" coordsize="0,393" path="m4868,13239l4868,13632e" filled="false" stroked="true" strokeweight="1.160pt" strokecolor="#ffffff">
                <v:path arrowok="t"/>
              </v:shape>
            </v:group>
            <v:group style="position:absolute;left:4880;top:13239;width:5796;height:393" coordorigin="4880,13239" coordsize="5796,393">
              <v:shape style="position:absolute;left:4880;top:13239;width:5796;height:393" coordorigin="4880,13239" coordsize="5796,393" path="m4880,13632l10675,13632,10675,13239,4880,13239,4880,1363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86" w:right="4164"/>
        <w:jc w:val="center"/>
        <w:rPr>
          <w:b w:val="0"/>
          <w:bCs w:val="0"/>
        </w:rPr>
      </w:pPr>
      <w:bookmarkStart w:name="第五节 重要事项" w:id="70"/>
      <w:bookmarkEnd w:id="70"/>
      <w:r>
        <w:rPr>
          <w:b w:val="0"/>
          <w:bCs w:val="0"/>
        </w:rPr>
      </w:r>
      <w:bookmarkStart w:name="_bookmark4" w:id="71"/>
      <w:bookmarkEnd w:id="7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72"/>
      <w:bookmarkEnd w:id="7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、利润分配政策的调整 报告期内，利润分配政策未发生调整。 </w:t>
      </w:r>
      <w:r>
        <w:rPr>
          <w:rFonts w:ascii="Times New Roman" w:hAnsi="Times New Roman" w:cs="Times New Roman" w:eastAsia="Times New Roman" w:hint="default"/>
        </w:rPr>
        <w:t>2</w:t>
      </w:r>
      <w:r>
        <w:rPr/>
        <w:t>、利润分配政策的执行</w:t>
      </w:r>
    </w:p>
    <w:p>
      <w:pPr>
        <w:pStyle w:val="BodyText"/>
        <w:spacing w:line="300" w:lineRule="auto"/>
        <w:ind w:right="1121"/>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2017</w:t>
      </w:r>
      <w:r>
        <w:rPr>
          <w:spacing w:val="-1"/>
        </w:rPr>
        <w:t>年度股东大会审议通过了《</w:t>
      </w:r>
      <w:r>
        <w:rPr>
          <w:rFonts w:ascii="Times New Roman" w:hAnsi="Times New Roman" w:cs="Times New Roman" w:eastAsia="Times New Roman" w:hint="default"/>
          <w:spacing w:val="-1"/>
        </w:rPr>
        <w:t>2017</w:t>
      </w:r>
      <w:r>
        <w:rPr>
          <w:spacing w:val="-1"/>
        </w:rPr>
        <w:t>年度利润分配预案》：以</w:t>
      </w:r>
      <w:r>
        <w:rPr>
          <w:rFonts w:ascii="Times New Roman" w:hAnsi="Times New Roman" w:cs="Times New Roman" w:eastAsia="Times New Roman" w:hint="default"/>
          <w:spacing w:val="-1"/>
        </w:rPr>
        <w:t>2017</w:t>
      </w:r>
      <w:r>
        <w:rPr>
          <w:spacing w:val="-1"/>
        </w:rPr>
        <w:t>年末公司总股本</w:t>
      </w:r>
      <w:r>
        <w:rPr>
          <w:rFonts w:ascii="Times New Roman" w:hAnsi="Times New Roman" w:cs="Times New Roman" w:eastAsia="Times New Roman" w:hint="default"/>
          <w:spacing w:val="-1"/>
        </w:rPr>
        <w:t>655,789,086</w:t>
      </w:r>
      <w:r>
        <w:rPr>
          <w:rFonts w:ascii="Times New Roman" w:hAnsi="Times New Roman" w:cs="Times New Roman" w:eastAsia="Times New Roman" w:hint="default"/>
          <w:spacing w:val="26"/>
        </w:rPr>
        <w:t> </w:t>
      </w:r>
      <w:r>
        <w:rPr/>
        <w:t>股为基 数，按每 </w:t>
      </w:r>
      <w:r>
        <w:rPr>
          <w:rFonts w:ascii="Times New Roman" w:hAnsi="Times New Roman" w:cs="Times New Roman" w:eastAsia="Times New Roman" w:hint="default"/>
        </w:rPr>
        <w:t>10 </w:t>
      </w:r>
      <w:r>
        <w:rPr/>
        <w:t>股派发现金股利人民币</w:t>
      </w:r>
      <w:r>
        <w:rPr>
          <w:rFonts w:ascii="Times New Roman" w:hAnsi="Times New Roman" w:cs="Times New Roman" w:eastAsia="Times New Roman" w:hint="default"/>
        </w:rPr>
        <w:t>0.5</w:t>
      </w:r>
      <w:r>
        <w:rPr/>
        <w:t>元（含税），共计 </w:t>
      </w:r>
      <w:r>
        <w:rPr>
          <w:rFonts w:ascii="Times New Roman" w:hAnsi="Times New Roman" w:cs="Times New Roman" w:eastAsia="Times New Roman" w:hint="default"/>
        </w:rPr>
        <w:t>32,789,454.30</w:t>
      </w:r>
      <w:r>
        <w:rPr>
          <w:rFonts w:ascii="Times New Roman" w:hAnsi="Times New Roman" w:cs="Times New Roman" w:eastAsia="Times New Roman" w:hint="default"/>
          <w:spacing w:val="13"/>
        </w:rPr>
        <w:t> </w:t>
      </w:r>
      <w:r>
        <w:rPr/>
        <w:t>元（含税），剩余未分配利润结转以后年度分配。 本次权益分配方案已于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日实施完毕。上述现金分红政策符合公司章程的规定，独立董事发表了独立意见。</w:t>
      </w:r>
    </w:p>
    <w:p>
      <w:pPr>
        <w:spacing w:line="240" w:lineRule="auto" w:before="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不适合</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655,789,086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19,673,672.58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19,673,672.58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915,819,132.48</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44"/>
        <w:ind w:left="0" w:right="1140"/>
        <w:jc w:val="right"/>
      </w:pPr>
      <w:r>
        <w:rPr/>
        <w:pict>
          <v:shape style="position:absolute;margin-left:56.459999pt;margin-top:-61.168304pt;width:479.2pt;height:9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宋体" w:hAnsi="宋体" w:cs="宋体" w:eastAsia="宋体" w:hint="default"/>
                            <w:spacing w:val="-85"/>
                            <w:sz w:val="18"/>
                            <w:szCs w:val="18"/>
                          </w:rPr>
                          <w:t>：</w:t>
                        </w:r>
                        <w:r>
                          <w:rPr>
                            <w:rFonts w:ascii="宋体" w:hAnsi="宋体" w:cs="宋体" w:eastAsia="宋体" w:hint="default"/>
                            <w:sz w:val="18"/>
                            <w:szCs w:val="18"/>
                          </w:rPr>
                          <w:t>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年末的公司总股 </w:t>
                        </w:r>
                        <w:r>
                          <w:rPr>
                            <w:rFonts w:ascii="Times New Roman" w:hAnsi="Times New Roman" w:cs="Times New Roman" w:eastAsia="Times New Roman" w:hint="default"/>
                            <w:sz w:val="18"/>
                            <w:szCs w:val="18"/>
                          </w:rPr>
                          <w:t>655,78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85"/>
                            <w:sz w:val="18"/>
                            <w:szCs w:val="18"/>
                          </w:rPr>
                          <w:t>，</w:t>
                        </w:r>
                        <w:r>
                          <w:rPr>
                            <w:rFonts w:ascii="宋体" w:hAnsi="宋体" w:cs="宋体" w:eastAsia="宋体" w:hint="default"/>
                            <w:sz w:val="18"/>
                            <w:szCs w:val="18"/>
                          </w:rPr>
                          <w:t>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1"/>
                            <w:sz w:val="18"/>
                            <w:szCs w:val="18"/>
                          </w:rPr>
                          <w:t> </w:t>
                        </w:r>
                        <w:r>
                          <w:rPr>
                            <w:rFonts w:ascii="宋体" w:hAnsi="宋体" w:cs="宋体" w:eastAsia="宋体" w:hint="default"/>
                            <w:spacing w:val="-85"/>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19,673,67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.58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，剩余未分配利润结转以后年度分配。本预案还需提交公司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299"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日，公司召开了</w:t>
      </w:r>
      <w:r>
        <w:rPr>
          <w:rFonts w:ascii="Times New Roman" w:hAnsi="Times New Roman" w:cs="Times New Roman" w:eastAsia="Times New Roman" w:hint="default"/>
          <w:spacing w:val="-3"/>
        </w:rPr>
        <w:t>2016</w:t>
      </w:r>
      <w:r>
        <w:rPr>
          <w:spacing w:val="-3"/>
        </w:rPr>
        <w:t>年度股东大会，审议通过了</w:t>
      </w:r>
      <w:r>
        <w:rPr>
          <w:rFonts w:ascii="Times New Roman" w:hAnsi="Times New Roman" w:cs="Times New Roman" w:eastAsia="Times New Roman" w:hint="default"/>
          <w:spacing w:val="-3"/>
        </w:rPr>
        <w:t>2016</w:t>
      </w:r>
      <w:r>
        <w:rPr>
          <w:spacing w:val="-3"/>
        </w:rPr>
        <w:t>年度利润分配预案：以</w:t>
      </w:r>
      <w:r>
        <w:rPr>
          <w:rFonts w:ascii="Times New Roman" w:hAnsi="Times New Roman" w:cs="Times New Roman" w:eastAsia="Times New Roman" w:hint="default"/>
          <w:spacing w:val="-3"/>
        </w:rPr>
        <w:t>2016</w:t>
      </w:r>
      <w:r>
        <w:rPr>
          <w:spacing w:val="-3"/>
        </w:rPr>
        <w:t>年末公司总股本</w:t>
      </w:r>
      <w:r>
        <w:rPr>
          <w:rFonts w:ascii="Times New Roman" w:hAnsi="Times New Roman" w:cs="Times New Roman" w:eastAsia="Times New Roman" w:hint="default"/>
          <w:spacing w:val="-3"/>
        </w:rPr>
        <w:t>655,789,086</w:t>
      </w:r>
    </w:p>
    <w:p>
      <w:pPr>
        <w:pStyle w:val="BodyText"/>
        <w:spacing w:line="240" w:lineRule="auto" w:before="63"/>
        <w:ind w:right="0"/>
        <w:jc w:val="both"/>
      </w:pPr>
      <w:r>
        <w:rPr/>
        <w:t>股为基数，按每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0.5 </w:t>
      </w:r>
      <w:r>
        <w:rPr/>
        <w:t>元（含税），共分配现金股利 </w:t>
      </w:r>
      <w:r>
        <w:rPr>
          <w:rFonts w:ascii="Times New Roman" w:hAnsi="Times New Roman" w:cs="Times New Roman" w:eastAsia="Times New Roman" w:hint="default"/>
        </w:rPr>
        <w:t>32,789,454.30</w:t>
      </w:r>
      <w:r>
        <w:rPr>
          <w:rFonts w:ascii="Times New Roman" w:hAnsi="Times New Roman" w:cs="Times New Roman" w:eastAsia="Times New Roman" w:hint="default"/>
          <w:spacing w:val="22"/>
        </w:rPr>
        <w:t> </w:t>
      </w:r>
      <w:r>
        <w:rPr/>
        <w:t>元（含税）。</w:t>
      </w:r>
    </w:p>
    <w:p>
      <w:pPr>
        <w:pStyle w:val="BodyText"/>
        <w:spacing w:line="300" w:lineRule="auto" w:before="63"/>
        <w:ind w:right="1132"/>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11</w:t>
      </w:r>
      <w:r>
        <w:rPr>
          <w:spacing w:val="-4"/>
        </w:rPr>
        <w:t>日，公司召开了</w:t>
      </w:r>
      <w:r>
        <w:rPr>
          <w:rFonts w:ascii="Times New Roman" w:hAnsi="Times New Roman" w:cs="Times New Roman" w:eastAsia="Times New Roman" w:hint="default"/>
          <w:spacing w:val="-4"/>
        </w:rPr>
        <w:t>2017</w:t>
      </w:r>
      <w:r>
        <w:rPr>
          <w:spacing w:val="-4"/>
        </w:rPr>
        <w:t>年度股东大会，审议通过了</w:t>
      </w:r>
      <w:r>
        <w:rPr>
          <w:rFonts w:ascii="Times New Roman" w:hAnsi="Times New Roman" w:cs="Times New Roman" w:eastAsia="Times New Roman" w:hint="default"/>
          <w:spacing w:val="-4"/>
        </w:rPr>
        <w:t>2017</w:t>
      </w:r>
      <w:r>
        <w:rPr>
          <w:spacing w:val="-4"/>
        </w:rPr>
        <w:t>年度利润分配预案：以</w:t>
      </w:r>
      <w:r>
        <w:rPr>
          <w:rFonts w:ascii="Times New Roman" w:hAnsi="Times New Roman" w:cs="Times New Roman" w:eastAsia="Times New Roman" w:hint="default"/>
          <w:spacing w:val="-4"/>
        </w:rPr>
        <w:t>2017</w:t>
      </w:r>
      <w:r>
        <w:rPr>
          <w:spacing w:val="-4"/>
        </w:rPr>
        <w:t>年末公司总股本</w:t>
      </w:r>
      <w:r>
        <w:rPr>
          <w:rFonts w:ascii="Times New Roman" w:hAnsi="Times New Roman" w:cs="Times New Roman" w:eastAsia="Times New Roman" w:hint="default"/>
          <w:spacing w:val="-4"/>
        </w:rPr>
        <w:t>655,789,086</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股为基数，按每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0.5 </w:t>
      </w:r>
      <w:r>
        <w:rPr/>
        <w:t>元（含税），共分配现金股利 </w:t>
      </w:r>
      <w:r>
        <w:rPr>
          <w:rFonts w:ascii="Times New Roman" w:hAnsi="Times New Roman" w:cs="Times New Roman" w:eastAsia="Times New Roman" w:hint="default"/>
        </w:rPr>
        <w:t>32,789,454.30</w:t>
      </w:r>
      <w:r>
        <w:rPr>
          <w:rFonts w:ascii="Times New Roman" w:hAnsi="Times New Roman" w:cs="Times New Roman" w:eastAsia="Times New Roman" w:hint="default"/>
          <w:spacing w:val="22"/>
        </w:rPr>
        <w:t> </w:t>
      </w:r>
      <w:r>
        <w:rPr/>
        <w:t>元（含税）。</w:t>
      </w:r>
    </w:p>
    <w:p>
      <w:pPr>
        <w:pStyle w:val="BodyText"/>
        <w:spacing w:line="300" w:lineRule="auto" w:before="13"/>
        <w:ind w:right="112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日，公司召开第四届董事会第二十五次会议，审议通过了</w:t>
      </w:r>
      <w:r>
        <w:rPr>
          <w:rFonts w:ascii="Times New Roman" w:hAnsi="Times New Roman" w:cs="Times New Roman" w:eastAsia="Times New Roman" w:hint="default"/>
          <w:spacing w:val="-2"/>
        </w:rPr>
        <w:t>2018</w:t>
      </w:r>
      <w:r>
        <w:rPr>
          <w:spacing w:val="-2"/>
        </w:rPr>
        <w:t>年度利润分配预案：以</w:t>
      </w:r>
      <w:r>
        <w:rPr>
          <w:rFonts w:ascii="Times New Roman" w:hAnsi="Times New Roman" w:cs="Times New Roman" w:eastAsia="Times New Roman" w:hint="default"/>
          <w:spacing w:val="-2"/>
        </w:rPr>
        <w:t>2018</w:t>
      </w:r>
      <w:r>
        <w:rPr>
          <w:spacing w:val="-2"/>
        </w:rPr>
        <w:t>年末公司总股本</w:t>
      </w:r>
      <w:r>
        <w:rPr>
          <w:spacing w:val="-50"/>
        </w:rPr>
        <w:t> </w:t>
      </w:r>
      <w:r>
        <w:rPr>
          <w:rFonts w:ascii="Times New Roman" w:hAnsi="Times New Roman" w:cs="Times New Roman" w:eastAsia="Times New Roman" w:hint="default"/>
        </w:rPr>
        <w:t>655,789,086 </w:t>
      </w:r>
      <w:r>
        <w:rPr/>
        <w:t>股为基数，按每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0.3 </w:t>
      </w:r>
      <w:r>
        <w:rPr>
          <w:spacing w:val="-3"/>
        </w:rPr>
        <w:t>元（含税），共分配现金股利 </w:t>
      </w:r>
      <w:r>
        <w:rPr>
          <w:rFonts w:ascii="Times New Roman" w:hAnsi="Times New Roman" w:cs="Times New Roman" w:eastAsia="Times New Roman" w:hint="default"/>
        </w:rPr>
        <w:t>19,673,672.58</w:t>
      </w:r>
      <w:r>
        <w:rPr/>
        <w:t>元（含税），</w:t>
      </w:r>
      <w:r>
        <w:rPr>
          <w:spacing w:val="-3"/>
        </w:rPr>
        <w:t> </w:t>
      </w:r>
      <w:r>
        <w:rPr/>
        <w:t>剩余</w:t>
      </w:r>
      <w:r>
        <w:rPr/>
        <w:t> 未分配利润结转以后年度分配。本预案还需提交公司</w:t>
      </w:r>
      <w:r>
        <w:rPr>
          <w:spacing w:val="-18"/>
        </w:rPr>
        <w:t> </w:t>
      </w:r>
      <w:r>
        <w:rPr>
          <w:rFonts w:ascii="Times New Roman" w:hAnsi="Times New Roman" w:cs="Times New Roman" w:eastAsia="Times New Roman" w:hint="default"/>
        </w:rPr>
        <w:t>2018</w:t>
      </w:r>
      <w:r>
        <w:rPr/>
        <w:t>年度股东大会审议。</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19,673,672.58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26,444,095.70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74.40%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19,673,672.58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138,654,236.34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23.65%</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23.65%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153,377,346.60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21.38%</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21.38%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73"/>
      <w:bookmarkEnd w:id="7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74"/>
      <w:bookmarkEnd w:id="7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863"/>
        <w:gridCol w:w="850"/>
        <w:gridCol w:w="2670"/>
        <w:gridCol w:w="875"/>
        <w:gridCol w:w="850"/>
        <w:gridCol w:w="1630"/>
      </w:tblGrid>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63"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vMerge w:val="restart"/>
            <w:tcBorders>
              <w:top w:val="single" w:sz="4" w:space="0" w:color="000000"/>
              <w:left w:val="single" w:sz="4" w:space="0" w:color="000000"/>
              <w:right w:val="single" w:sz="4" w:space="0" w:color="000000"/>
            </w:tcBorders>
          </w:tcPr>
          <w:p>
            <w:pPr/>
          </w:p>
        </w:tc>
        <w:tc>
          <w:tcPr>
            <w:tcW w:w="2670" w:type="dxa"/>
            <w:vMerge w:val="restart"/>
            <w:tcBorders>
              <w:top w:val="single" w:sz="4" w:space="0" w:color="000000"/>
              <w:left w:val="single" w:sz="4" w:space="0" w:color="000000"/>
              <w:right w:val="single" w:sz="4" w:space="0" w:color="000000"/>
            </w:tcBorders>
          </w:tcPr>
          <w:p>
            <w:pPr>
              <w:pStyle w:val="TableParagraph"/>
              <w:spacing w:line="316" w:lineRule="auto" w:before="71"/>
              <w:ind w:left="23" w:right="114"/>
              <w:jc w:val="left"/>
              <w:rPr>
                <w:rFonts w:ascii="宋体" w:hAnsi="宋体" w:cs="宋体" w:eastAsia="宋体" w:hint="default"/>
                <w:sz w:val="18"/>
                <w:szCs w:val="18"/>
              </w:rPr>
            </w:pPr>
            <w:r>
              <w:rPr>
                <w:rFonts w:ascii="宋体" w:hAnsi="宋体" w:cs="宋体" w:eastAsia="宋体" w:hint="default"/>
                <w:sz w:val="18"/>
                <w:szCs w:val="18"/>
              </w:rPr>
              <w:t>自本次交易中取得的股份自本次 发行结束之日起十二个月内不得</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tc>
        <w:tc>
          <w:tcPr>
            <w:tcW w:w="1630" w:type="dxa"/>
            <w:vMerge w:val="restart"/>
            <w:tcBorders>
              <w:top w:val="single" w:sz="4" w:space="0" w:color="000000"/>
              <w:left w:val="single" w:sz="4" w:space="0" w:color="000000"/>
              <w:right w:val="single" w:sz="4" w:space="0" w:color="000000"/>
            </w:tcBorders>
          </w:tcPr>
          <w:p>
            <w:pPr>
              <w:pStyle w:val="TableParagraph"/>
              <w:spacing w:line="300" w:lineRule="auto" w:before="7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年度业绩承诺 </w:t>
            </w:r>
            <w:r>
              <w:rPr>
                <w:rFonts w:ascii="宋体" w:hAnsi="宋体" w:cs="宋体" w:eastAsia="宋体" w:hint="default"/>
                <w:spacing w:val="-6"/>
                <w:sz w:val="18"/>
                <w:szCs w:val="18"/>
              </w:rPr>
              <w:t>未达预期，涉及股份</w:t>
            </w:r>
          </w:p>
        </w:tc>
      </w:tr>
      <w:tr>
        <w:trPr>
          <w:trHeight w:val="391"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63"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2670"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2"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324.619995pt;width:43.25pt;height:124.85pt;mso-position-horizontal-relative:page;mso-position-vertical-relative:page;z-index:-1157056" coordorigin="7353,6492" coordsize="865,2497">
            <v:shape style="position:absolute;left:7353;top:6492;width:865;height:2497" coordorigin="7353,6492" coordsize="865,2497" path="m7353,8989l8218,8989,8218,6492,7353,6492,7353,8989xe" filled="true" fillcolor="#ffffff" stroked="false">
              <v:path arrowok="t"/>
              <v:fill type="solid"/>
            </v:shape>
            <w10:wrap type="none"/>
          </v:group>
        </w:pict>
      </w:r>
      <w:r>
        <w:rPr/>
        <w:pict>
          <v:group style="position:absolute;margin-left:367.660004pt;margin-top:484.659973pt;width:43.25pt;height:124.8pt;mso-position-horizontal-relative:page;mso-position-vertical-relative:page;z-index:-1157032" coordorigin="7353,9693" coordsize="865,2496">
            <v:shape style="position:absolute;left:7353;top:9693;width:865;height:2496" coordorigin="7353,9693" coordsize="865,2496" path="m7353,12189l8218,12189,8218,9693,7353,9693,7353,121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850"/>
        <w:gridCol w:w="2670"/>
        <w:gridCol w:w="875"/>
        <w:gridCol w:w="850"/>
        <w:gridCol w:w="1632"/>
      </w:tblGrid>
      <w:tr>
        <w:trPr>
          <w:trHeight w:val="504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pacing w:val="-6"/>
                <w:sz w:val="18"/>
                <w:szCs w:val="18"/>
              </w:rPr>
              <w:t>转让。自法定限售期十二个月届满</w:t>
            </w:r>
            <w:r>
              <w:rPr>
                <w:rFonts w:ascii="宋体" w:hAnsi="宋体" w:cs="宋体" w:eastAsia="宋体" w:hint="default"/>
                <w:sz w:val="18"/>
                <w:szCs w:val="18"/>
              </w:rPr>
              <w:t> 后，第一年可解禁所获股份的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，第二年可再解禁所获股份的</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，第三年可再解禁所获股份的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，第四年可再解禁所获股份的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，第五年可再解禁所获股份的</w:t>
            </w:r>
          </w:p>
          <w:p>
            <w:pPr>
              <w:pStyle w:val="TableParagraph"/>
              <w:spacing w:line="314"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，自法定限售期届满后五年即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全解禁。</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年为李欣</w:t>
            </w:r>
            <w:r>
              <w:rPr>
                <w:rFonts w:ascii="宋体" w:hAnsi="宋体" w:cs="宋体" w:eastAsia="宋体" w:hint="default"/>
                <w:w w:val="99"/>
                <w:sz w:val="18"/>
                <w:szCs w:val="18"/>
              </w:rPr>
              <w:t> </w:t>
            </w:r>
            <w:r>
              <w:rPr>
                <w:rFonts w:ascii="宋体" w:hAnsi="宋体" w:cs="宋体" w:eastAsia="宋体" w:hint="default"/>
                <w:spacing w:val="-6"/>
                <w:w w:val="99"/>
                <w:sz w:val="18"/>
                <w:szCs w:val="18"/>
              </w:rPr>
              <w:t>业绩承诺期，应待亚太安讯审计报</w:t>
            </w:r>
            <w:r>
              <w:rPr>
                <w:rFonts w:ascii="宋体" w:hAnsi="宋体" w:cs="宋体" w:eastAsia="宋体" w:hint="default"/>
                <w:w w:val="99"/>
                <w:sz w:val="18"/>
                <w:szCs w:val="18"/>
              </w:rPr>
              <w:t> </w:t>
            </w:r>
            <w:r>
              <w:rPr>
                <w:rFonts w:ascii="宋体" w:hAnsi="宋体" w:cs="宋体" w:eastAsia="宋体" w:hint="default"/>
                <w:sz w:val="18"/>
                <w:szCs w:val="18"/>
              </w:rPr>
              <w:t>告出具后，视是否需实行股份补</w:t>
            </w:r>
            <w:r>
              <w:rPr>
                <w:rFonts w:ascii="宋体" w:hAnsi="宋体" w:cs="宋体" w:eastAsia="宋体" w:hint="default"/>
                <w:w w:val="99"/>
                <w:sz w:val="18"/>
                <w:szCs w:val="18"/>
              </w:rPr>
              <w:t> </w:t>
            </w:r>
            <w:r>
              <w:rPr>
                <w:rFonts w:ascii="宋体" w:hAnsi="宋体" w:cs="宋体" w:eastAsia="宋体" w:hint="default"/>
                <w:spacing w:val="-6"/>
                <w:w w:val="99"/>
                <w:sz w:val="18"/>
                <w:szCs w:val="18"/>
              </w:rPr>
              <w:t>偿，按以上比例计算当年可解禁股</w:t>
            </w:r>
            <w:r>
              <w:rPr>
                <w:rFonts w:ascii="宋体" w:hAnsi="宋体" w:cs="宋体" w:eastAsia="宋体" w:hint="default"/>
                <w:w w:val="99"/>
                <w:sz w:val="18"/>
                <w:szCs w:val="18"/>
              </w:rPr>
              <w:t> </w:t>
            </w:r>
            <w:r>
              <w:rPr>
                <w:rFonts w:ascii="宋体" w:hAnsi="宋体" w:cs="宋体" w:eastAsia="宋体" w:hint="default"/>
                <w:sz w:val="18"/>
                <w:szCs w:val="18"/>
              </w:rPr>
              <w:t>份数并扣减需进行股份补偿部分</w:t>
            </w:r>
            <w:r>
              <w:rPr>
                <w:rFonts w:ascii="宋体" w:hAnsi="宋体" w:cs="宋体" w:eastAsia="宋体" w:hint="default"/>
                <w:w w:val="99"/>
                <w:sz w:val="18"/>
                <w:szCs w:val="18"/>
              </w:rPr>
              <w:t> </w:t>
            </w:r>
            <w:r>
              <w:rPr>
                <w:rFonts w:ascii="宋体" w:hAnsi="宋体" w:cs="宋体" w:eastAsia="宋体" w:hint="default"/>
                <w:spacing w:val="-6"/>
                <w:sz w:val="18"/>
                <w:szCs w:val="18"/>
              </w:rPr>
              <w:t>后予以解禁，若不足扣减，则当年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99"/>
                <w:sz w:val="18"/>
                <w:szCs w:val="18"/>
              </w:rPr>
              <w:t>无股份解禁。李欣承诺所持股份在</w:t>
            </w:r>
            <w:r>
              <w:rPr>
                <w:rFonts w:ascii="宋体" w:hAnsi="宋体" w:cs="宋体" w:eastAsia="宋体" w:hint="default"/>
                <w:w w:val="99"/>
                <w:sz w:val="18"/>
                <w:szCs w:val="18"/>
              </w:rPr>
              <w:t> </w:t>
            </w:r>
            <w:r>
              <w:rPr>
                <w:rFonts w:ascii="宋体" w:hAnsi="宋体" w:cs="宋体" w:eastAsia="宋体" w:hint="default"/>
                <w:sz w:val="18"/>
                <w:szCs w:val="18"/>
              </w:rPr>
              <w:t>限售期内未经上市公司同意不得</w:t>
            </w:r>
            <w:r>
              <w:rPr>
                <w:rFonts w:ascii="宋体" w:hAnsi="宋体" w:cs="宋体" w:eastAsia="宋体" w:hint="default"/>
                <w:w w:val="99"/>
                <w:sz w:val="18"/>
                <w:szCs w:val="18"/>
              </w:rPr>
              <w:t> </w:t>
            </w:r>
            <w:r>
              <w:rPr>
                <w:rFonts w:ascii="宋体" w:hAnsi="宋体" w:cs="宋体" w:eastAsia="宋体" w:hint="default"/>
                <w:sz w:val="18"/>
                <w:szCs w:val="18"/>
              </w:rPr>
              <w:t>用于质押。</w:t>
            </w:r>
          </w:p>
        </w:tc>
        <w:tc>
          <w:tcPr>
            <w:tcW w:w="8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pacing w:val="-6"/>
                <w:sz w:val="18"/>
                <w:szCs w:val="18"/>
              </w:rPr>
              <w:t>补偿事宜。李欣未经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上市公司同意将所 持公司股份 </w:t>
            </w:r>
            <w:r>
              <w:rPr>
                <w:rFonts w:ascii="Times New Roman" w:hAnsi="Times New Roman" w:cs="Times New Roman" w:eastAsia="Times New Roman" w:hint="default"/>
                <w:sz w:val="18"/>
                <w:szCs w:val="18"/>
              </w:rPr>
              <w:t>27,813,840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股在限</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售期内质押给浙江 浙商证券资产管理 </w:t>
            </w:r>
            <w:r>
              <w:rPr>
                <w:rFonts w:ascii="宋体" w:hAnsi="宋体" w:cs="宋体" w:eastAsia="宋体" w:hint="default"/>
                <w:spacing w:val="-6"/>
                <w:sz w:val="18"/>
                <w:szCs w:val="18"/>
              </w:rPr>
              <w:t>有限公司，违反了承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w:t>
            </w:r>
          </w:p>
        </w:tc>
      </w:tr>
      <w:tr>
        <w:trPr>
          <w:trHeight w:val="5706"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、承诺人目前没有直接或间接通 过其直接或间接控制的其他经营 主体从事与银江股份及亚太安迅 </w:t>
            </w:r>
            <w:r>
              <w:rPr>
                <w:rFonts w:ascii="宋体" w:hAnsi="宋体" w:cs="宋体" w:eastAsia="宋体" w:hint="default"/>
                <w:spacing w:val="-6"/>
                <w:sz w:val="18"/>
                <w:szCs w:val="18"/>
              </w:rPr>
              <w:t>业务相同或类似的业务，或有其它</w:t>
            </w:r>
            <w:r>
              <w:rPr>
                <w:rFonts w:ascii="宋体" w:hAnsi="宋体" w:cs="宋体" w:eastAsia="宋体" w:hint="default"/>
                <w:sz w:val="18"/>
                <w:szCs w:val="18"/>
              </w:rPr>
              <w:t> 任何与银江股份或亚太安迅存在 同业竞争的情形。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 成后，承诺人将不会以自营方式 直接或间接通过直接或间接控制 </w:t>
            </w:r>
            <w:r>
              <w:rPr>
                <w:rFonts w:ascii="宋体" w:hAnsi="宋体" w:cs="宋体" w:eastAsia="宋体" w:hint="default"/>
                <w:spacing w:val="-6"/>
                <w:sz w:val="18"/>
                <w:szCs w:val="18"/>
              </w:rPr>
              <w:t>的其他经营主体开展、经营与银江</w:t>
            </w:r>
            <w:r>
              <w:rPr>
                <w:rFonts w:ascii="宋体" w:hAnsi="宋体" w:cs="宋体" w:eastAsia="宋体" w:hint="default"/>
                <w:sz w:val="18"/>
                <w:szCs w:val="18"/>
              </w:rPr>
              <w:t> 股份或亚太安迅业务相同或相似 </w:t>
            </w:r>
            <w:r>
              <w:rPr>
                <w:rFonts w:ascii="宋体" w:hAnsi="宋体" w:cs="宋体" w:eastAsia="宋体" w:hint="default"/>
                <w:spacing w:val="-6"/>
                <w:sz w:val="18"/>
                <w:szCs w:val="18"/>
              </w:rPr>
              <w:t>的业务；不以银江股份或亚太安迅</w:t>
            </w:r>
            <w:r>
              <w:rPr>
                <w:rFonts w:ascii="宋体" w:hAnsi="宋体" w:cs="宋体" w:eastAsia="宋体" w:hint="default"/>
                <w:sz w:val="18"/>
                <w:szCs w:val="18"/>
              </w:rPr>
              <w:t> 的名义为银江股份或亚太安迅现 有客户提供与银江股份或亚太安 迅业务相同或类似的商品或服务 避免产生任何同业竞争情形。</w:t>
            </w:r>
            <w:r>
              <w:rPr>
                <w:rFonts w:ascii="Times New Roman" w:hAnsi="Times New Roman" w:cs="Times New Roman" w:eastAsia="Times New Roman" w:hint="default"/>
                <w:sz w:val="18"/>
                <w:szCs w:val="18"/>
              </w:rPr>
              <w:t>3</w:t>
            </w:r>
            <w:r>
              <w:rPr>
                <w:rFonts w:ascii="宋体" w:hAnsi="宋体" w:cs="宋体" w:eastAsia="宋体" w:hint="default"/>
                <w:sz w:val="18"/>
                <w:szCs w:val="18"/>
              </w:rPr>
              <w:t>、 如因承诺人违反上述承诺而给银 </w:t>
            </w:r>
            <w:r>
              <w:rPr>
                <w:rFonts w:ascii="宋体" w:hAnsi="宋体" w:cs="宋体" w:eastAsia="宋体" w:hint="default"/>
                <w:spacing w:val="-6"/>
                <w:sz w:val="18"/>
                <w:szCs w:val="18"/>
              </w:rPr>
              <w:t>江股份或亚太安迅造成损失的，应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承担全部赔偿。</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本人将按照《中华人民共和国公司</w:t>
            </w:r>
            <w:r>
              <w:rPr>
                <w:rFonts w:ascii="宋体" w:hAnsi="宋体" w:cs="宋体" w:eastAsia="宋体" w:hint="default"/>
                <w:sz w:val="18"/>
                <w:szCs w:val="18"/>
              </w:rPr>
              <w:t> </w:t>
            </w:r>
            <w:r>
              <w:rPr>
                <w:rFonts w:ascii="宋体" w:hAnsi="宋体" w:cs="宋体" w:eastAsia="宋体" w:hint="default"/>
                <w:spacing w:val="-6"/>
                <w:sz w:val="18"/>
                <w:szCs w:val="18"/>
              </w:rPr>
              <w:t>法》等法律法规以及银江股份有限</w:t>
            </w:r>
            <w:r>
              <w:rPr>
                <w:rFonts w:ascii="宋体" w:hAnsi="宋体" w:cs="宋体" w:eastAsia="宋体" w:hint="default"/>
                <w:sz w:val="18"/>
                <w:szCs w:val="18"/>
              </w:rPr>
              <w:t> </w:t>
            </w:r>
            <w:r>
              <w:rPr>
                <w:rFonts w:ascii="宋体" w:hAnsi="宋体" w:cs="宋体" w:eastAsia="宋体" w:hint="default"/>
                <w:spacing w:val="-6"/>
                <w:sz w:val="18"/>
                <w:szCs w:val="18"/>
              </w:rPr>
              <w:t>公司《公司章程》的有关规定行使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股东权利；在股东大会对涉及本人</w:t>
            </w:r>
            <w:r>
              <w:rPr>
                <w:rFonts w:ascii="宋体" w:hAnsi="宋体" w:cs="宋体" w:eastAsia="宋体" w:hint="default"/>
                <w:sz w:val="18"/>
                <w:szCs w:val="18"/>
              </w:rPr>
              <w:t> </w:t>
            </w:r>
            <w:r>
              <w:rPr>
                <w:rFonts w:ascii="宋体" w:hAnsi="宋体" w:cs="宋体" w:eastAsia="宋体" w:hint="default"/>
                <w:spacing w:val="-6"/>
                <w:sz w:val="18"/>
                <w:szCs w:val="18"/>
              </w:rPr>
              <w:t>的关联交易进行表决时，履行回避</w:t>
            </w:r>
            <w:r>
              <w:rPr>
                <w:rFonts w:ascii="宋体" w:hAnsi="宋体" w:cs="宋体" w:eastAsia="宋体" w:hint="default"/>
                <w:sz w:val="18"/>
                <w:szCs w:val="18"/>
              </w:rPr>
              <w:t> </w:t>
            </w:r>
            <w:r>
              <w:rPr>
                <w:rFonts w:ascii="宋体" w:hAnsi="宋体" w:cs="宋体" w:eastAsia="宋体" w:hint="default"/>
                <w:spacing w:val="-6"/>
                <w:sz w:val="18"/>
                <w:szCs w:val="18"/>
              </w:rPr>
              <w:t>表决的义务。本人将杜绝一切非法</w:t>
            </w:r>
            <w:r>
              <w:rPr>
                <w:rFonts w:ascii="宋体" w:hAnsi="宋体" w:cs="宋体" w:eastAsia="宋体" w:hint="default"/>
                <w:sz w:val="18"/>
                <w:szCs w:val="18"/>
              </w:rPr>
              <w:t> </w:t>
            </w:r>
            <w:r>
              <w:rPr>
                <w:rFonts w:ascii="宋体" w:hAnsi="宋体" w:cs="宋体" w:eastAsia="宋体" w:hint="default"/>
                <w:spacing w:val="-6"/>
                <w:sz w:val="18"/>
                <w:szCs w:val="18"/>
              </w:rPr>
              <w:t>占用银江股份有限公司的资金、资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产的行为、在任何情况下，不要求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银江股份有限公司向本人及本人 投资或控制的其他企业提供任何</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799988pt;margin-top:578.73999pt;width:40.950pt;height:17.6pt;mso-position-horizontal-relative:page;mso-position-vertical-relative:page;z-index:-1157008" coordorigin="7376,11575" coordsize="819,352">
            <v:shape style="position:absolute;left:7376;top:11575;width:819;height:352" coordorigin="7376,11575" coordsize="819,352" path="m7376,11926l8195,11926,8195,11575,7376,11575,7376,119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850"/>
        <w:gridCol w:w="2670"/>
        <w:gridCol w:w="875"/>
        <w:gridCol w:w="850"/>
        <w:gridCol w:w="1632"/>
      </w:tblGrid>
      <w:tr>
        <w:trPr>
          <w:trHeight w:val="4731"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6"/>
                <w:sz w:val="18"/>
                <w:szCs w:val="18"/>
              </w:rPr>
              <w:t>形式的担保。本人将尽可能地避免</w:t>
            </w:r>
            <w:r>
              <w:rPr>
                <w:rFonts w:ascii="宋体" w:hAnsi="宋体" w:cs="宋体" w:eastAsia="宋体" w:hint="default"/>
                <w:sz w:val="18"/>
                <w:szCs w:val="18"/>
              </w:rPr>
              <w:t> 和减少与银江股份有限公司的关 </w:t>
            </w:r>
            <w:r>
              <w:rPr>
                <w:rFonts w:ascii="宋体" w:hAnsi="宋体" w:cs="宋体" w:eastAsia="宋体" w:hint="default"/>
                <w:spacing w:val="-6"/>
                <w:sz w:val="18"/>
                <w:szCs w:val="18"/>
              </w:rPr>
              <w:t>联交易；对无法避免或者有合理原</w:t>
            </w:r>
            <w:r>
              <w:rPr>
                <w:rFonts w:ascii="宋体" w:hAnsi="宋体" w:cs="宋体" w:eastAsia="宋体" w:hint="default"/>
                <w:sz w:val="18"/>
                <w:szCs w:val="18"/>
              </w:rPr>
              <w:t> </w:t>
            </w:r>
            <w:r>
              <w:rPr>
                <w:rFonts w:ascii="宋体" w:hAnsi="宋体" w:cs="宋体" w:eastAsia="宋体" w:hint="default"/>
                <w:spacing w:val="-6"/>
                <w:sz w:val="18"/>
                <w:szCs w:val="18"/>
              </w:rPr>
              <w:t>因而发生的关联交易，将遵循市场</w:t>
            </w:r>
            <w:r>
              <w:rPr>
                <w:rFonts w:ascii="宋体" w:hAnsi="宋体" w:cs="宋体" w:eastAsia="宋体" w:hint="default"/>
                <w:sz w:val="18"/>
                <w:szCs w:val="18"/>
              </w:rPr>
              <w:t> </w:t>
            </w:r>
            <w:r>
              <w:rPr>
                <w:rFonts w:ascii="宋体" w:hAnsi="宋体" w:cs="宋体" w:eastAsia="宋体" w:hint="default"/>
                <w:spacing w:val="-6"/>
                <w:sz w:val="18"/>
                <w:szCs w:val="18"/>
              </w:rPr>
              <w:t>公正、公平、公开的原则，并依法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签订协议，履行合法程序，按照银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江股份有限公司《公司章程》、有</w:t>
            </w:r>
            <w:r>
              <w:rPr>
                <w:rFonts w:ascii="宋体" w:hAnsi="宋体" w:cs="宋体" w:eastAsia="宋体" w:hint="default"/>
                <w:sz w:val="18"/>
                <w:szCs w:val="18"/>
              </w:rPr>
              <w:t> </w:t>
            </w:r>
            <w:r>
              <w:rPr>
                <w:rFonts w:ascii="宋体" w:hAnsi="宋体" w:cs="宋体" w:eastAsia="宋体" w:hint="default"/>
                <w:spacing w:val="-6"/>
                <w:sz w:val="18"/>
                <w:szCs w:val="18"/>
              </w:rPr>
              <w:t>关法律法规和《上市规则》等有关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规定履行信息披露义务和办理有 </w:t>
            </w:r>
            <w:r>
              <w:rPr>
                <w:rFonts w:ascii="宋体" w:hAnsi="宋体" w:cs="宋体" w:eastAsia="宋体" w:hint="default"/>
                <w:spacing w:val="-6"/>
                <w:sz w:val="18"/>
                <w:szCs w:val="18"/>
              </w:rPr>
              <w:t>关报批程序，保证不通过关联交易</w:t>
            </w:r>
            <w:r>
              <w:rPr>
                <w:rFonts w:ascii="宋体" w:hAnsi="宋体" w:cs="宋体" w:eastAsia="宋体" w:hint="default"/>
                <w:sz w:val="18"/>
                <w:szCs w:val="18"/>
              </w:rPr>
              <w:t> 损害银江股份有限公司及其他股 </w:t>
            </w:r>
            <w:r>
              <w:rPr>
                <w:rFonts w:ascii="宋体" w:hAnsi="宋体" w:cs="宋体" w:eastAsia="宋体" w:hint="default"/>
                <w:spacing w:val="-6"/>
                <w:sz w:val="18"/>
                <w:szCs w:val="18"/>
              </w:rPr>
              <w:t>东的合法权益。如因本人未履行本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承诺函所作的承诺而给银江股份 </w:t>
            </w:r>
            <w:r>
              <w:rPr>
                <w:rFonts w:ascii="宋体" w:hAnsi="宋体" w:cs="宋体" w:eastAsia="宋体" w:hint="default"/>
                <w:spacing w:val="-6"/>
                <w:sz w:val="18"/>
                <w:szCs w:val="18"/>
              </w:rPr>
              <w:t>有限公司造成一切损失和后果，本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人承担赔偿责任。</w:t>
            </w:r>
          </w:p>
        </w:tc>
        <w:tc>
          <w:tcPr>
            <w:tcW w:w="8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本人现为亚太安迅实际控制人，亚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太安迅曾于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年设立红筹架构</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成为外企企业并于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年解除红 </w:t>
            </w:r>
            <w:r>
              <w:rPr>
                <w:rFonts w:ascii="宋体" w:hAnsi="宋体" w:cs="宋体" w:eastAsia="宋体" w:hint="default"/>
                <w:spacing w:val="-6"/>
                <w:sz w:val="18"/>
                <w:szCs w:val="18"/>
              </w:rPr>
              <w:t>筹架构重新转为内资企业，在红筹</w:t>
            </w:r>
            <w:r>
              <w:rPr>
                <w:rFonts w:ascii="宋体" w:hAnsi="宋体" w:cs="宋体" w:eastAsia="宋体" w:hint="default"/>
                <w:sz w:val="18"/>
                <w:szCs w:val="18"/>
              </w:rPr>
              <w:t> </w:t>
            </w:r>
            <w:r>
              <w:rPr>
                <w:rFonts w:ascii="宋体" w:hAnsi="宋体" w:cs="宋体" w:eastAsia="宋体" w:hint="default"/>
                <w:spacing w:val="-6"/>
                <w:sz w:val="18"/>
                <w:szCs w:val="18"/>
              </w:rPr>
              <w:t>架构期间，亚太安迅并未实际享受</w:t>
            </w:r>
            <w:r>
              <w:rPr>
                <w:rFonts w:ascii="宋体" w:hAnsi="宋体" w:cs="宋体" w:eastAsia="宋体" w:hint="default"/>
                <w:sz w:val="18"/>
                <w:szCs w:val="18"/>
              </w:rPr>
              <w:t> </w:t>
            </w:r>
            <w:r>
              <w:rPr>
                <w:rFonts w:ascii="宋体" w:hAnsi="宋体" w:cs="宋体" w:eastAsia="宋体" w:hint="default"/>
                <w:spacing w:val="-6"/>
                <w:sz w:val="18"/>
                <w:szCs w:val="18"/>
              </w:rPr>
              <w:t>外资企业企业所得税优惠政策，同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事红筹架构解除时，亚太安迅已按</w:t>
            </w:r>
            <w:r>
              <w:rPr>
                <w:rFonts w:ascii="宋体" w:hAnsi="宋体" w:cs="宋体" w:eastAsia="宋体" w:hint="default"/>
                <w:sz w:val="18"/>
                <w:szCs w:val="18"/>
              </w:rPr>
              <w:t> 相关规定为境外股东代扣代缴了 </w:t>
            </w:r>
            <w:r>
              <w:rPr>
                <w:rFonts w:ascii="宋体" w:hAnsi="宋体" w:cs="宋体" w:eastAsia="宋体" w:hint="default"/>
                <w:spacing w:val="-6"/>
                <w:sz w:val="18"/>
                <w:szCs w:val="18"/>
              </w:rPr>
              <w:t>企业所得税。对于亚太安迅设立及</w:t>
            </w:r>
            <w:r>
              <w:rPr>
                <w:rFonts w:ascii="宋体" w:hAnsi="宋体" w:cs="宋体" w:eastAsia="宋体" w:hint="default"/>
                <w:sz w:val="18"/>
                <w:szCs w:val="18"/>
              </w:rPr>
              <w:t> </w:t>
            </w:r>
            <w:r>
              <w:rPr>
                <w:rFonts w:ascii="宋体" w:hAnsi="宋体" w:cs="宋体" w:eastAsia="宋体" w:hint="default"/>
                <w:spacing w:val="-6"/>
                <w:sz w:val="18"/>
                <w:szCs w:val="18"/>
              </w:rPr>
              <w:t>解除红筹架构的整个过程中，各相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关主体可能存在未来发生补缴相 </w:t>
            </w:r>
            <w:r>
              <w:rPr>
                <w:rFonts w:ascii="宋体" w:hAnsi="宋体" w:cs="宋体" w:eastAsia="宋体" w:hint="default"/>
                <w:spacing w:val="-6"/>
                <w:sz w:val="18"/>
                <w:szCs w:val="18"/>
              </w:rPr>
              <w:t>关税收风险，而因此给亚太安迅带</w:t>
            </w:r>
            <w:r>
              <w:rPr>
                <w:rFonts w:ascii="宋体" w:hAnsi="宋体" w:cs="宋体" w:eastAsia="宋体" w:hint="default"/>
                <w:sz w:val="18"/>
                <w:szCs w:val="18"/>
              </w:rPr>
              <w:t> </w:t>
            </w:r>
            <w:r>
              <w:rPr>
                <w:rFonts w:ascii="宋体" w:hAnsi="宋体" w:cs="宋体" w:eastAsia="宋体" w:hint="default"/>
                <w:spacing w:val="-6"/>
                <w:sz w:val="18"/>
                <w:szCs w:val="18"/>
              </w:rPr>
              <w:t>来的任何经济损失（包括行政处罚</w:t>
            </w:r>
            <w:r>
              <w:rPr>
                <w:rFonts w:ascii="宋体" w:hAnsi="宋体" w:cs="宋体" w:eastAsia="宋体" w:hint="default"/>
                <w:sz w:val="18"/>
                <w:szCs w:val="18"/>
              </w:rPr>
              <w:t> </w:t>
            </w:r>
            <w:r>
              <w:rPr>
                <w:rFonts w:ascii="宋体" w:hAnsi="宋体" w:cs="宋体" w:eastAsia="宋体" w:hint="default"/>
                <w:spacing w:val="-6"/>
                <w:sz w:val="18"/>
                <w:szCs w:val="18"/>
              </w:rPr>
              <w:t>损失），本人愿意承担全额赔偿责</w:t>
            </w:r>
            <w:r>
              <w:rPr>
                <w:rFonts w:ascii="宋体" w:hAnsi="宋体" w:cs="宋体" w:eastAsia="宋体" w:hint="default"/>
                <w:sz w:val="18"/>
                <w:szCs w:val="18"/>
              </w:rPr>
              <w:t> 任。</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962"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本人愿意承担亚太安迅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年底 解除其历史上红筹架构所涉及相 </w:t>
            </w:r>
            <w:r>
              <w:rPr>
                <w:rFonts w:ascii="宋体" w:hAnsi="宋体" w:cs="宋体" w:eastAsia="宋体" w:hint="default"/>
                <w:spacing w:val="-3"/>
                <w:sz w:val="18"/>
                <w:szCs w:val="18"/>
              </w:rPr>
              <w:t>关税务、外汇管理等方面的风险，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承担亚太安迅因红筹架构解除涉</w:t>
            </w:r>
            <w:r>
              <w:rPr>
                <w:rFonts w:ascii="宋体" w:hAnsi="宋体" w:cs="宋体" w:eastAsia="宋体" w:hint="default"/>
                <w:sz w:val="18"/>
                <w:szCs w:val="18"/>
              </w:rPr>
              <w:t> </w:t>
            </w:r>
            <w:r>
              <w:rPr>
                <w:rFonts w:ascii="宋体" w:hAnsi="宋体" w:cs="宋体" w:eastAsia="宋体" w:hint="default"/>
                <w:spacing w:val="-6"/>
                <w:sz w:val="18"/>
                <w:szCs w:val="18"/>
              </w:rPr>
              <w:t>及相关税务、外汇管理等方面风险</w:t>
            </w:r>
            <w:r>
              <w:rPr>
                <w:rFonts w:ascii="宋体" w:hAnsi="宋体" w:cs="宋体" w:eastAsia="宋体" w:hint="default"/>
                <w:sz w:val="18"/>
                <w:szCs w:val="18"/>
              </w:rPr>
              <w:t> 所致的损失。</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23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重组交易期间，本人及本人控制的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企业，公司及其他经济组织不会利</w:t>
            </w:r>
            <w:r>
              <w:rPr>
                <w:rFonts w:ascii="宋体" w:hAnsi="宋体" w:cs="宋体" w:eastAsia="宋体" w:hint="default"/>
                <w:sz w:val="18"/>
                <w:szCs w:val="18"/>
              </w:rPr>
              <w:t> </w:t>
            </w:r>
            <w:r>
              <w:rPr>
                <w:rFonts w:ascii="宋体" w:hAnsi="宋体" w:cs="宋体" w:eastAsia="宋体" w:hint="default"/>
                <w:spacing w:val="-6"/>
                <w:sz w:val="18"/>
                <w:szCs w:val="18"/>
              </w:rPr>
              <w:t>用控股地位或股东身份、职务便利</w:t>
            </w:r>
            <w:r>
              <w:rPr>
                <w:rFonts w:ascii="宋体" w:hAnsi="宋体" w:cs="宋体" w:eastAsia="宋体" w:hint="default"/>
                <w:sz w:val="18"/>
                <w:szCs w:val="18"/>
              </w:rPr>
              <w:t> </w:t>
            </w:r>
            <w:r>
              <w:rPr>
                <w:rFonts w:ascii="宋体" w:hAnsi="宋体" w:cs="宋体" w:eastAsia="宋体" w:hint="default"/>
                <w:spacing w:val="-6"/>
                <w:sz w:val="18"/>
                <w:szCs w:val="18"/>
              </w:rPr>
              <w:t>以借款、代偿债务、代垫款项或者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其他方式占用亚太安迅及其子公 </w:t>
            </w:r>
            <w:r>
              <w:rPr>
                <w:rFonts w:ascii="宋体" w:hAnsi="宋体" w:cs="宋体" w:eastAsia="宋体" w:hint="default"/>
                <w:spacing w:val="-6"/>
                <w:sz w:val="18"/>
                <w:szCs w:val="18"/>
              </w:rPr>
              <w:t>司之资金；重组完成后，本人将遵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守并督促亚太安迅严格执行银江</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57"/>
              <w:jc w:val="both"/>
              <w:rPr>
                <w:rFonts w:ascii="宋体" w:hAnsi="宋体" w:cs="宋体" w:eastAsia="宋体" w:hint="default"/>
                <w:sz w:val="18"/>
                <w:szCs w:val="18"/>
              </w:rPr>
            </w:pPr>
            <w:r>
              <w:rPr>
                <w:rFonts w:ascii="宋体" w:hAnsi="宋体" w:cs="宋体" w:eastAsia="宋体" w:hint="default"/>
                <w:sz w:val="18"/>
                <w:szCs w:val="18"/>
              </w:rPr>
              <w:t>李欣未遵守银江股 份货币资金管理制 度，违反了承诺。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4.360001pt;margin-top:333.139984pt;width:166.55pt;height:46.8pt;mso-position-horizontal-relative:page;mso-position-vertical-relative:page;z-index:-115696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江股份或亚太安迅造成损失的，</w:t>
                  </w:r>
                </w:p>
              </w:txbxContent>
            </v:textbox>
            <w10:wrap type="none"/>
          </v:shape>
        </w:pict>
      </w:r>
      <w:r>
        <w:rPr/>
        <w:pict>
          <v:shape style="position:absolute;margin-left:334.466003pt;margin-top:509.73999pt;width:76.45pt;height:46.8pt;mso-position-horizontal-relative:page;mso-position-vertical-relative:page;z-index:-1156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颜廷健、</w:t>
                  </w:r>
                </w:p>
              </w:txbxContent>
            </v:textbox>
            <w10:wrap type="none"/>
          </v:shape>
        </w:pict>
      </w:r>
      <w:r>
        <w:rPr/>
        <w:pict>
          <v:group style="position:absolute;margin-left:367.660004pt;margin-top:251.11998pt;width:43.25pt;height:46.8pt;mso-position-horizontal-relative:page;mso-position-vertical-relative:page;z-index:-1156912" coordorigin="7353,5022" coordsize="865,936">
            <v:shape style="position:absolute;left:7353;top:5022;width:865;height:936" coordorigin="7353,5022" coordsize="865,936" path="m7353,5958l8218,5958,8218,5022,7353,5022,7353,5958xe" filled="true" fillcolor="#ffffff" stroked="false">
              <v:path arrowok="t"/>
              <v:fill type="solid"/>
            </v:shape>
            <w10:wrap type="none"/>
          </v:group>
        </w:pict>
      </w:r>
      <w:r>
        <w:rPr/>
        <w:pict>
          <v:group style="position:absolute;margin-left:367.660004pt;margin-top:333.139984pt;width:43.25pt;height:94.1pt;mso-position-horizontal-relative:page;mso-position-vertical-relative:page;z-index:-1156888" coordorigin="7353,6663" coordsize="865,1882">
            <v:group style="position:absolute;left:7353;top:6663;width:865;height:936" coordorigin="7353,6663" coordsize="865,936">
              <v:shape style="position:absolute;left:7353;top:6663;width:865;height:936" coordorigin="7353,6663" coordsize="865,936" path="m7353,7599l8218,7599,8218,6663,7353,6663,7353,7599xe" filled="true" fillcolor="#ffffff" stroked="false">
                <v:path arrowok="t"/>
                <v:fill type="solid"/>
              </v:shape>
            </v:group>
            <v:group style="position:absolute;left:7353;top:7608;width:865;height:937" coordorigin="7353,7608" coordsize="865,937">
              <v:shape style="position:absolute;left:7353;top:7608;width:865;height:937" coordorigin="7353,7608" coordsize="865,937" path="m7353,8545l8218,8545,8218,7608,7353,7608,7353,85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850"/>
        <w:gridCol w:w="2670"/>
        <w:gridCol w:w="875"/>
        <w:gridCol w:w="850"/>
        <w:gridCol w:w="1630"/>
      </w:tblGrid>
      <w:tr>
        <w:trPr>
          <w:trHeight w:val="1298"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6"/>
                <w:sz w:val="18"/>
                <w:szCs w:val="18"/>
              </w:rPr>
              <w:t>股份货币资金管理制度，不利用职</w:t>
            </w:r>
            <w:r>
              <w:rPr>
                <w:rFonts w:ascii="宋体" w:hAnsi="宋体" w:cs="宋体" w:eastAsia="宋体" w:hint="default"/>
                <w:sz w:val="18"/>
                <w:szCs w:val="18"/>
              </w:rPr>
              <w:t> </w:t>
            </w:r>
            <w:r>
              <w:rPr>
                <w:rFonts w:ascii="宋体" w:hAnsi="宋体" w:cs="宋体" w:eastAsia="宋体" w:hint="default"/>
                <w:spacing w:val="-6"/>
                <w:sz w:val="18"/>
                <w:szCs w:val="18"/>
              </w:rPr>
              <w:t>务便利以借款、代偿债务、代垫款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项或者其他方式占用亚太安迅及 其子公司之资金。</w:t>
            </w:r>
          </w:p>
        </w:tc>
        <w:tc>
          <w:tcPr>
            <w:tcW w:w="8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left"/>
              <w:rPr>
                <w:rFonts w:ascii="宋体" w:hAnsi="宋体" w:cs="宋体" w:eastAsia="宋体" w:hint="default"/>
                <w:sz w:val="18"/>
                <w:szCs w:val="18"/>
              </w:rPr>
            </w:pPr>
            <w:r>
              <w:rPr>
                <w:rFonts w:ascii="宋体" w:hAnsi="宋体" w:cs="宋体" w:eastAsia="宋体" w:hint="default"/>
                <w:spacing w:val="-6"/>
                <w:sz w:val="18"/>
                <w:szCs w:val="18"/>
              </w:rPr>
              <w:t>本次交易完成后，本人会将持有的</w:t>
            </w:r>
            <w:r>
              <w:rPr>
                <w:rFonts w:ascii="宋体" w:hAnsi="宋体" w:cs="宋体" w:eastAsia="宋体" w:hint="default"/>
                <w:sz w:val="18"/>
                <w:szCs w:val="18"/>
              </w:rPr>
              <w:t> 城城速通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的股权转让给亚太 </w:t>
            </w:r>
            <w:r>
              <w:rPr>
                <w:rFonts w:ascii="宋体" w:hAnsi="宋体" w:cs="宋体" w:eastAsia="宋体" w:hint="default"/>
                <w:spacing w:val="-8"/>
                <w:sz w:val="18"/>
                <w:szCs w:val="18"/>
              </w:rPr>
              <w:t>安迅，并在本次交易完成后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内办理完成工商变更手续。如本人</w:t>
            </w:r>
            <w:r>
              <w:rPr>
                <w:rFonts w:ascii="宋体" w:hAnsi="宋体" w:cs="宋体" w:eastAsia="宋体" w:hint="default"/>
                <w:sz w:val="18"/>
                <w:szCs w:val="18"/>
              </w:rPr>
              <w:t> 违反上述承诺而给银江股份或亚 </w:t>
            </w:r>
            <w:r>
              <w:rPr>
                <w:rFonts w:ascii="宋体" w:hAnsi="宋体" w:cs="宋体" w:eastAsia="宋体" w:hint="default"/>
                <w:spacing w:val="-6"/>
                <w:sz w:val="18"/>
                <w:szCs w:val="18"/>
              </w:rPr>
              <w:t>太安迅造成损失的，将承担全部赔</w:t>
            </w:r>
            <w:r>
              <w:rPr>
                <w:rFonts w:ascii="宋体" w:hAnsi="宋体" w:cs="宋体" w:eastAsia="宋体" w:hint="default"/>
                <w:sz w:val="18"/>
                <w:szCs w:val="18"/>
              </w:rPr>
              <w:t> 偿责任。</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13"/>
                <w:sz w:val="18"/>
                <w:szCs w:val="18"/>
              </w:rPr>
              <w:t>年内，本人将在</w:t>
            </w:r>
            <w:r>
              <w:rPr>
                <w:rFonts w:ascii="宋体" w:hAnsi="宋体" w:cs="宋体" w:eastAsia="宋体" w:hint="default"/>
                <w:sz w:val="18"/>
                <w:szCs w:val="18"/>
              </w:rPr>
              <w:t> 亚太安迅继续担任经营管理职务 </w:t>
            </w:r>
            <w:r>
              <w:rPr>
                <w:rFonts w:ascii="宋体" w:hAnsi="宋体" w:cs="宋体" w:eastAsia="宋体" w:hint="default"/>
                <w:spacing w:val="-6"/>
                <w:sz w:val="18"/>
                <w:szCs w:val="18"/>
              </w:rPr>
              <w:t>不主动提出离职（经银江股份书面</w:t>
            </w:r>
            <w:r>
              <w:rPr>
                <w:rFonts w:ascii="宋体" w:hAnsi="宋体" w:cs="宋体" w:eastAsia="宋体" w:hint="default"/>
                <w:sz w:val="18"/>
                <w:szCs w:val="18"/>
              </w:rPr>
              <w:t> </w:t>
            </w:r>
            <w:r>
              <w:rPr>
                <w:rFonts w:ascii="宋体" w:hAnsi="宋体" w:cs="宋体" w:eastAsia="宋体" w:hint="default"/>
                <w:spacing w:val="-6"/>
                <w:sz w:val="18"/>
                <w:szCs w:val="18"/>
              </w:rPr>
              <w:t>批准的除外），并在任职期间勤勉</w:t>
            </w:r>
            <w:r>
              <w:rPr>
                <w:rFonts w:ascii="宋体" w:hAnsi="宋体" w:cs="宋体" w:eastAsia="宋体" w:hint="default"/>
                <w:sz w:val="18"/>
                <w:szCs w:val="18"/>
              </w:rPr>
              <w:t> </w:t>
            </w:r>
            <w:r>
              <w:rPr>
                <w:rFonts w:ascii="宋体" w:hAnsi="宋体" w:cs="宋体" w:eastAsia="宋体" w:hint="default"/>
                <w:spacing w:val="-6"/>
                <w:sz w:val="18"/>
                <w:szCs w:val="18"/>
              </w:rPr>
              <w:t>尽责，尽可能为亚太安迅创造最佳</w:t>
            </w:r>
            <w:r>
              <w:rPr>
                <w:rFonts w:ascii="宋体" w:hAnsi="宋体" w:cs="宋体" w:eastAsia="宋体" w:hint="default"/>
                <w:sz w:val="18"/>
                <w:szCs w:val="18"/>
              </w:rPr>
              <w:t> </w:t>
            </w:r>
            <w:r>
              <w:rPr>
                <w:rFonts w:ascii="宋体" w:hAnsi="宋体" w:cs="宋体" w:eastAsia="宋体" w:hint="default"/>
                <w:spacing w:val="-6"/>
                <w:sz w:val="18"/>
                <w:szCs w:val="18"/>
              </w:rPr>
              <w:t>业绩。如因本人违反上述承诺而给</w:t>
            </w:r>
            <w:r>
              <w:rPr>
                <w:rFonts w:ascii="宋体" w:hAnsi="宋体" w:cs="宋体" w:eastAsia="宋体" w:hint="default"/>
                <w:sz w:val="18"/>
                <w:szCs w:val="18"/>
              </w:rPr>
              <w:t> 银</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愿承担全部赔偿责任。</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5"/>
              <w:jc w:val="left"/>
              <w:rPr>
                <w:rFonts w:ascii="宋体" w:hAnsi="宋体" w:cs="宋体" w:eastAsia="宋体" w:hint="default"/>
                <w:sz w:val="18"/>
                <w:szCs w:val="18"/>
              </w:rPr>
            </w:pPr>
            <w:r>
              <w:rPr>
                <w:rFonts w:ascii="宋体" w:hAnsi="宋体" w:cs="宋体" w:eastAsia="宋体" w:hint="default"/>
                <w:sz w:val="18"/>
                <w:szCs w:val="18"/>
              </w:rPr>
              <w:t>李欣违反了该项承 诺</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本人承诺并确保，目前亚太安迅租</w:t>
            </w:r>
            <w:r>
              <w:rPr>
                <w:rFonts w:ascii="宋体" w:hAnsi="宋体" w:cs="宋体" w:eastAsia="宋体" w:hint="default"/>
                <w:sz w:val="18"/>
                <w:szCs w:val="18"/>
              </w:rPr>
              <w:t> 赁位于朝阳区三间房的租赁物业 </w:t>
            </w:r>
            <w:r>
              <w:rPr>
                <w:rFonts w:ascii="宋体" w:hAnsi="宋体" w:cs="宋体" w:eastAsia="宋体" w:hint="default"/>
                <w:spacing w:val="-6"/>
                <w:sz w:val="18"/>
                <w:szCs w:val="18"/>
              </w:rPr>
              <w:t>出租人未取得相应的房产证书，如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亚太安迅因租赁该物业而导致亚 </w:t>
            </w:r>
            <w:r>
              <w:rPr>
                <w:rFonts w:ascii="宋体" w:hAnsi="宋体" w:cs="宋体" w:eastAsia="宋体" w:hint="default"/>
                <w:spacing w:val="-6"/>
                <w:sz w:val="18"/>
                <w:szCs w:val="18"/>
              </w:rPr>
              <w:t>太安迅承受任何负责、直接经济损</w:t>
            </w:r>
            <w:r>
              <w:rPr>
                <w:rFonts w:ascii="宋体" w:hAnsi="宋体" w:cs="宋体" w:eastAsia="宋体" w:hint="default"/>
                <w:sz w:val="18"/>
                <w:szCs w:val="18"/>
              </w:rPr>
              <w:t> </w:t>
            </w:r>
            <w:r>
              <w:rPr>
                <w:rFonts w:ascii="宋体" w:hAnsi="宋体" w:cs="宋体" w:eastAsia="宋体" w:hint="default"/>
                <w:spacing w:val="-6"/>
                <w:sz w:val="18"/>
                <w:szCs w:val="18"/>
              </w:rPr>
              <w:t>失、承诺人将向亚太安迅全额予以</w:t>
            </w:r>
            <w:r>
              <w:rPr>
                <w:rFonts w:ascii="宋体" w:hAnsi="宋体" w:cs="宋体" w:eastAsia="宋体" w:hint="default"/>
                <w:sz w:val="18"/>
                <w:szCs w:val="18"/>
              </w:rPr>
              <w:t> </w:t>
            </w:r>
            <w:r>
              <w:rPr>
                <w:rFonts w:ascii="宋体" w:hAnsi="宋体" w:cs="宋体" w:eastAsia="宋体" w:hint="default"/>
                <w:spacing w:val="-6"/>
                <w:sz w:val="18"/>
                <w:szCs w:val="18"/>
              </w:rPr>
              <w:t>赔偿，避免给亚太安迅造成任何损</w:t>
            </w:r>
            <w:r>
              <w:rPr>
                <w:rFonts w:ascii="宋体" w:hAnsi="宋体" w:cs="宋体" w:eastAsia="宋体" w:hint="default"/>
                <w:sz w:val="18"/>
                <w:szCs w:val="18"/>
              </w:rPr>
              <w:t> 失。</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在本次交易交割前，亚太安迅核心</w:t>
            </w:r>
            <w:r>
              <w:rPr>
                <w:rFonts w:ascii="宋体" w:hAnsi="宋体" w:cs="宋体" w:eastAsia="宋体" w:hint="default"/>
                <w:sz w:val="18"/>
                <w:szCs w:val="18"/>
              </w:rPr>
              <w:t> </w:t>
            </w:r>
            <w:r>
              <w:rPr>
                <w:rFonts w:ascii="宋体" w:hAnsi="宋体" w:cs="宋体" w:eastAsia="宋体" w:hint="default"/>
                <w:spacing w:val="-8"/>
                <w:sz w:val="18"/>
                <w:szCs w:val="18"/>
              </w:rPr>
              <w:t>团队（包括但不限于李欣、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于海燕、张晔、候世勇、金鑫）应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与亚太安迅签订不短于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年期限 </w:t>
            </w:r>
            <w:r>
              <w:rPr>
                <w:rFonts w:ascii="宋体" w:hAnsi="宋体" w:cs="宋体" w:eastAsia="宋体" w:hint="default"/>
                <w:spacing w:val="-6"/>
                <w:sz w:val="18"/>
                <w:szCs w:val="18"/>
              </w:rPr>
              <w:t>的聘用合同，并出具承诺函承诺在</w:t>
            </w:r>
            <w:r>
              <w:rPr>
                <w:rFonts w:ascii="宋体" w:hAnsi="宋体" w:cs="宋体" w:eastAsia="宋体" w:hint="default"/>
                <w:sz w:val="18"/>
                <w:szCs w:val="18"/>
              </w:rPr>
              <w:t> 本次交易后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年内将不主动从亚 </w:t>
            </w:r>
            <w:r>
              <w:rPr>
                <w:rFonts w:ascii="宋体" w:hAnsi="宋体" w:cs="宋体" w:eastAsia="宋体" w:hint="default"/>
                <w:spacing w:val="-6"/>
                <w:sz w:val="18"/>
                <w:szCs w:val="18"/>
              </w:rPr>
              <w:t>太安迅离职（经甲方书面批准的除</w:t>
            </w:r>
            <w:r>
              <w:rPr>
                <w:rFonts w:ascii="宋体" w:hAnsi="宋体" w:cs="宋体" w:eastAsia="宋体" w:hint="default"/>
                <w:sz w:val="18"/>
                <w:szCs w:val="18"/>
              </w:rPr>
              <w:t> </w:t>
            </w:r>
            <w:r>
              <w:rPr>
                <w:rFonts w:ascii="宋体" w:hAnsi="宋体" w:cs="宋体" w:eastAsia="宋体" w:hint="default"/>
                <w:spacing w:val="-30"/>
                <w:sz w:val="18"/>
                <w:szCs w:val="18"/>
              </w:rPr>
              <w:t>外）。</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43.25pt;height:46.8pt;mso-position-horizontal-relative:char;mso-position-vertical-relative:line" coordorigin="0,0" coordsize="865,936">
                  <v:group style="position:absolute;left:0;top:0;width:865;height:936" coordorigin="0,0" coordsize="865,936">
                    <v:shape style="position:absolute;left:0;top:0;width:865;height:936" coordorigin="0,0" coordsize="865,936" path="m0,936l864,936,86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5"/>
              <w:jc w:val="left"/>
              <w:rPr>
                <w:rFonts w:ascii="宋体" w:hAnsi="宋体" w:cs="宋体" w:eastAsia="宋体" w:hint="default"/>
                <w:sz w:val="18"/>
                <w:szCs w:val="18"/>
              </w:rPr>
            </w:pPr>
            <w:r>
              <w:rPr>
                <w:rFonts w:ascii="宋体" w:hAnsi="宋体" w:cs="宋体" w:eastAsia="宋体" w:hint="default"/>
                <w:sz w:val="18"/>
                <w:szCs w:val="18"/>
              </w:rPr>
              <w:t>本次交易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于海燕未经公司批 </w:t>
            </w:r>
            <w:r>
              <w:rPr>
                <w:rFonts w:ascii="宋体" w:hAnsi="宋体" w:cs="宋体" w:eastAsia="宋体" w:hint="default"/>
                <w:spacing w:val="-6"/>
                <w:sz w:val="18"/>
                <w:szCs w:val="18"/>
              </w:rPr>
              <w:t>准，在承诺期内擅自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离职，违反了承诺。 截至本报告出具日， 公司与于海燕就亚 太安讯工作交接问 题进行了妥善处理。</w:t>
            </w:r>
          </w:p>
        </w:tc>
      </w:tr>
      <w:tr>
        <w:trPr>
          <w:trHeight w:val="254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承诺亚太安讯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和 </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年实现的净利润（扣除非</w:t>
            </w:r>
            <w:r>
              <w:rPr>
                <w:rFonts w:ascii="宋体" w:hAnsi="宋体" w:cs="宋体" w:eastAsia="宋体" w:hint="default"/>
                <w:sz w:val="18"/>
                <w:szCs w:val="18"/>
              </w:rPr>
              <w:t> 经常性损益后归属于母公司所有 </w:t>
            </w:r>
            <w:r>
              <w:rPr>
                <w:rFonts w:ascii="宋体" w:hAnsi="宋体" w:cs="宋体" w:eastAsia="宋体" w:hint="default"/>
                <w:spacing w:val="-4"/>
                <w:sz w:val="18"/>
                <w:szCs w:val="18"/>
              </w:rPr>
              <w:t>者的净利润）分别不得低于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5,750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6,613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如亚太安讯对应的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2014</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年和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年的实际盈利数不足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4"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年度业 绩承 </w:t>
            </w:r>
            <w:r>
              <w:rPr>
                <w:rFonts w:ascii="宋体" w:hAnsi="宋体" w:cs="宋体" w:eastAsia="宋体" w:hint="default"/>
                <w:spacing w:val="-6"/>
                <w:sz w:val="18"/>
                <w:szCs w:val="18"/>
              </w:rPr>
              <w:t>诺未达预期，涉及股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份补偿事宜。李欣未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及时履行业绩补偿 承诺，违反了承诺。</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799988pt;margin-top:282.319977pt;width:40.950pt;height:17.6pt;mso-position-horizontal-relative:page;mso-position-vertical-relative:page;z-index:-1156864" coordorigin="7376,5646" coordsize="819,352">
            <v:shape style="position:absolute;left:7376;top:5646;width:819;height:352" coordorigin="7376,5646" coordsize="819,352" path="m7376,5998l8195,5998,8195,5646,7376,5646,7376,5998xe" filled="true" fillcolor="#ffffff" stroked="false">
              <v:path arrowok="t"/>
              <v:fill type="solid"/>
            </v:shape>
            <w10:wrap type="none"/>
          </v:group>
        </w:pict>
      </w:r>
      <w:r>
        <w:rPr/>
        <w:pict>
          <v:group style="position:absolute;margin-left:368.799988pt;margin-top:429.219971pt;width:40.950pt;height:17.650pt;mso-position-horizontal-relative:page;mso-position-vertical-relative:page;z-index:-1156840" coordorigin="7376,8584" coordsize="819,353">
            <v:shape style="position:absolute;left:7376;top:8584;width:819;height:353" coordorigin="7376,8584" coordsize="819,353" path="m7376,8937l8195,8937,8195,8584,7376,8584,7376,89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850"/>
        <w:gridCol w:w="2670"/>
        <w:gridCol w:w="875"/>
        <w:gridCol w:w="850"/>
        <w:gridCol w:w="1630"/>
      </w:tblGrid>
      <w:tr>
        <w:trPr>
          <w:trHeight w:val="674"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2"/>
              <w:jc w:val="left"/>
              <w:rPr>
                <w:rFonts w:ascii="宋体" w:hAnsi="宋体" w:cs="宋体" w:eastAsia="宋体" w:hint="default"/>
                <w:sz w:val="18"/>
                <w:szCs w:val="18"/>
              </w:rPr>
            </w:pPr>
            <w:r>
              <w:rPr>
                <w:rFonts w:ascii="宋体" w:hAnsi="宋体" w:cs="宋体" w:eastAsia="宋体" w:hint="default"/>
                <w:spacing w:val="-6"/>
                <w:sz w:val="18"/>
                <w:szCs w:val="18"/>
              </w:rPr>
              <w:t>年承诺盈利数的，李欣应当进行补</w:t>
            </w:r>
            <w:r>
              <w:rPr>
                <w:rFonts w:ascii="宋体" w:hAnsi="宋体" w:cs="宋体" w:eastAsia="宋体" w:hint="default"/>
                <w:sz w:val="18"/>
                <w:szCs w:val="18"/>
              </w:rPr>
              <w:t> 偿。</w:t>
            </w:r>
          </w:p>
        </w:tc>
        <w:tc>
          <w:tcPr>
            <w:tcW w:w="8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、本次交易 </w:t>
            </w:r>
            <w:r>
              <w:rPr>
                <w:rFonts w:ascii="宋体" w:hAnsi="宋体" w:cs="宋体" w:eastAsia="宋体" w:hint="default"/>
                <w:sz w:val="18"/>
                <w:szCs w:val="18"/>
              </w:rPr>
              <w:t>完成后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宋体" w:hAnsi="宋体" w:cs="宋体" w:eastAsia="宋体" w:hint="default"/>
                <w:spacing w:val="-15"/>
                <w:sz w:val="18"/>
                <w:szCs w:val="18"/>
              </w:rPr>
              <w:t>内，本</w:t>
            </w:r>
            <w:r>
              <w:rPr>
                <w:rFonts w:ascii="宋体" w:hAnsi="宋体" w:cs="宋体" w:eastAsia="宋体" w:hint="default"/>
                <w:sz w:val="18"/>
                <w:szCs w:val="18"/>
              </w:rPr>
              <w:t> 人将在亚太安讯继续担任经营管 </w:t>
            </w:r>
            <w:r>
              <w:rPr>
                <w:rFonts w:ascii="宋体" w:hAnsi="宋体" w:cs="宋体" w:eastAsia="宋体" w:hint="default"/>
                <w:spacing w:val="-6"/>
                <w:sz w:val="18"/>
                <w:szCs w:val="18"/>
              </w:rPr>
              <w:t>理职务，不主动提出离职（经银江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股份书面批准的除外），并在任职</w:t>
            </w:r>
            <w:r>
              <w:rPr>
                <w:rFonts w:ascii="宋体" w:hAnsi="宋体" w:cs="宋体" w:eastAsia="宋体" w:hint="default"/>
                <w:sz w:val="18"/>
                <w:szCs w:val="18"/>
              </w:rPr>
              <w:t> </w:t>
            </w:r>
            <w:r>
              <w:rPr>
                <w:rFonts w:ascii="宋体" w:hAnsi="宋体" w:cs="宋体" w:eastAsia="宋体" w:hint="default"/>
                <w:spacing w:val="-6"/>
                <w:sz w:val="18"/>
                <w:szCs w:val="18"/>
              </w:rPr>
              <w:t>期间勤勉尽责，尽可能为亚太安讯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创造最佳业绩。</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本次交易 后 </w:t>
            </w:r>
            <w:r>
              <w:rPr>
                <w:rFonts w:ascii="Times New Roman" w:hAnsi="Times New Roman" w:cs="Times New Roman" w:eastAsia="Times New Roman" w:hint="default"/>
                <w:sz w:val="18"/>
                <w:szCs w:val="18"/>
              </w:rPr>
              <w:t>5 </w:t>
            </w:r>
            <w:r>
              <w:rPr>
                <w:rFonts w:ascii="宋体" w:hAnsi="宋体" w:cs="宋体" w:eastAsia="宋体" w:hint="default"/>
                <w:sz w:val="18"/>
                <w:szCs w:val="18"/>
              </w:rPr>
              <w:t>年 内</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于海燕未经公司批 </w:t>
            </w:r>
            <w:r>
              <w:rPr>
                <w:rFonts w:ascii="宋体" w:hAnsi="宋体" w:cs="宋体" w:eastAsia="宋体" w:hint="default"/>
                <w:spacing w:val="-6"/>
                <w:sz w:val="18"/>
                <w:szCs w:val="18"/>
              </w:rPr>
              <w:t>准，在承诺期内擅自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离职，违反了承诺。 截至本报告出具日， 公司与于海燕就亚 太安讯工作交接问 题进行了妥善处理。</w:t>
            </w:r>
          </w:p>
        </w:tc>
      </w:tr>
      <w:tr>
        <w:trPr>
          <w:trHeight w:val="32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公司控股 股东银江 科技集团 有限公司 及实际控 制人王 辉、刘健 夫妇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67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本公司（本人）将不在中国境内 外直接或间接从事或参与任何在 商业上对股份公司构成竞争的业 务及活动或拥有与股份公司存在 </w:t>
            </w:r>
            <w:r>
              <w:rPr>
                <w:rFonts w:ascii="宋体" w:hAnsi="宋体" w:cs="宋体" w:eastAsia="宋体" w:hint="default"/>
                <w:spacing w:val="-3"/>
                <w:sz w:val="18"/>
                <w:szCs w:val="18"/>
              </w:rPr>
              <w:t>竞争关系的任何经济实体、机构、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经济组织的权益；或以其他任何形</w:t>
            </w:r>
            <w:r>
              <w:rPr>
                <w:rFonts w:ascii="宋体" w:hAnsi="宋体" w:cs="宋体" w:eastAsia="宋体" w:hint="default"/>
                <w:sz w:val="18"/>
                <w:szCs w:val="18"/>
              </w:rPr>
              <w:t> </w:t>
            </w:r>
            <w:r>
              <w:rPr>
                <w:rFonts w:ascii="宋体" w:hAnsi="宋体" w:cs="宋体" w:eastAsia="宋体" w:hint="default"/>
                <w:spacing w:val="-6"/>
                <w:sz w:val="18"/>
                <w:szCs w:val="18"/>
              </w:rPr>
              <w:t>式取得该经济实体、机构、经济组</w:t>
            </w:r>
            <w:r>
              <w:rPr>
                <w:rFonts w:ascii="宋体" w:hAnsi="宋体" w:cs="宋体" w:eastAsia="宋体" w:hint="default"/>
                <w:sz w:val="18"/>
                <w:szCs w:val="18"/>
              </w:rPr>
              <w:t> </w:t>
            </w:r>
            <w:r>
              <w:rPr>
                <w:rFonts w:ascii="宋体" w:hAnsi="宋体" w:cs="宋体" w:eastAsia="宋体" w:hint="default"/>
                <w:spacing w:val="-6"/>
                <w:sz w:val="18"/>
                <w:szCs w:val="18"/>
              </w:rPr>
              <w:t>织的控制权。本公司（本人）愿意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承担因违反上述承诺而给股份公 司造成的全部经济损失。</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p>
          <w:p>
            <w:pPr>
              <w:pStyle w:val="TableParagraph"/>
              <w:spacing w:line="314"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控股股东银</w:t>
            </w:r>
            <w:r>
              <w:rPr>
                <w:rFonts w:ascii="宋体" w:hAnsi="宋体" w:cs="宋体" w:eastAsia="宋体" w:hint="default"/>
                <w:sz w:val="18"/>
                <w:szCs w:val="18"/>
              </w:rPr>
              <w:t> 江科技集团及实际 </w:t>
            </w:r>
            <w:r>
              <w:rPr>
                <w:rFonts w:ascii="宋体" w:hAnsi="宋体" w:cs="宋体" w:eastAsia="宋体" w:hint="default"/>
                <w:spacing w:val="-6"/>
                <w:sz w:val="18"/>
                <w:szCs w:val="18"/>
              </w:rPr>
              <w:t>控制人王辉、刘健夫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妇均遵守上述承诺， 未发现违反上述承 诺情况。</w:t>
            </w:r>
          </w:p>
        </w:tc>
      </w:tr>
      <w:tr>
        <w:trPr>
          <w:trHeight w:val="196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39"/>
              <w:jc w:val="left"/>
              <w:rPr>
                <w:rFonts w:ascii="宋体" w:hAnsi="宋体" w:cs="宋体" w:eastAsia="宋体" w:hint="default"/>
                <w:sz w:val="18"/>
                <w:szCs w:val="18"/>
              </w:rPr>
            </w:pPr>
            <w:r>
              <w:rPr>
                <w:rFonts w:ascii="宋体" w:hAnsi="宋体" w:cs="宋体" w:eastAsia="宋体" w:hint="default"/>
                <w:sz w:val="18"/>
                <w:szCs w:val="18"/>
              </w:rPr>
              <w:t>公司承诺不为激励对象依股票期 权激励计划获取有关权益提供贷 </w:t>
            </w:r>
            <w:r>
              <w:rPr>
                <w:rFonts w:ascii="宋体" w:hAnsi="宋体" w:cs="宋体" w:eastAsia="宋体" w:hint="default"/>
                <w:spacing w:val="-3"/>
                <w:sz w:val="18"/>
                <w:szCs w:val="18"/>
              </w:rPr>
              <w:t>款以及其他任何形式的财务资助，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包括为其贷款提供担保。</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p>
          <w:p>
            <w:pPr>
              <w:pStyle w:val="TableParagraph"/>
              <w:spacing w:line="31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本公司 严格遵守上述承诺， 未发现违反上述承 诺情况。</w:t>
            </w:r>
          </w:p>
        </w:tc>
      </w:tr>
      <w:tr>
        <w:trPr>
          <w:trHeight w:val="383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银江科技 集团</w:t>
            </w:r>
          </w:p>
        </w:tc>
        <w:tc>
          <w:tcPr>
            <w:tcW w:w="8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22"/>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6"/>
                <w:sz w:val="18"/>
                <w:szCs w:val="18"/>
              </w:rPr>
              <w:t>月内增持公司股份，在增持期间及</w:t>
            </w:r>
            <w:r>
              <w:rPr>
                <w:rFonts w:ascii="宋体" w:hAnsi="宋体" w:cs="宋体" w:eastAsia="宋体" w:hint="default"/>
                <w:sz w:val="18"/>
                <w:szCs w:val="18"/>
              </w:rPr>
              <w:t> 在本次增持完成后六个月内及法 定期限内不减持所持有的公司股 份。</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5"/>
              <w:jc w:val="both"/>
              <w:rPr>
                <w:rFonts w:ascii="宋体" w:hAnsi="宋体" w:cs="宋体" w:eastAsia="宋体" w:hint="default"/>
                <w:sz w:val="18"/>
                <w:szCs w:val="18"/>
              </w:rPr>
            </w:pPr>
            <w:r>
              <w:rPr>
                <w:rFonts w:ascii="宋体" w:hAnsi="宋体" w:cs="宋体" w:eastAsia="宋体" w:hint="default"/>
                <w:sz w:val="18"/>
                <w:szCs w:val="18"/>
              </w:rPr>
              <w:t>在增持期 间及在本 次增持完 成后六个 月内及法 定期限内</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309" w:lineRule="auto" w:before="6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日，银江科技集 团本次增持计划已 </w:t>
            </w:r>
            <w:r>
              <w:rPr>
                <w:rFonts w:ascii="宋体" w:hAnsi="宋体" w:cs="宋体" w:eastAsia="宋体" w:hint="default"/>
                <w:spacing w:val="-10"/>
                <w:sz w:val="18"/>
                <w:szCs w:val="18"/>
              </w:rPr>
              <w:t>实施完毕。</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日累计 增持银江股份 </w:t>
            </w:r>
            <w:r>
              <w:rPr>
                <w:rFonts w:ascii="Times New Roman" w:hAnsi="Times New Roman" w:cs="Times New Roman" w:eastAsia="Times New Roman" w:hint="default"/>
                <w:sz w:val="18"/>
                <w:szCs w:val="18"/>
              </w:rPr>
              <w:t>17,557,905 </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股，占银</w:t>
            </w:r>
          </w:p>
          <w:p>
            <w:pPr>
              <w:pStyle w:val="TableParagraph"/>
              <w:spacing w:line="312"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江股份总股本的 </w:t>
            </w:r>
            <w:r>
              <w:rPr>
                <w:rFonts w:ascii="Times New Roman" w:hAnsi="Times New Roman" w:cs="Times New Roman" w:eastAsia="Times New Roman" w:hint="default"/>
                <w:sz w:val="18"/>
                <w:szCs w:val="18"/>
              </w:rPr>
              <w:t>2.68%</w:t>
            </w:r>
            <w:r>
              <w:rPr>
                <w:rFonts w:ascii="宋体" w:hAnsi="宋体" w:cs="宋体" w:eastAsia="宋体" w:hint="default"/>
                <w:sz w:val="18"/>
                <w:szCs w:val="18"/>
              </w:rPr>
              <w:t>，增持金额为 人民币 </w:t>
            </w:r>
            <w:r>
              <w:rPr>
                <w:rFonts w:ascii="Times New Roman" w:hAnsi="Times New Roman" w:cs="Times New Roman" w:eastAsia="Times New Roman" w:hint="default"/>
                <w:sz w:val="18"/>
                <w:szCs w:val="18"/>
              </w:rPr>
              <w:t>205,368,871.58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pacing w:val="-2"/>
                <w:sz w:val="18"/>
                <w:szCs w:val="18"/>
              </w:rPr>
              <w:t>李欣未遵守承诺，目前公司已通过司法途径等方式追究李欣的相关法律责任。具体诉讼进展情况详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十一、重大诉讼、仲裁事项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42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1832;top:14;width:2;height:393" coordorigin="1832,14" coordsize="2,393">
              <v:shape style="position:absolute;left:1832;top:14;width:2;height:393" coordorigin="1832,14" coordsize="0,393" path="m1832,14l1832,407e" filled="false" stroked="true" strokeweight="1.2pt" strokecolor="#d2d2d2">
                <v:path arrowok="t"/>
              </v:shape>
            </v:group>
            <v:group style="position:absolute;left:32;top:14;width:1788;height:393" coordorigin="32,14" coordsize="1788,393">
              <v:shape style="position:absolute;left:32;top:14;width:1788;height:393" coordorigin="32,14" coordsize="1788,393" path="m32,407l1820,407,1820,14,32,14,32,407xe" filled="true" fillcolor="#d2d2d2" stroked="false">
                <v:path arrowok="t"/>
                <v:fill type="solid"/>
              </v:shape>
            </v:group>
            <v:group style="position:absolute;left:1865;top:14;width:2;height:393" coordorigin="1865,14" coordsize="2,393">
              <v:shape style="position:absolute;left:1865;top:14;width:2;height:393" coordorigin="1865,14" coordsize="0,393" path="m1865,14l1865,407e" filled="false" stroked="true" strokeweight="1.140pt" strokecolor="#d2d2d2">
                <v:path arrowok="t"/>
              </v:shape>
            </v:group>
            <v:group style="position:absolute;left:9556;top:14;width:2;height:393" coordorigin="9556,14" coordsize="2,393">
              <v:shape style="position:absolute;left:9556;top:14;width:2;height:393" coordorigin="9556,14" coordsize="0,393" path="m9556,14l9556,407e" filled="false" stroked="true" strokeweight="1.140pt" strokecolor="#d2d2d2">
                <v:path arrowok="t"/>
              </v:shape>
            </v:group>
            <v:group style="position:absolute;left:1876;top:14;width:7669;height:393" coordorigin="1876,14" coordsize="7669,393">
              <v:shape style="position:absolute;left:1876;top:14;width:7669;height:393" coordorigin="1876,14" coordsize="7669,393" path="m1876,407l9545,407,9545,14,1876,14,1876,407xe" filled="true" fillcolor="#d2d2d2" stroked="false">
                <v:path arrowok="t"/>
                <v:fill type="solid"/>
              </v:shape>
            </v:group>
            <v:group style="position:absolute;left:10;top:10;width:1834;height:2" coordorigin="10,10" coordsize="1834,2">
              <v:shape style="position:absolute;left:10;top:10;width:1834;height:2" coordorigin="10,10" coordsize="1834,0" path="m10,10l1844,10e" filled="false" stroked="true" strokeweight=".48pt" strokecolor="#000000">
                <v:path arrowok="t"/>
              </v:shape>
            </v:group>
            <v:group style="position:absolute;left:1853;top:10;width:7716;height:2" coordorigin="1853,10" coordsize="7716,2">
              <v:shape style="position:absolute;left:1853;top:10;width:7716;height:2" coordorigin="1853,10" coordsize="7716,0" path="m1853,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1834;height:2" coordorigin="10,412" coordsize="1834,2">
              <v:shape style="position:absolute;left:10;top:412;width:1834;height:2" coordorigin="10,412" coordsize="1834,0" path="m10,412l1844,412e" filled="false" stroked="true" strokeweight=".48pt" strokecolor="#000000">
                <v:path arrowok="t"/>
              </v:shape>
            </v:group>
            <v:group style="position:absolute;left:1848;top:5;width:2;height:412" coordorigin="1848,5" coordsize="2,412">
              <v:shape style="position:absolute;left:1848;top:5;width:2;height:412" coordorigin="1848,5" coordsize="0,412" path="m1848,5l1848,416e" filled="false" stroked="true" strokeweight=".48pt" strokecolor="#000000">
                <v:path arrowok="t"/>
              </v:shape>
            </v:group>
            <v:group style="position:absolute;left:1853;top:412;width:7716;height:2" coordorigin="1853,412" coordsize="7716,2">
              <v:shape style="position:absolute;left:1853;top:412;width:7716;height:2" coordorigin="1853,412" coordsize="7716,0" path="m1853,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75"/>
      <w:bookmarkEnd w:id="7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76"/>
      <w:bookmarkEnd w:id="7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77"/>
      <w:bookmarkEnd w:id="7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338" w:lineRule="auto"/>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公司董事会认为该核查意见客观反映了公司的实际情况。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8"/>
      <w:bookmarkEnd w:id="7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9"/>
      <w:bookmarkEnd w:id="79"/>
      <w:r>
        <w:rPr>
          <w:b w:val="0"/>
          <w:bCs w:val="0"/>
        </w:rPr>
      </w: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经公司审计委员会在投资专项审计过程中发现，公司在</w:t>
      </w:r>
      <w:r>
        <w:rPr>
          <w:rFonts w:ascii="宋体" w:hAnsi="宋体" w:cs="宋体" w:eastAsia="宋体" w:hint="default"/>
          <w:spacing w:val="-2"/>
        </w:rPr>
        <w:t>2015</w:t>
      </w:r>
      <w:r>
        <w:rPr>
          <w:spacing w:val="-2"/>
        </w:rPr>
        <w:t>、</w:t>
      </w:r>
      <w:r>
        <w:rPr>
          <w:rFonts w:ascii="宋体" w:hAnsi="宋体" w:cs="宋体" w:eastAsia="宋体" w:hint="default"/>
          <w:spacing w:val="-2"/>
        </w:rPr>
        <w:t>2016</w:t>
      </w:r>
      <w:r>
        <w:rPr>
          <w:spacing w:val="-2"/>
        </w:rPr>
        <w:t>、</w:t>
      </w:r>
      <w:r>
        <w:rPr>
          <w:rFonts w:ascii="宋体" w:hAnsi="宋体" w:cs="宋体" w:eastAsia="宋体" w:hint="default"/>
          <w:spacing w:val="-2"/>
        </w:rPr>
        <w:t>2017</w:t>
      </w:r>
      <w:r>
        <w:rPr>
          <w:spacing w:val="-2"/>
        </w:rPr>
        <w:t>年度财务报表编制中，针对公司回购注销李欣</w:t>
      </w:r>
      <w:r>
        <w:rPr>
          <w:rFonts w:ascii="宋体" w:hAnsi="宋体" w:cs="宋体" w:eastAsia="宋体" w:hint="default"/>
          <w:spacing w:val="-2"/>
        </w:rPr>
        <w:t>2015</w:t>
      </w:r>
      <w:r>
        <w:rPr>
          <w:rFonts w:ascii="宋体" w:hAnsi="宋体" w:cs="宋体" w:eastAsia="宋体" w:hint="default"/>
          <w:spacing w:val="-50"/>
        </w:rPr>
        <w:t> </w:t>
      </w:r>
      <w:r>
        <w:rPr/>
        <w:t>年度业绩补偿股份事宜的会计处理列入库存股科目欠妥。经公司与审计机构瑞华会计师事务所（特殊普通合伙）及时沟通， </w:t>
      </w:r>
      <w:r>
        <w:rPr>
          <w:spacing w:val="-2"/>
        </w:rPr>
        <w:t>就公司回购注销李欣</w:t>
      </w:r>
      <w:r>
        <w:rPr>
          <w:rFonts w:ascii="宋体" w:hAnsi="宋体" w:cs="宋体" w:eastAsia="宋体" w:hint="default"/>
          <w:spacing w:val="-2"/>
        </w:rPr>
        <w:t>2015</w:t>
      </w:r>
      <w:r>
        <w:rPr>
          <w:spacing w:val="-2"/>
        </w:rPr>
        <w:t>年度业绩补偿股份事宜的会计处理对公司</w:t>
      </w:r>
      <w:r>
        <w:rPr>
          <w:rFonts w:ascii="宋体" w:hAnsi="宋体" w:cs="宋体" w:eastAsia="宋体" w:hint="default"/>
          <w:spacing w:val="-2"/>
        </w:rPr>
        <w:t>2015</w:t>
      </w:r>
      <w:r>
        <w:rPr>
          <w:spacing w:val="-2"/>
        </w:rPr>
        <w:t>、</w:t>
      </w:r>
      <w:r>
        <w:rPr>
          <w:rFonts w:ascii="宋体" w:hAnsi="宋体" w:cs="宋体" w:eastAsia="宋体" w:hint="default"/>
          <w:spacing w:val="-2"/>
        </w:rPr>
        <w:t>2016</w:t>
      </w:r>
      <w:r>
        <w:rPr>
          <w:spacing w:val="-2"/>
        </w:rPr>
        <w:t>、</w:t>
      </w:r>
      <w:r>
        <w:rPr>
          <w:rFonts w:ascii="宋体" w:hAnsi="宋体" w:cs="宋体" w:eastAsia="宋体" w:hint="default"/>
          <w:spacing w:val="-2"/>
        </w:rPr>
        <w:t>2017</w:t>
      </w:r>
      <w:r>
        <w:rPr>
          <w:spacing w:val="-2"/>
        </w:rPr>
        <w:t>年度财务报表将进行会计差错更正及追</w:t>
      </w:r>
      <w:r>
        <w:rPr>
          <w:spacing w:val="-48"/>
        </w:rPr>
        <w:t> </w:t>
      </w:r>
      <w:r>
        <w:rPr/>
        <w:t>溯调整。 银江股份有限公司</w:t>
      </w:r>
      <w:r>
        <w:rPr>
          <w:rFonts w:ascii="宋体" w:hAnsi="宋体" w:cs="宋体" w:eastAsia="宋体" w:hint="default"/>
        </w:rPr>
        <w:t>2015</w:t>
      </w:r>
      <w:r>
        <w:rPr/>
        <w:t>年根据</w:t>
      </w:r>
      <w:r>
        <w:rPr>
          <w:rFonts w:ascii="宋体" w:hAnsi="宋体" w:cs="宋体" w:eastAsia="宋体" w:hint="default"/>
        </w:rPr>
        <w:t>2013</w:t>
      </w:r>
      <w:r>
        <w:rPr/>
        <w:t>年</w:t>
      </w:r>
      <w:r>
        <w:rPr>
          <w:rFonts w:ascii="宋体" w:hAnsi="宋体" w:cs="宋体" w:eastAsia="宋体" w:hint="default"/>
        </w:rPr>
        <w:t>9</w:t>
      </w:r>
      <w:r>
        <w:rPr/>
        <w:t>月银江股份有限公司与北京亚太安讯科技股份有限公司大股东李欣签署的现金及发行</w:t>
      </w:r>
      <w:r>
        <w:rPr>
          <w:spacing w:val="-83"/>
        </w:rPr>
        <w:t> </w:t>
      </w:r>
      <w:r>
        <w:rPr>
          <w:spacing w:val="-83"/>
        </w:rPr>
      </w:r>
      <w:r>
        <w:rPr>
          <w:spacing w:val="-2"/>
        </w:rPr>
        <w:t>股份购买资产协议及之盈利预测补偿协议，因为北京亚太安讯科技股份有限公司未实现承诺业绩，触发了业绩补偿协议，需</w:t>
      </w:r>
      <w:r>
        <w:rPr>
          <w:spacing w:val="-66"/>
        </w:rPr>
        <w:t> </w:t>
      </w:r>
      <w:r>
        <w:rPr>
          <w:spacing w:val="-66"/>
        </w:rPr>
      </w:r>
      <w:r>
        <w:rPr>
          <w:spacing w:val="4"/>
        </w:rPr>
        <w:t>要回购其股份，</w:t>
      </w:r>
      <w:r>
        <w:rPr>
          <w:rFonts w:ascii="宋体" w:hAnsi="宋体" w:cs="宋体" w:eastAsia="宋体" w:hint="default"/>
          <w:spacing w:val="4"/>
        </w:rPr>
        <w:t>2015</w:t>
      </w:r>
      <w:r>
        <w:rPr>
          <w:spacing w:val="4"/>
        </w:rPr>
        <w:t>年将其应回购的股份</w:t>
      </w:r>
      <w:r>
        <w:rPr>
          <w:rFonts w:ascii="宋体" w:hAnsi="宋体" w:cs="宋体" w:eastAsia="宋体" w:hint="default"/>
          <w:spacing w:val="4"/>
        </w:rPr>
        <w:t>25,240,153</w:t>
      </w:r>
      <w:r>
        <w:rPr>
          <w:spacing w:val="4"/>
        </w:rPr>
        <w:t>股在会计处理上作为库存股处理，但因为李欣将其持有的银江股份</w:t>
      </w:r>
      <w:r>
        <w:rPr>
          <w:spacing w:val="-53"/>
        </w:rPr>
        <w:t> </w:t>
      </w:r>
      <w:r>
        <w:rPr>
          <w:spacing w:val="-53"/>
        </w:rPr>
      </w:r>
      <w:r>
        <w:rPr>
          <w:rFonts w:ascii="宋体" w:hAnsi="宋体" w:cs="宋体" w:eastAsia="宋体" w:hint="default"/>
          <w:spacing w:val="-2"/>
        </w:rPr>
        <w:t>27,813,840</w:t>
      </w:r>
      <w:r>
        <w:rPr>
          <w:spacing w:val="-2"/>
        </w:rPr>
        <w:t>股质押给浙江浙商资产管理有限公司，浙江浙商资产管理有限公司向法院申请强制执行李欣的股份，并对李欣所</w:t>
      </w:r>
      <w:r>
        <w:rPr>
          <w:spacing w:val="-54"/>
        </w:rPr>
        <w:t> </w:t>
      </w:r>
      <w:r>
        <w:rPr>
          <w:spacing w:val="-54"/>
        </w:rPr>
      </w:r>
      <w:r>
        <w:rPr/>
        <w:t>持公司股份进行了司法冻结，造成银江股份有限公司截止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日尚未顺利回购。 </w:t>
      </w:r>
      <w:r>
        <w:rPr>
          <w:rFonts w:ascii="宋体" w:hAnsi="宋体" w:cs="宋体" w:eastAsia="宋体" w:hint="default"/>
        </w:rPr>
        <w:t>2016</w:t>
      </w:r>
      <w:r>
        <w:rPr/>
        <w:t>年银江股份有限公司将李欣起诉至法院。</w:t>
      </w:r>
      <w:r>
        <w:rPr>
          <w:rFonts w:ascii="宋体" w:hAnsi="宋体" w:cs="宋体" w:eastAsia="宋体" w:hint="default"/>
        </w:rPr>
        <w:t>2018</w:t>
      </w:r>
      <w:r>
        <w:rPr/>
        <w:t>年</w:t>
      </w:r>
      <w:r>
        <w:rPr>
          <w:rFonts w:ascii="宋体" w:hAnsi="宋体" w:cs="宋体" w:eastAsia="宋体" w:hint="default"/>
        </w:rPr>
        <w:t>1</w:t>
      </w:r>
      <w:r>
        <w:rPr/>
        <w:t>月银江股份有限公司在与李欣的收购纠纷案中收到中华人民共和国最</w:t>
      </w:r>
      <w:r>
        <w:rPr>
          <w:spacing w:val="-83"/>
        </w:rPr>
        <w:t> </w:t>
      </w:r>
      <w:r>
        <w:rPr>
          <w:spacing w:val="-83"/>
        </w:rPr>
      </w:r>
      <w:r>
        <w:rPr>
          <w:spacing w:val="-2"/>
        </w:rPr>
        <w:t>高人民法院（</w:t>
      </w:r>
      <w:r>
        <w:rPr>
          <w:rFonts w:ascii="宋体" w:hAnsi="宋体" w:cs="宋体" w:eastAsia="宋体" w:hint="default"/>
          <w:spacing w:val="-2"/>
        </w:rPr>
        <w:t>2017</w:t>
      </w:r>
      <w:r>
        <w:rPr>
          <w:spacing w:val="-2"/>
        </w:rPr>
        <w:t>）最高法民终</w:t>
      </w:r>
      <w:r>
        <w:rPr>
          <w:rFonts w:ascii="宋体" w:hAnsi="宋体" w:cs="宋体" w:eastAsia="宋体" w:hint="default"/>
          <w:spacing w:val="-2"/>
        </w:rPr>
        <w:t>833</w:t>
      </w:r>
      <w:r>
        <w:rPr>
          <w:spacing w:val="-2"/>
        </w:rPr>
        <w:t>号《民事裁定书》胜诉的终审判决，同时</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月银江股份有限公司收到与浙江浙商证</w:t>
      </w:r>
      <w:r>
        <w:rPr>
          <w:spacing w:val="-55"/>
        </w:rPr>
        <w:t> </w:t>
      </w:r>
      <w:r>
        <w:rPr>
          <w:spacing w:val="-55"/>
        </w:rPr>
      </w:r>
      <w:r>
        <w:rPr>
          <w:spacing w:val="-2"/>
        </w:rPr>
        <w:t>券资产管理有限公司衍生诉讼案件（李欣</w:t>
      </w:r>
      <w:r>
        <w:rPr>
          <w:rFonts w:ascii="宋体" w:hAnsi="宋体" w:cs="宋体" w:eastAsia="宋体" w:hint="default"/>
          <w:spacing w:val="-2"/>
        </w:rPr>
        <w:t>2015</w:t>
      </w:r>
      <w:r>
        <w:rPr>
          <w:spacing w:val="-2"/>
        </w:rPr>
        <w:t>年将其持有的银江股份</w:t>
      </w:r>
      <w:r>
        <w:rPr>
          <w:rFonts w:ascii="宋体" w:hAnsi="宋体" w:cs="宋体" w:eastAsia="宋体" w:hint="default"/>
          <w:spacing w:val="-2"/>
        </w:rPr>
        <w:t>27,813,840</w:t>
      </w:r>
      <w:r>
        <w:rPr>
          <w:spacing w:val="-2"/>
        </w:rPr>
        <w:t>股股票质押给浙江浙商证券资产管理有限公</w:t>
      </w:r>
      <w:r>
        <w:rPr>
          <w:spacing w:val="-50"/>
        </w:rPr>
        <w:t> </w:t>
      </w:r>
      <w:r>
        <w:rPr>
          <w:spacing w:val="-2"/>
        </w:rPr>
        <w:t>司，</w:t>
      </w:r>
      <w:r>
        <w:rPr>
          <w:rFonts w:ascii="宋体" w:hAnsi="宋体" w:cs="宋体" w:eastAsia="宋体" w:hint="default"/>
          <w:spacing w:val="-2"/>
        </w:rPr>
        <w:t>2016</w:t>
      </w:r>
      <w:r>
        <w:rPr>
          <w:spacing w:val="-2"/>
        </w:rPr>
        <w:t>年浙商证券资产管理有限公司向杭州市中级人民法院申请强制执行此股份以偿还其借款）执行异议之诉败诉的终审</w:t>
      </w:r>
      <w:r>
        <w:rPr>
          <w:spacing w:val="-60"/>
        </w:rPr>
        <w:t> </w:t>
      </w:r>
      <w:r>
        <w:rPr>
          <w:spacing w:val="-60"/>
        </w:rPr>
      </w:r>
      <w:r>
        <w:rPr/>
        <w:t>判决。 </w:t>
      </w:r>
      <w:r>
        <w:rPr>
          <w:spacing w:val="-2"/>
        </w:rPr>
        <w:t>鉴于如上所述，公司未能如期实施回购李欣的股份，作为库存股的会计处理已经不符合公司法等相关法规的定义，虽然公司</w:t>
      </w:r>
      <w:r>
        <w:rPr>
          <w:spacing w:val="-66"/>
        </w:rPr>
        <w:t> </w:t>
      </w:r>
      <w:r>
        <w:rPr>
          <w:spacing w:val="-66"/>
        </w:rPr>
      </w:r>
      <w:r>
        <w:rPr>
          <w:spacing w:val="-2"/>
        </w:rPr>
        <w:t>在收购协议和公告中有约定李欣在股份限售期间未经公司同意不得将其股份予以质押，但事实是已经处于质押、司法冻结状</w:t>
      </w:r>
      <w:r>
        <w:rPr>
          <w:spacing w:val="-64"/>
        </w:rPr>
        <w:t> </w:t>
      </w:r>
      <w:r>
        <w:rPr>
          <w:spacing w:val="-64"/>
        </w:rPr>
      </w:r>
      <w:r>
        <w:rPr>
          <w:spacing w:val="-2"/>
        </w:rPr>
        <w:t>态，已不受公司的控制，且业绩补偿属于非同一控制下企业合并或有对价的安排，在资产负债表上列示为“以公允价值计量</w:t>
      </w:r>
      <w:r>
        <w:rPr>
          <w:spacing w:val="-65"/>
        </w:rPr>
        <w:t> </w:t>
      </w:r>
      <w:r>
        <w:rPr>
          <w:spacing w:val="-65"/>
        </w:rPr>
      </w:r>
      <w:r>
        <w:rPr/>
        <w:t>且其变动计入当期损益的金融资产”更为合理，故判断此前列报为库存股的会计处理构成重大前期差错，应予以更正。 以上事项已经公司第四届董事会第十八次会议及第四届监事会第十四次会议审议通过，独立董事亦发表了同意的独立意见， </w:t>
      </w:r>
      <w:r>
        <w:rPr>
          <w:spacing w:val="-2"/>
        </w:rPr>
        <w:t>公司</w:t>
      </w:r>
      <w:r>
        <w:rPr>
          <w:rFonts w:ascii="宋体" w:hAnsi="宋体" w:cs="宋体" w:eastAsia="宋体" w:hint="default"/>
          <w:spacing w:val="-2"/>
        </w:rPr>
        <w:t>2015</w:t>
      </w:r>
      <w:r>
        <w:rPr>
          <w:spacing w:val="-2"/>
        </w:rPr>
        <w:t>、</w:t>
      </w:r>
      <w:r>
        <w:rPr>
          <w:rFonts w:ascii="宋体" w:hAnsi="宋体" w:cs="宋体" w:eastAsia="宋体" w:hint="default"/>
          <w:spacing w:val="-2"/>
        </w:rPr>
        <w:t>2016</w:t>
      </w:r>
      <w:r>
        <w:rPr>
          <w:spacing w:val="-2"/>
        </w:rPr>
        <w:t>、</w:t>
      </w:r>
      <w:r>
        <w:rPr>
          <w:rFonts w:ascii="宋体" w:hAnsi="宋体" w:cs="宋体" w:eastAsia="宋体" w:hint="default"/>
          <w:spacing w:val="-2"/>
        </w:rPr>
        <w:t>2017</w:t>
      </w:r>
      <w:r>
        <w:rPr>
          <w:spacing w:val="-2"/>
        </w:rPr>
        <w:t>年度审计机构瑞华会计师事务所（特殊普通合伙）就本次会计差错更正事项出具了《关于银江股份有</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22"/>
        <w:jc w:val="left"/>
      </w:pPr>
      <w:r>
        <w:rPr>
          <w:spacing w:val="-2"/>
        </w:rPr>
        <w:t>限公司</w:t>
      </w:r>
      <w:r>
        <w:rPr>
          <w:rFonts w:ascii="宋体" w:hAnsi="宋体" w:cs="宋体" w:eastAsia="宋体" w:hint="default"/>
          <w:spacing w:val="-2"/>
        </w:rPr>
        <w:t>2017</w:t>
      </w:r>
      <w:r>
        <w:rPr>
          <w:spacing w:val="-2"/>
        </w:rPr>
        <w:t>年度财务报表更正事项的专项鉴证报告》（瑞华专审字【</w:t>
      </w:r>
      <w:r>
        <w:rPr>
          <w:rFonts w:ascii="宋体" w:hAnsi="宋体" w:cs="宋体" w:eastAsia="宋体" w:hint="default"/>
          <w:spacing w:val="-2"/>
        </w:rPr>
        <w:t>2018</w:t>
      </w:r>
      <w:r>
        <w:rPr>
          <w:spacing w:val="-2"/>
        </w:rPr>
        <w:t>】</w:t>
      </w:r>
      <w:r>
        <w:rPr>
          <w:rFonts w:ascii="宋体" w:hAnsi="宋体" w:cs="宋体" w:eastAsia="宋体" w:hint="default"/>
          <w:spacing w:val="-2"/>
        </w:rPr>
        <w:t>33080006</w:t>
      </w:r>
      <w:r>
        <w:rPr>
          <w:spacing w:val="-2"/>
        </w:rPr>
        <w:t>号）。该事项亦经公司</w:t>
      </w:r>
      <w:r>
        <w:rPr>
          <w:rFonts w:ascii="宋体" w:hAnsi="宋体" w:cs="宋体" w:eastAsia="宋体" w:hint="default"/>
          <w:spacing w:val="-2"/>
        </w:rPr>
        <w:t>2018</w:t>
      </w:r>
      <w:r>
        <w:rPr>
          <w:spacing w:val="-2"/>
        </w:rPr>
        <w:t>年第二次临</w:t>
      </w:r>
      <w:r>
        <w:rPr>
          <w:spacing w:val="-49"/>
        </w:rPr>
        <w:t> </w:t>
      </w:r>
      <w:r>
        <w:rPr/>
        <w:t>时股东大会审议通过。 </w:t>
      </w:r>
      <w:r>
        <w:rPr>
          <w:spacing w:val="-2"/>
        </w:rPr>
        <w:t>公司</w:t>
      </w:r>
      <w:r>
        <w:rPr>
          <w:rFonts w:ascii="宋体" w:hAnsi="宋体" w:cs="宋体" w:eastAsia="宋体" w:hint="default"/>
          <w:spacing w:val="-2"/>
        </w:rPr>
        <w:t>2018</w:t>
      </w:r>
      <w:r>
        <w:rPr>
          <w:spacing w:val="-2"/>
        </w:rPr>
        <w:t>年第三季度报告将李欣应补偿上市公司的其他应收款进行了全额坏账计提，列示于资产减值损失，但该笔坏账损失</w:t>
      </w:r>
      <w:r>
        <w:rPr>
          <w:spacing w:val="-60"/>
        </w:rPr>
        <w:t> </w:t>
      </w:r>
      <w:r>
        <w:rPr>
          <w:spacing w:val="-60"/>
        </w:rPr>
      </w:r>
      <w:r>
        <w:rPr>
          <w:spacing w:val="-2"/>
        </w:rPr>
        <w:t>性质特殊，并非持续经营所必需又为偶发性，故在</w:t>
      </w:r>
      <w:r>
        <w:rPr>
          <w:rFonts w:ascii="宋体" w:hAnsi="宋体" w:cs="宋体" w:eastAsia="宋体" w:hint="default"/>
          <w:spacing w:val="-2"/>
        </w:rPr>
        <w:t>2018</w:t>
      </w:r>
      <w:r>
        <w:rPr>
          <w:spacing w:val="-2"/>
        </w:rPr>
        <w:t>年年度报告中将该笔坏账损失列示于其他符合非经常性损益定义的损</w:t>
      </w:r>
      <w:r>
        <w:rPr>
          <w:spacing w:val="-60"/>
        </w:rPr>
        <w:t> </w:t>
      </w:r>
      <w:r>
        <w:rPr/>
        <w:t>益项目。</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80"/>
      <w:bookmarkEnd w:id="8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4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10</w:t>
      </w:r>
      <w:r>
        <w:rPr/>
        <w:t>月，公司处置浙江交通宝互联网技术有限公司的股权，从丧失控制权时点起，将其不纳入合并报表范围。</w:t>
      </w:r>
    </w:p>
    <w:p>
      <w:pPr>
        <w:pStyle w:val="BodyText"/>
        <w:spacing w:line="316" w:lineRule="auto" w:before="2"/>
        <w:ind w:right="1122"/>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12</w:t>
      </w:r>
      <w:r>
        <w:rPr/>
        <w:t>月，公司注销了重庆银江交通工程有限公司，自注销之日起，重庆银江交通工程有限公司不再纳入公司合并财 务报表范围。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81"/>
      <w:bookmarkEnd w:id="8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谭争、许旭光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82"/>
      <w:bookmarkEnd w:id="8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83"/>
      <w:bookmarkEnd w:id="8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84"/>
      <w:bookmarkEnd w:id="8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266"/>
        <w:gridCol w:w="1080"/>
        <w:gridCol w:w="1076"/>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8.840004pt;margin-top:72.47998pt;width:74.5pt;height:334.5pt;mso-position-horizontal-relative:page;mso-position-vertical-relative:page;z-index:-1156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（案号：</w:t>
                  </w:r>
                </w:p>
                <w:p>
                  <w:pPr>
                    <w:pStyle w:val="BodyText"/>
                    <w:spacing w:line="240" w:lineRule="auto" w:before="76"/>
                    <w:ind w:left="0" w:right="409"/>
                    <w:jc w:val="center"/>
                  </w:pPr>
                  <w:r>
                    <w:rPr/>
                    <w:t>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226"/>
                    <w:jc w:val="center"/>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226"/>
                    <w:jc w:val="center"/>
                  </w:pPr>
                  <w:r>
                    <w:rPr/>
                    <w:t>、</w:t>
                  </w:r>
                </w:p>
              </w:txbxContent>
            </v:textbox>
            <w10:wrap type="none"/>
          </v:shape>
        </w:pict>
      </w:r>
      <w:r>
        <w:rPr/>
        <w:pict>
          <v:shape style="position:absolute;margin-left:358.23999pt;margin-top:72.47998pt;width:68.9pt;height:326.7pt;mso-position-horizontal-relative:page;mso-position-vertical-relative:page;z-index:-1156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142.039993pt;margin-top:426.519989pt;width:41.3pt;height:334.5pt;mso-position-horizontal-relative:page;mso-position-vertical-relative:page;z-index:-1156696" coordorigin="2841,8530" coordsize="826,6690">
            <v:shape style="position:absolute;left:2841;top:8530;width:826;height:6690" coordorigin="2841,8530" coordsize="826,6690" path="m2841,15220l3666,15220,3666,8530,2841,8530,2841,152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266"/>
        <w:gridCol w:w="1080"/>
        <w:gridCol w:w="1076"/>
      </w:tblGrid>
      <w:tr>
        <w:trPr>
          <w:trHeight w:val="137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银江股份有限公司向 浙江省高级人民法院 就与李欣的上市公司 收购纠纷提起民事诉 讼，浙江省高级人民 法院业已受理</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）浙民初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日向公司送达《立案 </w:t>
            </w:r>
            <w:r>
              <w:rPr>
                <w:rFonts w:ascii="宋体" w:hAnsi="宋体" w:cs="宋体" w:eastAsia="宋体" w:hint="default"/>
                <w:spacing w:val="-12"/>
                <w:sz w:val="18"/>
                <w:szCs w:val="18"/>
              </w:rPr>
              <w:t>通知》。</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月，公司收到浙江省 </w:t>
            </w:r>
            <w:r>
              <w:rPr>
                <w:rFonts w:ascii="宋体" w:hAnsi="宋体" w:cs="宋体" w:eastAsia="宋体" w:hint="default"/>
                <w:spacing w:val="-6"/>
                <w:sz w:val="18"/>
                <w:szCs w:val="18"/>
              </w:rPr>
              <w:t>高级人民法院（</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浙民初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号《民事判</w:t>
            </w:r>
            <w:r>
              <w:rPr>
                <w:rFonts w:ascii="宋体" w:hAnsi="宋体" w:cs="宋体" w:eastAsia="宋体" w:hint="default"/>
                <w:sz w:val="18"/>
                <w:szCs w:val="18"/>
              </w:rPr>
              <w:t> </w:t>
            </w:r>
            <w:r>
              <w:rPr>
                <w:rFonts w:ascii="宋体" w:hAnsi="宋体" w:cs="宋体" w:eastAsia="宋体" w:hint="default"/>
                <w:spacing w:val="-16"/>
                <w:sz w:val="18"/>
                <w:szCs w:val="18"/>
              </w:rPr>
              <w:t>决书》，浙江省高级人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民法院判决如下：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李欣于本判决生效之 日起十日内向银江股 份有限公司交付银江 股份有限 公司股份 </w:t>
            </w:r>
            <w:r>
              <w:rPr>
                <w:rFonts w:ascii="Times New Roman" w:hAnsi="Times New Roman" w:cs="Times New Roman" w:eastAsia="Times New Roman" w:hint="default"/>
                <w:sz w:val="18"/>
                <w:szCs w:val="18"/>
              </w:rPr>
              <w:t>25240153  </w:t>
            </w:r>
            <w:r>
              <w:rPr>
                <w:rFonts w:ascii="宋体" w:hAnsi="宋体" w:cs="宋体" w:eastAsia="宋体" w:hint="default"/>
                <w:spacing w:val="-13"/>
                <w:sz w:val="18"/>
                <w:szCs w:val="18"/>
              </w:rPr>
              <w:t>股，由银江</w:t>
            </w:r>
          </w:p>
          <w:p>
            <w:pPr>
              <w:pStyle w:val="TableParagraph"/>
              <w:spacing w:line="307" w:lineRule="auto" w:before="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股份有限公司以 </w:t>
            </w:r>
            <w:r>
              <w:rPr>
                <w:rFonts w:ascii="Times New Roman" w:hAnsi="Times New Roman" w:cs="Times New Roman" w:eastAsia="Times New Roman" w:hint="default"/>
                <w:sz w:val="18"/>
                <w:szCs w:val="18"/>
              </w:rPr>
              <w:t>1 </w:t>
            </w:r>
            <w:r>
              <w:rPr>
                <w:rFonts w:ascii="宋体" w:hAnsi="宋体" w:cs="宋体" w:eastAsia="宋体" w:hint="default"/>
                <w:sz w:val="18"/>
                <w:szCs w:val="18"/>
              </w:rPr>
              <w:t>元价格回购并注销；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、如李欣不能足额交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付上述 </w:t>
            </w:r>
            <w:r>
              <w:rPr>
                <w:rFonts w:ascii="Times New Roman" w:hAnsi="Times New Roman" w:cs="Times New Roman" w:eastAsia="Times New Roman" w:hint="default"/>
                <w:sz w:val="18"/>
                <w:szCs w:val="18"/>
              </w:rPr>
              <w:t>25240153</w:t>
            </w:r>
          </w:p>
          <w:p>
            <w:pPr>
              <w:pStyle w:val="TableParagraph"/>
              <w:spacing w:line="316" w:lineRule="auto" w:before="7"/>
              <w:ind w:left="22" w:right="47"/>
              <w:jc w:val="left"/>
              <w:rPr>
                <w:rFonts w:ascii="宋体" w:hAnsi="宋体" w:cs="宋体" w:eastAsia="宋体" w:hint="default"/>
                <w:sz w:val="18"/>
                <w:szCs w:val="18"/>
              </w:rPr>
            </w:pPr>
            <w:r>
              <w:rPr>
                <w:rFonts w:ascii="宋体" w:hAnsi="宋体" w:cs="宋体" w:eastAsia="宋体" w:hint="default"/>
                <w:sz w:val="18"/>
                <w:szCs w:val="18"/>
              </w:rPr>
              <w:t>股，则于本判决生效 之日起十日内将 交 付不足部分的股份数 折算为补偿金支付给 银江股份有限公司</w:t>
            </w:r>
          </w:p>
          <w:p>
            <w:pPr>
              <w:pStyle w:val="TableParagraph"/>
              <w:spacing w:line="309" w:lineRule="auto" w:before="19"/>
              <w:ind w:left="22" w:right="47"/>
              <w:jc w:val="left"/>
              <w:rPr>
                <w:rFonts w:ascii="宋体" w:hAnsi="宋体" w:cs="宋体" w:eastAsia="宋体" w:hint="default"/>
                <w:sz w:val="18"/>
                <w:szCs w:val="18"/>
              </w:rPr>
            </w:pPr>
            <w:r>
              <w:rPr>
                <w:rFonts w:ascii="宋体" w:hAnsi="宋体" w:cs="宋体" w:eastAsia="宋体" w:hint="default"/>
                <w:sz w:val="18"/>
                <w:szCs w:val="18"/>
              </w:rPr>
              <w:t>（补偿金按股份发 行价 </w:t>
            </w:r>
            <w:r>
              <w:rPr>
                <w:rFonts w:ascii="Times New Roman" w:hAnsi="Times New Roman" w:cs="Times New Roman" w:eastAsia="Times New Roman" w:hint="default"/>
                <w:sz w:val="18"/>
                <w:szCs w:val="18"/>
              </w:rPr>
              <w:t>21.33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元与交 付不足部分的股份数</w:t>
            </w:r>
          </w:p>
          <w:p>
            <w:pPr>
              <w:pStyle w:val="TableParagraph"/>
              <w:spacing w:line="312" w:lineRule="auto" w:before="24"/>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pacing w:val="-14"/>
                <w:sz w:val="18"/>
                <w:szCs w:val="18"/>
              </w:rPr>
              <w:t>之乘积计算）。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z w:val="18"/>
                <w:szCs w:val="18"/>
              </w:rPr>
              <w:t>日， 公司收到浙江省高级 人民法院发来的《民 </w:t>
            </w:r>
            <w:r>
              <w:rPr>
                <w:rFonts w:ascii="宋体" w:hAnsi="宋体" w:cs="宋体" w:eastAsia="宋体" w:hint="default"/>
                <w:spacing w:val="-16"/>
                <w:sz w:val="18"/>
                <w:szCs w:val="18"/>
              </w:rPr>
              <w:t>事上诉状》，李欣不服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浙江省高级人民法院</w:t>
            </w:r>
          </w:p>
          <w:p>
            <w:pPr>
              <w:pStyle w:val="TableParagraph"/>
              <w:spacing w:line="307" w:lineRule="auto" w:before="22"/>
              <w:ind w:left="22"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 浙民初 </w:t>
            </w:r>
            <w:r>
              <w:rPr>
                <w:rFonts w:ascii="Times New Roman" w:hAnsi="Times New Roman" w:cs="Times New Roman" w:eastAsia="Times New Roman" w:hint="default"/>
                <w:sz w:val="18"/>
                <w:szCs w:val="18"/>
              </w:rPr>
              <w:t>6 </w:t>
            </w:r>
            <w:r>
              <w:rPr>
                <w:rFonts w:ascii="宋体" w:hAnsi="宋体" w:cs="宋体" w:eastAsia="宋体" w:hint="default"/>
                <w:sz w:val="18"/>
                <w:szCs w:val="18"/>
              </w:rPr>
              <w:t>号民事判决，向中华 人民共和国最高人民 法院提起上诉。</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月，公司收到中 华人民共和国最高人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668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3"/>
                <w:sz w:val="20"/>
                <w:szCs w:val="20"/>
              </w:rPr>
              <w:pict>
                <v:group style="width:41.3pt;height:334.5pt;mso-position-horizontal-relative:char;mso-position-vertical-relative:line" coordorigin="0,0" coordsize="826,6690">
                  <v:group style="position:absolute;left:0;top:0;width:826;height:6690" coordorigin="0,0" coordsize="826,6690">
                    <v:shape style="position:absolute;left:0;top:0;width:826;height:6690" coordorigin="0,0" coordsize="826,6690" path="m0,6689l826,6689,826,0,0,0,0,6689xe" filled="true" fillcolor="#ffffff" stroked="false">
                      <v:path arrowok="t"/>
                      <v:fill type="solid"/>
                    </v:shape>
                  </v:group>
                </v:group>
              </w:pict>
            </w:r>
            <w:r>
              <w:rPr>
                <w:rFonts w:ascii="Times New Roman" w:hAnsi="Times New Roman" w:cs="Times New Roman" w:eastAsia="Times New Roman" w:hint="default"/>
                <w:position w:val="-133"/>
                <w:sz w:val="20"/>
                <w:szCs w:val="20"/>
              </w:rPr>
            </w:r>
          </w:p>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24,417.48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3" w:right="198"/>
              <w:jc w:val="both"/>
              <w:rPr>
                <w:rFonts w:ascii="宋体" w:hAnsi="宋体" w:cs="宋体" w:eastAsia="宋体" w:hint="default"/>
                <w:sz w:val="18"/>
                <w:szCs w:val="18"/>
              </w:rPr>
            </w:pPr>
            <w:r>
              <w:rPr>
                <w:rFonts w:ascii="宋体" w:hAnsi="宋体" w:cs="宋体" w:eastAsia="宋体" w:hint="default"/>
                <w:sz w:val="18"/>
                <w:szCs w:val="18"/>
              </w:rPr>
              <w:t>本案及衍 生诉讼案 件均已二 审终审完 毕</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7"/>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公司收到浙江省 高级人民法院</w:t>
            </w:r>
          </w:p>
          <w:p>
            <w:pPr>
              <w:pStyle w:val="TableParagraph"/>
              <w:spacing w:line="312" w:lineRule="auto" w:before="24"/>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）浙民初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号《民事判</w:t>
            </w:r>
            <w:r>
              <w:rPr>
                <w:rFonts w:ascii="宋体" w:hAnsi="宋体" w:cs="宋体" w:eastAsia="宋体" w:hint="default"/>
                <w:sz w:val="18"/>
                <w:szCs w:val="18"/>
              </w:rPr>
              <w:t> 决</w:t>
            </w:r>
            <w:r>
              <w:rPr>
                <w:rFonts w:ascii="宋体" w:hAnsi="宋体" w:cs="宋体" w:eastAsia="宋体" w:hint="default"/>
                <w:sz w:val="18"/>
                <w:szCs w:val="18"/>
              </w:rPr>
              <w:t> </w:t>
            </w:r>
            <w:r>
              <w:rPr>
                <w:rFonts w:ascii="宋体" w:hAnsi="宋体" w:cs="宋体" w:eastAsia="宋体" w:hint="default"/>
                <w:spacing w:val="-13"/>
                <w:sz w:val="18"/>
                <w:szCs w:val="18"/>
              </w:rPr>
              <w:t>书》，浙江省高级</w:t>
            </w:r>
            <w:r>
              <w:rPr>
                <w:rFonts w:ascii="宋体" w:hAnsi="宋体" w:cs="宋体" w:eastAsia="宋体" w:hint="default"/>
                <w:sz w:val="18"/>
                <w:szCs w:val="18"/>
              </w:rPr>
              <w:t> 人民法院判决如 下： </w:t>
            </w:r>
            <w:r>
              <w:rPr>
                <w:rFonts w:ascii="Times New Roman" w:hAnsi="Times New Roman" w:cs="Times New Roman" w:eastAsia="Times New Roman" w:hint="default"/>
                <w:sz w:val="18"/>
                <w:szCs w:val="18"/>
              </w:rPr>
              <w:t>1</w:t>
            </w:r>
            <w:r>
              <w:rPr>
                <w:rFonts w:ascii="宋体" w:hAnsi="宋体" w:cs="宋体" w:eastAsia="宋体" w:hint="default"/>
                <w:sz w:val="18"/>
                <w:szCs w:val="18"/>
              </w:rPr>
              <w:t>、李欣于 本判决生效之日 起十日内向银江 股份有限公司交 付银江股份有限 公司股份 </w:t>
            </w:r>
            <w:r>
              <w:rPr>
                <w:rFonts w:ascii="Times New Roman" w:hAnsi="Times New Roman" w:cs="Times New Roman" w:eastAsia="Times New Roman" w:hint="default"/>
                <w:sz w:val="18"/>
                <w:szCs w:val="18"/>
              </w:rPr>
              <w:t>25240153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股，由</w:t>
            </w:r>
          </w:p>
          <w:p>
            <w:pPr>
              <w:pStyle w:val="TableParagraph"/>
              <w:spacing w:line="316" w:lineRule="auto" w:before="3"/>
              <w:ind w:left="22" w:right="97"/>
              <w:jc w:val="left"/>
              <w:rPr>
                <w:rFonts w:ascii="宋体" w:hAnsi="宋体" w:cs="宋体" w:eastAsia="宋体" w:hint="default"/>
                <w:sz w:val="18"/>
                <w:szCs w:val="18"/>
              </w:rPr>
            </w:pPr>
            <w:r>
              <w:rPr>
                <w:rFonts w:ascii="宋体" w:hAnsi="宋体" w:cs="宋体" w:eastAsia="宋体" w:hint="default"/>
                <w:sz w:val="18"/>
                <w:szCs w:val="18"/>
              </w:rPr>
              <w:t>银江股份有限公 司以 </w:t>
            </w:r>
            <w:r>
              <w:rPr>
                <w:rFonts w:ascii="Times New Roman" w:hAnsi="Times New Roman" w:cs="Times New Roman" w:eastAsia="Times New Roman" w:hint="default"/>
                <w:sz w:val="18"/>
                <w:szCs w:val="18"/>
              </w:rPr>
              <w:t>1  </w:t>
            </w:r>
            <w:r>
              <w:rPr>
                <w:rFonts w:ascii="宋体" w:hAnsi="宋体" w:cs="宋体" w:eastAsia="宋体" w:hint="default"/>
                <w:sz w:val="18"/>
                <w:szCs w:val="18"/>
              </w:rPr>
              <w:t>元价格</w:t>
            </w: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回购并注销；</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如李欣不能足额 交付上述 </w:t>
            </w:r>
            <w:r>
              <w:rPr>
                <w:rFonts w:ascii="Times New Roman" w:hAnsi="Times New Roman" w:cs="Times New Roman" w:eastAsia="Times New Roman" w:hint="default"/>
                <w:sz w:val="18"/>
                <w:szCs w:val="18"/>
              </w:rPr>
              <w:t>25240153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股，则</w:t>
            </w:r>
          </w:p>
          <w:p>
            <w:pPr>
              <w:pStyle w:val="TableParagraph"/>
              <w:spacing w:line="316" w:lineRule="auto" w:before="3"/>
              <w:ind w:left="22" w:right="97"/>
              <w:jc w:val="left"/>
              <w:rPr>
                <w:rFonts w:ascii="宋体" w:hAnsi="宋体" w:cs="宋体" w:eastAsia="宋体" w:hint="default"/>
                <w:sz w:val="18"/>
                <w:szCs w:val="18"/>
              </w:rPr>
            </w:pPr>
            <w:r>
              <w:rPr>
                <w:rFonts w:ascii="宋体" w:hAnsi="宋体" w:cs="宋体" w:eastAsia="宋体" w:hint="default"/>
                <w:sz w:val="18"/>
                <w:szCs w:val="18"/>
              </w:rPr>
              <w:t>于本判决生效之 日起十日内将 交付不足部分的 股份数折算为补 偿金支付给银江 股份有限公司</w:t>
            </w:r>
          </w:p>
          <w:p>
            <w:pPr>
              <w:pStyle w:val="TableParagraph"/>
              <w:spacing w:line="309" w:lineRule="auto" w:before="19"/>
              <w:ind w:left="22" w:right="53"/>
              <w:jc w:val="left"/>
              <w:rPr>
                <w:rFonts w:ascii="宋体" w:hAnsi="宋体" w:cs="宋体" w:eastAsia="宋体" w:hint="default"/>
                <w:sz w:val="18"/>
                <w:szCs w:val="18"/>
              </w:rPr>
            </w:pPr>
            <w:r>
              <w:rPr>
                <w:rFonts w:ascii="宋体" w:hAnsi="宋体" w:cs="宋体" w:eastAsia="宋体" w:hint="default"/>
                <w:sz w:val="18"/>
                <w:szCs w:val="18"/>
              </w:rPr>
              <w:t>（补偿金按股份 发 行价 </w:t>
            </w:r>
            <w:r>
              <w:rPr>
                <w:rFonts w:ascii="Times New Roman" w:hAnsi="Times New Roman" w:cs="Times New Roman" w:eastAsia="Times New Roman" w:hint="default"/>
                <w:sz w:val="18"/>
                <w:szCs w:val="18"/>
              </w:rPr>
              <w:t>21.33 </w:t>
            </w:r>
            <w:r>
              <w:rPr>
                <w:rFonts w:ascii="宋体" w:hAnsi="宋体" w:cs="宋体" w:eastAsia="宋体" w:hint="default"/>
                <w:sz w:val="18"/>
                <w:szCs w:val="18"/>
              </w:rPr>
              <w:t>元与交付不足部 分的股份数</w:t>
            </w:r>
            <w:r>
              <w:rPr>
                <w:rFonts w:ascii="Times New Roman" w:hAnsi="Times New Roman" w:cs="Times New Roman" w:eastAsia="Times New Roman" w:hint="default"/>
                <w:sz w:val="18"/>
                <w:szCs w:val="18"/>
              </w:rPr>
              <w:t>/2.2 </w:t>
            </w:r>
            <w:r>
              <w:rPr>
                <w:rFonts w:ascii="宋体" w:hAnsi="宋体" w:cs="宋体" w:eastAsia="宋体" w:hint="default"/>
                <w:spacing w:val="-13"/>
                <w:sz w:val="18"/>
                <w:szCs w:val="18"/>
              </w:rPr>
              <w:t>之乘积计算）。</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 司收到中华人民 共和国最高人民 法院（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）最 高法民终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 </w:t>
            </w:r>
            <w:r>
              <w:rPr>
                <w:rFonts w:ascii="宋体" w:hAnsi="宋体" w:cs="宋体" w:eastAsia="宋体" w:hint="default"/>
                <w:sz w:val="18"/>
                <w:szCs w:val="18"/>
              </w:rPr>
              <w:t>号</w:t>
            </w:r>
          </w:p>
          <w:p>
            <w:pPr>
              <w:pStyle w:val="TableParagraph"/>
              <w:spacing w:line="316" w:lineRule="auto" w:before="5"/>
              <w:ind w:left="22" w:right="7"/>
              <w:jc w:val="left"/>
              <w:rPr>
                <w:rFonts w:ascii="宋体" w:hAnsi="宋体" w:cs="宋体" w:eastAsia="宋体" w:hint="default"/>
                <w:sz w:val="18"/>
                <w:szCs w:val="18"/>
              </w:rPr>
            </w:pPr>
            <w:r>
              <w:rPr>
                <w:rFonts w:ascii="宋体" w:hAnsi="宋体" w:cs="宋体" w:eastAsia="宋体" w:hint="default"/>
                <w:spacing w:val="-12"/>
                <w:sz w:val="18"/>
                <w:szCs w:val="18"/>
              </w:rPr>
              <w:t>《民事裁定书》，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最高人民法院裁 定如下：本案按 上诉人李欣自动 撤回上诉处理。 一审判决自本裁 定书送达之日起 发生法律效力。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653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0"/>
                <w:sz w:val="20"/>
                <w:szCs w:val="20"/>
              </w:rPr>
              <w:pict>
                <v:group style="width:62.8pt;height:326.7pt;mso-position-horizontal-relative:char;mso-position-vertical-relative:line" coordorigin="0,0" coordsize="1256,6534">
                  <v:group style="position:absolute;left:0;top:0;width:1256;height:6534" coordorigin="0,0" coordsize="1256,6534">
                    <v:shape style="position:absolute;left:0;top:0;width:1256;height:6534" coordorigin="0,0" coordsize="1256,6534" path="m0,6533l1256,6533,1256,0,0,0,0,6533xe" filled="true" fillcolor="#ffffff" stroked="false">
                      <v:path arrowok="t"/>
                      <v:fill type="solid"/>
                    </v:shape>
                  </v:group>
                </v:group>
              </w:pict>
            </w:r>
            <w:r>
              <w:rPr>
                <w:rFonts w:ascii="Times New Roman" w:hAnsi="Times New Roman" w:cs="Times New Roman" w:eastAsia="Times New Roman" w:hint="default"/>
                <w:position w:val="-130"/>
                <w:sz w:val="20"/>
                <w:szCs w:val="20"/>
              </w:rPr>
            </w:r>
          </w:p>
          <w:p>
            <w:pPr>
              <w:pStyle w:val="TableParagraph"/>
              <w:spacing w:line="319"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本案尚在司法 执行过程之中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2" w:right="143"/>
              <w:jc w:val="both"/>
              <w:rPr>
                <w:rFonts w:ascii="宋体" w:hAnsi="宋体" w:cs="宋体" w:eastAsia="宋体" w:hint="default"/>
                <w:sz w:val="18"/>
                <w:szCs w:val="18"/>
              </w:rPr>
            </w:pPr>
            <w:r>
              <w:rPr>
                <w:rFonts w:ascii="宋体" w:hAnsi="宋体" w:cs="宋体" w:eastAsia="宋体" w:hint="default"/>
                <w:sz w:val="18"/>
                <w:szCs w:val="18"/>
              </w:rPr>
              <w:t>《关于诉讼 进展暨收到 衍生诉讼案 件二审民事 判决书的公 告 》</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2018-007</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35"/>
                <w:sz w:val="18"/>
                <w:szCs w:val="18"/>
              </w:rPr>
              <w:t>）、《关于收到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民事裁定书 的公告 》</w:t>
            </w:r>
          </w:p>
          <w:p>
            <w:pPr>
              <w:pStyle w:val="TableParagraph"/>
              <w:spacing w:line="240" w:lineRule="auto" w:before="19"/>
              <w:ind w:left="22"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《关于收到</w:t>
            </w:r>
          </w:p>
          <w:p>
            <w:pPr>
              <w:pStyle w:val="TableParagraph"/>
              <w:spacing w:line="319" w:lineRule="auto" w:before="76"/>
              <w:ind w:left="22" w:right="-37"/>
              <w:jc w:val="left"/>
              <w:rPr>
                <w:rFonts w:ascii="宋体" w:hAnsi="宋体" w:cs="宋体" w:eastAsia="宋体" w:hint="default"/>
                <w:sz w:val="18"/>
                <w:szCs w:val="18"/>
              </w:rPr>
            </w:pPr>
            <w:r>
              <w:rPr>
                <w:rFonts w:ascii="宋体" w:hAnsi="宋体" w:cs="宋体" w:eastAsia="宋体" w:hint="default"/>
                <w:sz w:val="18"/>
                <w:szCs w:val="18"/>
              </w:rPr>
              <w:t>《民事案件 受理通知书》 的公告 》</w:t>
            </w:r>
          </w:p>
          <w:p>
            <w:pPr>
              <w:pStyle w:val="TableParagraph"/>
              <w:spacing w:line="240" w:lineRule="auto" w:before="17"/>
              <w:ind w:left="22"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2018-061</w:t>
            </w:r>
            <w:r>
              <w:rPr>
                <w:rFonts w:ascii="宋体" w:hAnsi="宋体" w:cs="宋体" w:eastAsia="宋体" w:hint="default"/>
                <w:sz w:val="18"/>
                <w:szCs w:val="18"/>
              </w:rPr>
              <w:t>）</w:t>
            </w:r>
          </w:p>
          <w:p>
            <w:pPr>
              <w:pStyle w:val="TableParagraph"/>
              <w:spacing w:line="316" w:lineRule="auto" w:before="63"/>
              <w:ind w:left="22" w:right="53"/>
              <w:jc w:val="left"/>
              <w:rPr>
                <w:rFonts w:ascii="宋体" w:hAnsi="宋体" w:cs="宋体" w:eastAsia="宋体" w:hint="default"/>
                <w:sz w:val="18"/>
                <w:szCs w:val="18"/>
              </w:rPr>
            </w:pPr>
            <w:r>
              <w:rPr>
                <w:rFonts w:ascii="宋体" w:hAnsi="宋体" w:cs="宋体" w:eastAsia="宋体" w:hint="default"/>
                <w:spacing w:val="-15"/>
                <w:sz w:val="18"/>
                <w:szCs w:val="18"/>
              </w:rPr>
              <w:t>、《关于收到</w:t>
            </w:r>
            <w:r>
              <w:rPr>
                <w:rFonts w:ascii="宋体" w:hAnsi="宋体" w:cs="宋体" w:eastAsia="宋体" w:hint="default"/>
                <w:sz w:val="18"/>
                <w:szCs w:val="18"/>
              </w:rPr>
              <w:t> 法院执行裁 定书》</w:t>
            </w:r>
          </w:p>
          <w:p>
            <w:pPr>
              <w:pStyle w:val="TableParagraph"/>
              <w:spacing w:line="240" w:lineRule="auto" w:before="19"/>
              <w:ind w:left="22"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2018-083</w:t>
            </w:r>
            <w:r>
              <w:rPr>
                <w:rFonts w:ascii="宋体" w:hAnsi="宋体" w:cs="宋体" w:eastAsia="宋体" w:hint="default"/>
                <w:sz w:val="18"/>
                <w:szCs w:val="18"/>
              </w:rPr>
              <w:t>）</w:t>
            </w:r>
          </w:p>
          <w:p>
            <w:pPr>
              <w:pStyle w:val="TableParagraph"/>
              <w:spacing w:line="316" w:lineRule="auto" w:before="63"/>
              <w:ind w:left="22" w:right="53"/>
              <w:jc w:val="left"/>
              <w:rPr>
                <w:rFonts w:ascii="宋体" w:hAnsi="宋体" w:cs="宋体" w:eastAsia="宋体" w:hint="default"/>
                <w:sz w:val="18"/>
                <w:szCs w:val="18"/>
              </w:rPr>
            </w:pPr>
            <w:r>
              <w:rPr>
                <w:rFonts w:ascii="宋体" w:hAnsi="宋体" w:cs="宋体" w:eastAsia="宋体" w:hint="default"/>
                <w:spacing w:val="-15"/>
                <w:sz w:val="18"/>
                <w:szCs w:val="18"/>
              </w:rPr>
              <w:t>、《关于个人</w:t>
            </w:r>
            <w:r>
              <w:rPr>
                <w:rFonts w:ascii="宋体" w:hAnsi="宋体" w:cs="宋体" w:eastAsia="宋体" w:hint="default"/>
                <w:sz w:val="18"/>
                <w:szCs w:val="18"/>
              </w:rPr>
              <w:t> 股东股份司 法划转完成 的公告》</w:t>
            </w:r>
          </w:p>
          <w:p>
            <w:pPr>
              <w:pStyle w:val="TableParagraph"/>
              <w:spacing w:line="240" w:lineRule="auto" w:before="19"/>
              <w:ind w:left="22"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2018-087</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266"/>
        <w:gridCol w:w="1080"/>
        <w:gridCol w:w="1076"/>
      </w:tblGrid>
      <w:tr>
        <w:trPr>
          <w:trHeight w:val="11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民法院（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）最高 法民终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 </w:t>
            </w:r>
            <w:r>
              <w:rPr>
                <w:rFonts w:ascii="宋体" w:hAnsi="宋体" w:cs="宋体" w:eastAsia="宋体" w:hint="default"/>
                <w:spacing w:val="-16"/>
                <w:sz w:val="18"/>
                <w:szCs w:val="18"/>
              </w:rPr>
              <w:t>裁定书》，最高人民法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院裁定如下：本案按 上诉人李欣自动撤回 上诉处理。一审判决 自本裁定书送达之日 起发生法律效力。本 </w:t>
            </w:r>
            <w:r>
              <w:rPr>
                <w:rFonts w:ascii="宋体" w:hAnsi="宋体" w:cs="宋体" w:eastAsia="宋体" w:hint="default"/>
                <w:spacing w:val="-16"/>
                <w:sz w:val="18"/>
                <w:szCs w:val="18"/>
              </w:rPr>
              <w:t>裁定为终审裁定。（备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注：本案存有衍生诉 讼案件：银江股份有 限公司向杭州市中级 人民法院起诉李欣、 浙江浙商证券资产管 理有限公司停止执行 </w:t>
            </w:r>
            <w:r>
              <w:rPr>
                <w:rFonts w:ascii="Times New Roman" w:hAnsi="Times New Roman" w:cs="Times New Roman" w:eastAsia="Times New Roman" w:hint="default"/>
                <w:sz w:val="18"/>
                <w:szCs w:val="18"/>
              </w:rPr>
              <w:t>25,240,153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股银江股</w:t>
            </w:r>
          </w:p>
          <w:p>
            <w:pPr>
              <w:pStyle w:val="TableParagraph"/>
              <w:spacing w:line="314" w:lineRule="auto"/>
              <w:ind w:left="22" w:right="2"/>
              <w:jc w:val="left"/>
              <w:rPr>
                <w:rFonts w:ascii="宋体" w:hAnsi="宋体" w:cs="宋体" w:eastAsia="宋体" w:hint="default"/>
                <w:sz w:val="18"/>
                <w:szCs w:val="18"/>
              </w:rPr>
            </w:pPr>
            <w:r>
              <w:rPr>
                <w:rFonts w:ascii="宋体" w:hAnsi="宋体" w:cs="宋体" w:eastAsia="宋体" w:hint="default"/>
                <w:sz w:val="18"/>
                <w:szCs w:val="18"/>
              </w:rPr>
              <w:t>份的案外人执行异议 之诉。</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公司收到浙江省杭州 市中级人民法院 </w:t>
            </w:r>
            <w:r>
              <w:rPr>
                <w:rFonts w:ascii="Times New Roman" w:hAnsi="Times New Roman" w:cs="Times New Roman" w:eastAsia="Times New Roman" w:hint="default"/>
                <w:sz w:val="18"/>
                <w:szCs w:val="18"/>
              </w:rPr>
              <w:t>“(2016)</w:t>
            </w:r>
            <w:r>
              <w:rPr>
                <w:rFonts w:ascii="宋体" w:hAnsi="宋体" w:cs="宋体" w:eastAsia="宋体" w:hint="default"/>
                <w:sz w:val="18"/>
                <w:szCs w:val="18"/>
              </w:rPr>
              <w:t>浙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民初</w:t>
            </w:r>
          </w:p>
          <w:p>
            <w:pPr>
              <w:pStyle w:val="TableParagraph"/>
              <w:spacing w:line="312" w:lineRule="auto" w:before="1"/>
              <w:ind w:left="22"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《民事判 决 </w:t>
            </w:r>
            <w:r>
              <w:rPr>
                <w:rFonts w:ascii="宋体" w:hAnsi="宋体" w:cs="宋体" w:eastAsia="宋体" w:hint="default"/>
                <w:spacing w:val="-16"/>
                <w:sz w:val="18"/>
                <w:szCs w:val="18"/>
              </w:rPr>
              <w:t>书》，杭州市中级人民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法院作出一审判决， 驳回原告银江股份的 诉讼请求。</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月，公司对一审判决 不服，向浙江省高级 人民法院提起上诉。 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月收 到浙江省高级人民法 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浙民终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247</w:t>
            </w:r>
          </w:p>
          <w:p>
            <w:pPr>
              <w:pStyle w:val="TableParagraph"/>
              <w:spacing w:line="307" w:lineRule="auto" w:before="3"/>
              <w:ind w:left="22" w:right="-32"/>
              <w:jc w:val="both"/>
              <w:rPr>
                <w:rFonts w:ascii="宋体" w:hAnsi="宋体" w:cs="宋体" w:eastAsia="宋体" w:hint="default"/>
                <w:sz w:val="18"/>
                <w:szCs w:val="18"/>
              </w:rPr>
            </w:pPr>
            <w:r>
              <w:rPr>
                <w:rFonts w:ascii="宋体" w:hAnsi="宋体" w:cs="宋体" w:eastAsia="宋体" w:hint="default"/>
                <w:spacing w:val="-9"/>
                <w:w w:val="100"/>
                <w:sz w:val="18"/>
                <w:szCs w:val="18"/>
              </w:rPr>
              <w:t>号</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《民事判决书》，</w:t>
            </w:r>
            <w:r>
              <w:rPr>
                <w:rFonts w:ascii="宋体" w:hAnsi="宋体" w:cs="宋体" w:eastAsia="宋体" w:hint="default"/>
                <w:sz w:val="18"/>
                <w:szCs w:val="18"/>
              </w:rPr>
              <w:t> 浙江省高级人民法院 </w:t>
            </w:r>
            <w:r>
              <w:rPr>
                <w:rFonts w:ascii="宋体" w:hAnsi="宋体" w:cs="宋体" w:eastAsia="宋体" w:hint="default"/>
                <w:spacing w:val="-6"/>
                <w:sz w:val="18"/>
                <w:szCs w:val="18"/>
              </w:rPr>
              <w:t>作出终审判决：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驳回</w:t>
            </w:r>
            <w:r>
              <w:rPr>
                <w:rFonts w:ascii="宋体" w:hAnsi="宋体" w:cs="宋体" w:eastAsia="宋体" w:hint="default"/>
                <w:spacing w:val="-86"/>
                <w:sz w:val="18"/>
                <w:szCs w:val="18"/>
              </w:rPr>
              <w:t> </w:t>
            </w:r>
            <w:r>
              <w:rPr>
                <w:rFonts w:ascii="宋体" w:hAnsi="宋体" w:cs="宋体" w:eastAsia="宋体" w:hint="default"/>
                <w:sz w:val="18"/>
                <w:szCs w:val="18"/>
              </w:rPr>
              <w:t>上诉，维持原判。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112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41.3pt;height:563.7pt;mso-position-horizontal-relative:char;mso-position-vertical-relative:line" coordorigin="0,0" coordsize="826,11274">
                  <v:group style="position:absolute;left:0;top:0;width:826;height:11274" coordorigin="0,0" coordsize="826,11274">
                    <v:shape style="position:absolute;left:0;top:0;width:826;height:11274" coordorigin="0,0" coordsize="826,11274" path="m0,11274l826,11274,826,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本裁定为终审裁 定。本案以及本 案衍生诉讼案件 的终审裁判结 果，对 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 的影响较大且存 在不确定性，视 本案最终司法执 行结果而定。</w:t>
            </w:r>
            <w:r>
              <w:rPr>
                <w:rFonts w:ascii="宋体" w:hAnsi="宋体" w:cs="宋体" w:eastAsia="宋体" w:hint="default"/>
                <w:spacing w:val="-14"/>
                <w:sz w:val="18"/>
                <w:szCs w:val="18"/>
              </w:rPr>
              <w:t> </w:t>
            </w:r>
            <w:r>
              <w:rPr>
                <w:rFonts w:ascii="宋体" w:hAnsi="宋体" w:cs="宋体" w:eastAsia="宋体" w:hint="default"/>
                <w:sz w:val="18"/>
                <w:szCs w:val="18"/>
              </w:rPr>
              <w:t>具</w:t>
            </w:r>
            <w:r>
              <w:rPr>
                <w:rFonts w:ascii="宋体" w:hAnsi="宋体" w:cs="宋体" w:eastAsia="宋体" w:hint="default"/>
                <w:sz w:val="18"/>
                <w:szCs w:val="18"/>
              </w:rPr>
              <w:t> 体内容见公司于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p>
          <w:p>
            <w:pPr>
              <w:pStyle w:val="TableParagraph"/>
              <w:spacing w:line="316" w:lineRule="auto"/>
              <w:ind w:left="22"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日在巨潮资讯网 披露的《关于诉 讼进展暨收到 衍生诉讼案件二 审民事判决书的 </w:t>
            </w:r>
            <w:r>
              <w:rPr>
                <w:rFonts w:ascii="宋体" w:hAnsi="宋体" w:cs="宋体" w:eastAsia="宋体" w:hint="default"/>
                <w:spacing w:val="-13"/>
                <w:sz w:val="18"/>
                <w:szCs w:val="18"/>
              </w:rPr>
              <w:t>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2018-007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银江股份有限公司于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月向杭州市 中级人民法院就李 欣、浙江浙商证券资 产管理有限公司确认 合同无效纠纷提起民 事诉讼，杭州市中级 人民法院已受理并正</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82" w:right="0"/>
              <w:jc w:val="left"/>
              <w:rPr>
                <w:rFonts w:ascii="Times New Roman" w:hAnsi="Times New Roman" w:cs="Times New Roman" w:eastAsia="Times New Roman" w:hint="default"/>
                <w:sz w:val="18"/>
                <w:szCs w:val="18"/>
              </w:rPr>
            </w:pPr>
            <w:r>
              <w:rPr>
                <w:rFonts w:ascii="Times New Roman"/>
                <w:sz w:val="18"/>
              </w:rPr>
              <w:t>24,417.48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98"/>
              <w:jc w:val="both"/>
              <w:rPr>
                <w:rFonts w:ascii="宋体" w:hAnsi="宋体" w:cs="宋体" w:eastAsia="宋体" w:hint="default"/>
                <w:sz w:val="18"/>
                <w:szCs w:val="18"/>
              </w:rPr>
            </w:pPr>
            <w:r>
              <w:rPr>
                <w:rFonts w:ascii="宋体" w:hAnsi="宋体" w:cs="宋体" w:eastAsia="宋体" w:hint="default"/>
                <w:sz w:val="18"/>
                <w:szCs w:val="18"/>
              </w:rPr>
              <w:t>本案尚在 一审一审 判决后上 诉审理阶 段</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97"/>
              <w:jc w:val="left"/>
              <w:rPr>
                <w:rFonts w:ascii="宋体" w:hAnsi="宋体" w:cs="宋体" w:eastAsia="宋体" w:hint="default"/>
                <w:sz w:val="18"/>
                <w:szCs w:val="18"/>
              </w:rPr>
            </w:pPr>
            <w:r>
              <w:rPr>
                <w:rFonts w:ascii="宋体" w:hAnsi="宋体" w:cs="宋体" w:eastAsia="宋体" w:hint="default"/>
                <w:sz w:val="18"/>
                <w:szCs w:val="18"/>
              </w:rPr>
              <w:t>本案尚未有生效 判决审理结果</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4" w:right="150"/>
              <w:jc w:val="left"/>
              <w:rPr>
                <w:rFonts w:ascii="宋体" w:hAnsi="宋体" w:cs="宋体" w:eastAsia="宋体" w:hint="default"/>
                <w:sz w:val="18"/>
                <w:szCs w:val="18"/>
              </w:rPr>
            </w:pPr>
            <w:r>
              <w:rPr>
                <w:rFonts w:ascii="宋体" w:hAnsi="宋体" w:cs="宋体" w:eastAsia="宋体" w:hint="default"/>
                <w:sz w:val="18"/>
                <w:szCs w:val="18"/>
              </w:rPr>
              <w:t>本案尚未进入 司法执行程序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43"/>
              <w:jc w:val="both"/>
              <w:rPr>
                <w:rFonts w:ascii="宋体" w:hAnsi="宋体" w:cs="宋体" w:eastAsia="宋体" w:hint="default"/>
                <w:sz w:val="18"/>
                <w:szCs w:val="18"/>
              </w:rPr>
            </w:pPr>
            <w:r>
              <w:rPr>
                <w:rFonts w:ascii="宋体" w:hAnsi="宋体" w:cs="宋体" w:eastAsia="宋体" w:hint="default"/>
                <w:sz w:val="18"/>
                <w:szCs w:val="18"/>
              </w:rPr>
              <w:t>《关于收到 民事判决书 的公告 》</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266"/>
        <w:gridCol w:w="1080"/>
        <w:gridCol w:w="1076"/>
      </w:tblGrid>
      <w:tr>
        <w:trPr>
          <w:trHeight w:val="322"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式立</w:t>
            </w:r>
            <w:r>
              <w:rPr>
                <w:rFonts w:ascii="宋体" w:hAnsi="宋体" w:cs="宋体" w:eastAsia="宋体" w:hint="default"/>
                <w:spacing w:val="-78"/>
                <w:sz w:val="18"/>
                <w:szCs w:val="18"/>
              </w:rPr>
              <w:t>案</w:t>
            </w:r>
            <w:r>
              <w:rPr>
                <w:rFonts w:ascii="宋体" w:hAnsi="宋体" w:cs="宋体" w:eastAsia="宋体" w:hint="default"/>
                <w:sz w:val="18"/>
                <w:szCs w:val="18"/>
              </w:rPr>
              <w:t>（案号</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2018</w:t>
            </w:r>
          </w:p>
        </w:tc>
        <w:tc>
          <w:tcPr>
            <w:tcW w:w="835" w:type="dxa"/>
            <w:tcBorders>
              <w:top w:val="single" w:sz="4" w:space="0" w:color="000000"/>
              <w:left w:val="single" w:sz="4" w:space="0" w:color="000000"/>
              <w:bottom w:val="nil" w:sz="6" w:space="0" w:color="auto"/>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vMerge w:val="restart"/>
            <w:tcBorders>
              <w:top w:val="single" w:sz="4" w:space="0" w:color="000000"/>
              <w:left w:val="single" w:sz="4" w:space="0" w:color="000000"/>
              <w:right w:val="single" w:sz="4" w:space="0" w:color="000000"/>
            </w:tcBorders>
          </w:tcPr>
          <w:p>
            <w:pPr/>
          </w:p>
        </w:tc>
        <w:tc>
          <w:tcPr>
            <w:tcW w:w="1392"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银江股份的主要诉讼</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请求为确认李欣、浙</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江浙商证券资产管理</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有限公司签订的浙商</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聚银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号银江股份股</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票收益权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专项资产管理计划</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《股票质押合同》均</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公司收到浙江省杭州</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市中级人民法院</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浙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民初</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《民事判决</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杭州市中级人民</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法院作出一审判决，</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驳回原告银江股份的</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诉讼请求。</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月，公司对一审判决</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不服，向浙江省高级</w:t>
            </w:r>
          </w:p>
        </w:tc>
        <w:tc>
          <w:tcPr>
            <w:tcW w:w="835"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right w:val="single" w:sz="4" w:space="0" w:color="000000"/>
            </w:tcBorders>
          </w:tcPr>
          <w:p>
            <w:pPr/>
          </w:p>
        </w:tc>
        <w:tc>
          <w:tcPr>
            <w:tcW w:w="954" w:type="dxa"/>
            <w:vMerge/>
            <w:tcBorders>
              <w:left w:val="single" w:sz="4" w:space="0" w:color="000000"/>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人民法院提起上诉。</w:t>
            </w:r>
          </w:p>
        </w:tc>
        <w:tc>
          <w:tcPr>
            <w:tcW w:w="835" w:type="dxa"/>
            <w:tcBorders>
              <w:top w:val="nil" w:sz="6" w:space="0" w:color="auto"/>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pict>
          <v:shape style="position:absolute;margin-left:135.860001pt;margin-top:-357.62439pt;width:47.5pt;height:345.3pt;mso-position-horizontal-relative:page;mso-position-vertical-relative:paragraph;z-index:-1156648"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142.039993pt;margin-top:-357.62439pt;width:41.3pt;height:345.3pt;mso-position-horizontal-relative:page;mso-position-vertical-relative:paragraph;z-index:-1156624" coordorigin="2841,-7152" coordsize="826,6906">
            <v:shape style="position:absolute;left:2841;top:-7152;width:826;height:6906" coordorigin="2841,-7152" coordsize="826,6906" path="m2841,-247l3666,-247,3666,-7152,2841,-7152,2841,-247xe" filled="true" fillcolor="#ffffff" stroked="false">
              <v:path arrowok="t"/>
              <v:fill type="solid"/>
            </v:shape>
            <w10:wrap type="none"/>
          </v:group>
        </w:pict>
      </w:r>
      <w:bookmarkStart w:name="十二、处罚及整改情况" w:id="85"/>
      <w:bookmarkEnd w:id="8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86"/>
      <w:bookmarkEnd w:id="8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87"/>
      <w:bookmarkEnd w:id="8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88"/>
      <w:bookmarkEnd w:id="8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9"/>
      <w:bookmarkEnd w:id="8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8"/>
        <w:gridCol w:w="677"/>
        <w:gridCol w:w="677"/>
        <w:gridCol w:w="703"/>
        <w:gridCol w:w="680"/>
        <w:gridCol w:w="675"/>
        <w:gridCol w:w="674"/>
        <w:gridCol w:w="674"/>
        <w:gridCol w:w="674"/>
        <w:gridCol w:w="674"/>
        <w:gridCol w:w="675"/>
        <w:gridCol w:w="673"/>
        <w:gridCol w:w="671"/>
        <w:gridCol w:w="633"/>
      </w:tblGrid>
      <w:tr>
        <w:trPr>
          <w:trHeight w:val="695"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92"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44"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4" w:right="63"/>
              <w:jc w:val="left"/>
              <w:rPr>
                <w:rFonts w:ascii="宋体" w:hAnsi="宋体" w:cs="宋体" w:eastAsia="宋体" w:hint="default"/>
                <w:sz w:val="18"/>
                <w:szCs w:val="18"/>
              </w:rPr>
            </w:pPr>
            <w:r>
              <w:rPr>
                <w:rFonts w:ascii="宋体" w:hAnsi="宋体" w:cs="宋体" w:eastAsia="宋体" w:hint="default"/>
                <w:sz w:val="18"/>
                <w:szCs w:val="18"/>
              </w:rPr>
              <w:t>关联交 易定价</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61" w:right="61"/>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0"/>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2"/>
              <w:jc w:val="left"/>
              <w:rPr>
                <w:rFonts w:ascii="宋体" w:hAnsi="宋体" w:cs="宋体" w:eastAsia="宋体" w:hint="default"/>
                <w:sz w:val="18"/>
                <w:szCs w:val="18"/>
              </w:rPr>
            </w:pPr>
            <w:r>
              <w:rPr>
                <w:rFonts w:ascii="宋体" w:hAnsi="宋体" w:cs="宋体" w:eastAsia="宋体" w:hint="default"/>
                <w:sz w:val="18"/>
                <w:szCs w:val="18"/>
              </w:rPr>
              <w:t>占同类 交易金</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0"/>
              <w:jc w:val="left"/>
              <w:rPr>
                <w:rFonts w:ascii="宋体" w:hAnsi="宋体" w:cs="宋体" w:eastAsia="宋体" w:hint="default"/>
                <w:sz w:val="18"/>
                <w:szCs w:val="18"/>
              </w:rPr>
            </w:pPr>
            <w:r>
              <w:rPr>
                <w:rFonts w:ascii="宋体" w:hAnsi="宋体" w:cs="宋体" w:eastAsia="宋体" w:hint="default"/>
                <w:sz w:val="18"/>
                <w:szCs w:val="18"/>
              </w:rPr>
              <w:t>获批的 交易额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2" w:right="60"/>
              <w:jc w:val="left"/>
              <w:rPr>
                <w:rFonts w:ascii="宋体" w:hAnsi="宋体" w:cs="宋体" w:eastAsia="宋体" w:hint="default"/>
                <w:sz w:val="18"/>
                <w:szCs w:val="18"/>
              </w:rPr>
            </w:pPr>
            <w:r>
              <w:rPr>
                <w:rFonts w:ascii="宋体" w:hAnsi="宋体" w:cs="宋体" w:eastAsia="宋体" w:hint="default"/>
                <w:sz w:val="18"/>
                <w:szCs w:val="18"/>
              </w:rPr>
              <w:t>是否超 过获批</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3"/>
              <w:jc w:val="left"/>
              <w:rPr>
                <w:rFonts w:ascii="宋体" w:hAnsi="宋体" w:cs="宋体" w:eastAsia="宋体" w:hint="default"/>
                <w:sz w:val="18"/>
                <w:szCs w:val="18"/>
              </w:rPr>
            </w:pPr>
            <w:r>
              <w:rPr>
                <w:rFonts w:ascii="宋体" w:hAnsi="宋体" w:cs="宋体" w:eastAsia="宋体" w:hint="default"/>
                <w:sz w:val="18"/>
                <w:szCs w:val="18"/>
              </w:rPr>
              <w:t>关联交 易结算</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0"/>
              <w:jc w:val="left"/>
              <w:rPr>
                <w:rFonts w:ascii="宋体" w:hAnsi="宋体" w:cs="宋体" w:eastAsia="宋体" w:hint="default"/>
                <w:sz w:val="18"/>
                <w:szCs w:val="18"/>
              </w:rPr>
            </w:pPr>
            <w:r>
              <w:rPr>
                <w:rFonts w:ascii="宋体" w:hAnsi="宋体" w:cs="宋体" w:eastAsia="宋体" w:hint="default"/>
                <w:sz w:val="18"/>
                <w:szCs w:val="18"/>
              </w:rPr>
              <w:t>可获得 的同类</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26" w:right="3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5"/>
              <w:jc w:val="right"/>
              <w:rPr>
                <w:rFonts w:ascii="宋体" w:hAnsi="宋体" w:cs="宋体" w:eastAsia="宋体" w:hint="default"/>
                <w:sz w:val="18"/>
                <w:szCs w:val="18"/>
              </w:rPr>
            </w:pPr>
            <w:r>
              <w:rPr>
                <w:rFonts w:ascii="宋体" w:hAnsi="宋体" w:cs="宋体" w:eastAsia="宋体" w:hint="default"/>
                <w:sz w:val="18"/>
                <w:szCs w:val="18"/>
              </w:rPr>
              <w:t>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1" w:hanging="180"/>
              <w:jc w:val="left"/>
              <w:rPr>
                <w:rFonts w:ascii="宋体" w:hAnsi="宋体" w:cs="宋体" w:eastAsia="宋体" w:hint="default"/>
                <w:sz w:val="18"/>
                <w:szCs w:val="18"/>
              </w:rPr>
            </w:pPr>
            <w:r>
              <w:rPr>
                <w:rFonts w:ascii="宋体" w:hAnsi="宋体" w:cs="宋体" w:eastAsia="宋体" w:hint="default"/>
                <w:sz w:val="18"/>
                <w:szCs w:val="18"/>
              </w:rPr>
              <w:t>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60" w:hanging="90"/>
              <w:jc w:val="left"/>
              <w:rPr>
                <w:rFonts w:ascii="宋体" w:hAnsi="宋体" w:cs="宋体" w:eastAsia="宋体" w:hint="default"/>
                <w:sz w:val="18"/>
                <w:szCs w:val="18"/>
              </w:rPr>
            </w:pPr>
            <w:r>
              <w:rPr>
                <w:rFonts w:ascii="宋体" w:hAnsi="宋体" w:cs="宋体" w:eastAsia="宋体" w:hint="default"/>
                <w:sz w:val="18"/>
                <w:szCs w:val="18"/>
              </w:rPr>
              <w:t>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0" w:hanging="180"/>
              <w:jc w:val="left"/>
              <w:rPr>
                <w:rFonts w:ascii="宋体" w:hAnsi="宋体" w:cs="宋体" w:eastAsia="宋体" w:hint="default"/>
                <w:sz w:val="18"/>
                <w:szCs w:val="18"/>
              </w:rPr>
            </w:pPr>
            <w:r>
              <w:rPr>
                <w:rFonts w:ascii="宋体" w:hAnsi="宋体" w:cs="宋体" w:eastAsia="宋体" w:hint="default"/>
                <w:sz w:val="18"/>
                <w:szCs w:val="18"/>
              </w:rPr>
              <w:t>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132.23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132.23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132.23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5,207.1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5,207.1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交通宝互 联网技术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385.87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455.86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455.86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0.25%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455.86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249.56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249.56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0.14%</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249.56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银江孵化 器股份有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购买服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物业管 理费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87.46</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上海银江 智慧智能 化技术有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建造合 同</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9.43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交通宝互 联网技术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2.81</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智谷创业 园有限公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建造合 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3,833.8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3,833.8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21,200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56"/>
        <w:gridCol w:w="6714"/>
      </w:tblGrid>
      <w:tr>
        <w:trPr>
          <w:trHeight w:val="1026"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资产或股权收购、出售发生的关联交易" w:id="90"/>
      <w:bookmarkEnd w:id="9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7"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智谷创业 园有限公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资产购买</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房产购买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32,000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2018-64</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91"/>
      <w:bookmarkEnd w:id="9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3"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650"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银江科技集 团有限公司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both"/>
              <w:rPr>
                <w:rFonts w:ascii="宋体" w:hAnsi="宋体" w:cs="宋体" w:eastAsia="宋体" w:hint="default"/>
                <w:sz w:val="18"/>
                <w:szCs w:val="18"/>
              </w:rPr>
            </w:pPr>
            <w:r>
              <w:rPr>
                <w:rFonts w:ascii="宋体" w:hAnsi="宋体" w:cs="宋体" w:eastAsia="宋体" w:hint="default"/>
                <w:sz w:val="18"/>
                <w:szCs w:val="18"/>
              </w:rPr>
              <w:t>杭州银江智 慧产业创业 投资合伙企 业（有限合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72,838.33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4" w:right="0"/>
              <w:jc w:val="left"/>
              <w:rPr>
                <w:rFonts w:ascii="Times New Roman" w:hAnsi="Times New Roman" w:cs="Times New Roman" w:eastAsia="Times New Roman" w:hint="default"/>
                <w:sz w:val="18"/>
                <w:szCs w:val="18"/>
              </w:rPr>
            </w:pPr>
            <w:r>
              <w:rPr>
                <w:rFonts w:ascii="Times New Roman"/>
                <w:sz w:val="18"/>
              </w:rPr>
              <w:t>72,830.33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-2,735.78</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92"/>
      <w:bookmarkEnd w:id="9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5、其他重大关联交易" w:id="93"/>
      <w:bookmarkEnd w:id="9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32"/>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日召开的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年第一次临时股东大会审议通过了《关于购买房产暨关联交易（调整后）的议案》，同 意向控股股东银江科技集团有限公司的全资子公司智谷创业园有限公司购买其所拥有的杭州市富阳区受降镇银湖村中国智 谷富春园区</w:t>
      </w:r>
      <w:r>
        <w:rPr>
          <w:rFonts w:ascii="Times New Roman" w:hAnsi="Times New Roman" w:cs="Times New Roman" w:eastAsia="Times New Roman" w:hint="default"/>
        </w:rPr>
        <w:t>11#-14#</w:t>
      </w:r>
      <w:r>
        <w:rPr/>
        <w:t>（共四幢）工业房地产（建筑总面积</w:t>
      </w:r>
      <w:r>
        <w:rPr>
          <w:rFonts w:ascii="Times New Roman" w:hAnsi="Times New Roman" w:cs="Times New Roman" w:eastAsia="Times New Roman" w:hint="default"/>
        </w:rPr>
        <w:t>43,661.00</w:t>
      </w:r>
      <w:r>
        <w:rPr/>
        <w:t>平方米，其中地上建筑面积</w:t>
      </w:r>
      <w:r>
        <w:rPr>
          <w:rFonts w:ascii="Times New Roman" w:hAnsi="Times New Roman" w:cs="Times New Roman" w:eastAsia="Times New Roman" w:hint="default"/>
        </w:rPr>
        <w:t>35,794.32</w:t>
      </w:r>
      <w:r>
        <w:rPr/>
        <w:t>平方米，地下建筑面 积</w:t>
      </w:r>
      <w:r>
        <w:rPr>
          <w:rFonts w:ascii="Times New Roman" w:hAnsi="Times New Roman" w:cs="Times New Roman" w:eastAsia="Times New Roman" w:hint="default"/>
        </w:rPr>
        <w:t>7,866.68</w:t>
      </w:r>
      <w:r>
        <w:rPr/>
        <w:t>平方米；对应土地使用权面积为</w:t>
      </w:r>
      <w:r>
        <w:rPr>
          <w:rFonts w:ascii="Times New Roman" w:hAnsi="Times New Roman" w:cs="Times New Roman" w:eastAsia="Times New Roman" w:hint="default"/>
        </w:rPr>
        <w:t>17,897.16</w:t>
      </w:r>
      <w:r>
        <w:rPr/>
        <w:t>平方米；上述各项面积最终以房地产权属证书登记内容为准），房产转 </w:t>
      </w:r>
      <w:r>
        <w:rPr>
          <w:spacing w:val="-1"/>
        </w:rPr>
        <w:t>让价格为人民币</w:t>
      </w:r>
      <w:r>
        <w:rPr>
          <w:rFonts w:ascii="Times New Roman" w:hAnsi="Times New Roman" w:cs="Times New Roman" w:eastAsia="Times New Roman" w:hint="default"/>
          <w:spacing w:val="-1"/>
        </w:rPr>
        <w:t>3.20</w:t>
      </w:r>
      <w:r>
        <w:rPr>
          <w:spacing w:val="-1"/>
        </w:rPr>
        <w:t>亿元。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月，智谷公司向公司出具《中国智谷</w:t>
      </w:r>
      <w:r>
        <w:rPr>
          <w:rFonts w:ascii="Times New Roman" w:hAnsi="Times New Roman" w:cs="Times New Roman" w:eastAsia="Times New Roman" w:hint="default"/>
          <w:spacing w:val="-1"/>
        </w:rPr>
        <w:t>•</w:t>
      </w:r>
      <w:r>
        <w:rPr>
          <w:spacing w:val="-1"/>
        </w:rPr>
        <w:t>富春园区写字楼交付通知书》以及由杭州三方建设</w:t>
      </w:r>
      <w:r>
        <w:rPr>
          <w:spacing w:val="-46"/>
        </w:rPr>
        <w:t> </w:t>
      </w:r>
      <w:r>
        <w:rPr>
          <w:spacing w:val="-46"/>
        </w:rPr>
      </w:r>
      <w:r>
        <w:rPr/>
        <w:t>集团有限公司出具的《中国智谷富阳园区项目竣工验收报告第三标段（</w:t>
      </w:r>
      <w:r>
        <w:rPr>
          <w:rFonts w:ascii="Times New Roman" w:hAnsi="Times New Roman" w:cs="Times New Roman" w:eastAsia="Times New Roman" w:hint="default"/>
        </w:rPr>
        <w:t>11#-14#</w:t>
      </w:r>
      <w:r>
        <w:rPr/>
        <w:t>楼）》，已按合同约定于时间将符合合同约 定的房屋交付给银江股份使用。截至本报告末，公司已按合同约定支付了相关费用，共计</w:t>
      </w:r>
      <w:r>
        <w:rPr>
          <w:rFonts w:ascii="Times New Roman" w:hAnsi="Times New Roman" w:cs="Times New Roman" w:eastAsia="Times New Roman" w:hint="default"/>
        </w:rPr>
        <w:t>32,000</w:t>
      </w:r>
      <w:r>
        <w:rPr/>
        <w:t>万元。</w:t>
      </w:r>
    </w:p>
    <w:p>
      <w:pPr>
        <w:spacing w:line="240" w:lineRule="auto" w:before="0"/>
        <w:rPr>
          <w:rFonts w:ascii="宋体" w:hAnsi="宋体" w:cs="宋体" w:eastAsia="宋体" w:hint="default"/>
          <w:sz w:val="18"/>
          <w:szCs w:val="18"/>
        </w:rPr>
      </w:pPr>
    </w:p>
    <w:p>
      <w:pPr>
        <w:pStyle w:val="BodyText"/>
        <w:spacing w:line="240" w:lineRule="auto" w:before="128"/>
        <w:ind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关于购买房产暨关联交易的公告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关于购买房产暨关联交易进展公告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关于购买房产暨关联交易进展公告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关于购买房产暨关联交易进展公告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94"/>
      <w:bookmarkEnd w:id="9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95"/>
      <w:bookmarkEnd w:id="9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6"/>
      <w:bookmarkEnd w:id="9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97"/>
      <w:bookmarkEnd w:id="9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98"/>
      <w:bookmarkEnd w:id="9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9"/>
      <w:bookmarkEnd w:id="9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100"/>
      <w:bookmarkEnd w:id="10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101"/>
      <w:bookmarkEnd w:id="10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102"/>
      <w:bookmarkEnd w:id="10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103"/>
      <w:bookmarkEnd w:id="10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银江股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5"/>
              <w:jc w:val="both"/>
              <w:rPr>
                <w:rFonts w:ascii="宋体" w:hAnsi="宋体" w:cs="宋体" w:eastAsia="宋体" w:hint="default"/>
                <w:sz w:val="18"/>
                <w:szCs w:val="18"/>
              </w:rPr>
            </w:pPr>
            <w:r>
              <w:rPr>
                <w:rFonts w:ascii="宋体" w:hAnsi="宋体" w:cs="宋体" w:eastAsia="宋体" w:hint="default"/>
                <w:sz w:val="18"/>
                <w:szCs w:val="18"/>
              </w:rPr>
              <w:t>中国建 筑股份 有限公 司云南 华丽高 速公路 建设指 挥部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云南省 华坪至 丽江高 速公路</w:t>
            </w:r>
          </w:p>
          <w:p>
            <w:pPr>
              <w:pStyle w:val="TableParagraph"/>
              <w:spacing w:line="362" w:lineRule="auto" w:before="58"/>
              <w:ind w:left="22" w:right="42"/>
              <w:jc w:val="both"/>
              <w:rPr>
                <w:rFonts w:ascii="Times New Roman" w:hAnsi="Times New Roman" w:cs="Times New Roman" w:eastAsia="Times New Roman" w:hint="default"/>
                <w:sz w:val="18"/>
                <w:szCs w:val="18"/>
              </w:rPr>
            </w:pPr>
            <w:r>
              <w:rPr>
                <w:rFonts w:ascii="Times New Roman"/>
                <w:sz w:val="18"/>
              </w:rPr>
              <w:t>K0+00</w:t>
            </w:r>
            <w:r>
              <w:rPr>
                <w:rFonts w:ascii="Times New Roman"/>
                <w:w w:val="99"/>
                <w:sz w:val="18"/>
              </w:rPr>
              <w:t> </w:t>
            </w:r>
            <w:r>
              <w:rPr>
                <w:rFonts w:ascii="Times New Roman"/>
                <w:sz w:val="18"/>
              </w:rPr>
              <w:t>0-K89+</w:t>
            </w:r>
          </w:p>
          <w:p>
            <w:pPr>
              <w:pStyle w:val="TableParagraph"/>
              <w:spacing w:line="21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段</w:t>
            </w:r>
          </w:p>
          <w:p>
            <w:pPr>
              <w:pStyle w:val="TableParagraph"/>
              <w:spacing w:line="338" w:lineRule="auto" w:before="63"/>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机电工 程施工 </w:t>
            </w:r>
            <w:r>
              <w:rPr>
                <w:rFonts w:ascii="Times New Roman" w:hAnsi="Times New Roman" w:cs="Times New Roman" w:eastAsia="Times New Roman" w:hint="default"/>
                <w:sz w:val="18"/>
                <w:szCs w:val="18"/>
              </w:rPr>
              <w:t>DJ2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27,580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65"/>
              <w:jc w:val="left"/>
              <w:rPr>
                <w:rFonts w:ascii="宋体" w:hAnsi="宋体" w:cs="宋体" w:eastAsia="宋体" w:hint="default"/>
                <w:sz w:val="18"/>
                <w:szCs w:val="18"/>
              </w:rPr>
            </w:pPr>
            <w:r>
              <w:rPr>
                <w:rFonts w:ascii="宋体" w:hAnsi="宋体" w:cs="宋体" w:eastAsia="宋体" w:hint="default"/>
                <w:sz w:val="18"/>
                <w:szCs w:val="18"/>
              </w:rPr>
              <w:t>进场实 施</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61"/>
              <w:jc w:val="left"/>
              <w:rPr>
                <w:rFonts w:ascii="宋体" w:hAnsi="宋体" w:cs="宋体" w:eastAsia="宋体" w:hint="default"/>
                <w:sz w:val="18"/>
                <w:szCs w:val="18"/>
              </w:rPr>
            </w:pPr>
            <w:r>
              <w:rPr>
                <w:rFonts w:ascii="宋体" w:hAnsi="宋体" w:cs="宋体" w:eastAsia="宋体" w:hint="default"/>
                <w:sz w:val="18"/>
                <w:szCs w:val="18"/>
              </w:rPr>
              <w:t>巨潮资 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社会责任情况" w:id="104"/>
      <w:bookmarkEnd w:id="104"/>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5"/>
      <w:bookmarkEnd w:id="10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公司积极履行企业应尽的义务，承担社会责任。公司在不断为股东创造价值的同时，也积极承担对员工、客户、社会等其他</w:t>
      </w:r>
      <w:r>
        <w:rPr>
          <w:spacing w:val="-66"/>
        </w:rPr>
        <w:t> </w:t>
      </w:r>
      <w:r>
        <w:rPr>
          <w:spacing w:val="-66"/>
        </w:rPr>
      </w:r>
      <w:r>
        <w:rPr/>
        <w:t>利益相关者的责任。 </w:t>
      </w:r>
      <w:r>
        <w:rPr>
          <w:spacing w:val="-2"/>
        </w:rPr>
        <w:t>公司严格按照《公司法》、《深圳证券交易所创业板股票上市规则》、《上市公司信息披露管理办法》等相关法律法规的要</w:t>
      </w:r>
      <w:r>
        <w:rPr>
          <w:spacing w:val="-67"/>
        </w:rPr>
        <w:t> </w:t>
      </w:r>
      <w:r>
        <w:rPr>
          <w:spacing w:val="-67"/>
        </w:rPr>
      </w:r>
      <w:r>
        <w:rPr>
          <w:spacing w:val="-2"/>
        </w:rPr>
        <w:t>求，及时、准确、真实、完整地进行信息披露，通过投资者电话、电子邮箱、投资者关系互动平台和实地调研等多种方式与</w:t>
      </w:r>
      <w:r>
        <w:rPr>
          <w:spacing w:val="-72"/>
        </w:rPr>
        <w:t> </w:t>
      </w:r>
      <w:r>
        <w:rPr>
          <w:spacing w:val="-72"/>
        </w:rPr>
      </w:r>
      <w:r>
        <w:rPr>
          <w:spacing w:val="-2"/>
        </w:rPr>
        <w:t>投资者进行沟通交流，提高了公司的透明度和诚信度。公司非常重视对投资者的合理回报，制定了相对稳定的利润分配政策</w:t>
      </w:r>
      <w:r>
        <w:rPr>
          <w:spacing w:val="-66"/>
        </w:rPr>
        <w:t> </w:t>
      </w:r>
      <w:r>
        <w:rPr>
          <w:spacing w:val="-66"/>
        </w:rPr>
      </w:r>
      <w:r>
        <w:rPr>
          <w:spacing w:val="-2"/>
        </w:rPr>
        <w:t>和分红方案以回报股东。公司一直坚持以人为本的人才理念，实施企业人才战略，严格遵守《劳动法》、《劳动合同法》等</w:t>
      </w:r>
      <w:r>
        <w:rPr>
          <w:spacing w:val="-67"/>
        </w:rPr>
        <w:t> </w:t>
      </w:r>
      <w:r>
        <w:rPr>
          <w:spacing w:val="-67"/>
        </w:rPr>
      </w:r>
      <w:r>
        <w:rPr>
          <w:spacing w:val="-2"/>
        </w:rPr>
        <w:t>相关法律法规，尊重和维护员工的个人权益，通过优化员工工作环境、定期发放节日补助等方式切实关注员工健康、安全和</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满意度；以银江大学为平台，开展员工知识技能的理论培训及实践操作技能培训，使员工专业素质得到切实的提高和发展， 维护员工合法权益。 公司始终将依法经营作为公司运行的基本原则，注重企业经济效益与社会效益的同步共赢。公司严格遵守国家法律、法规、 政策的规定，始终依法经营，积极纳税，发展就业岗位，支持地方经济的发展。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履行精准扶贫社会责任情况" w:id="106"/>
      <w:bookmarkEnd w:id="10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7"/>
      <w:bookmarkEnd w:id="10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8"/>
      <w:bookmarkEnd w:id="10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不适用</w:t>
      </w:r>
    </w:p>
    <w:p>
      <w:pPr>
        <w:pStyle w:val="BodyText"/>
        <w:spacing w:line="240" w:lineRule="auto" w:before="25"/>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109"/>
      <w:bookmarkEnd w:id="10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1"/>
        <w:ind w:right="0"/>
        <w:jc w:val="left"/>
      </w:pPr>
      <w:r>
        <w:rPr/>
        <w:t>（一）关于公司智慧城市总包项目进展情况 </w:t>
      </w:r>
      <w:r>
        <w:rPr>
          <w:spacing w:val="-2"/>
        </w:rPr>
        <w:t>截至本报告期末，公司先后与</w:t>
      </w:r>
      <w:r>
        <w:rPr>
          <w:rFonts w:ascii="Times New Roman" w:hAnsi="Times New Roman" w:cs="Times New Roman" w:eastAsia="Times New Roman" w:hint="default"/>
          <w:spacing w:val="-2"/>
        </w:rPr>
        <w:t>33</w:t>
      </w:r>
      <w:r>
        <w:rPr>
          <w:spacing w:val="-2"/>
        </w:rPr>
        <w:t>个地方政府签订了战略合作协议。协议各方签订框架协议后，都会通过多种方式进行意向项</w:t>
      </w:r>
      <w:r>
        <w:rPr>
          <w:spacing w:val="-64"/>
        </w:rPr>
        <w:t> </w:t>
      </w:r>
      <w:r>
        <w:rPr>
          <w:spacing w:val="-64"/>
        </w:rPr>
      </w:r>
      <w:r>
        <w:rPr>
          <w:spacing w:val="-2"/>
        </w:rPr>
        <w:t>目接洽和相互评估，具体意向项目的最终落地包括竞争性谈判、双方协商、公开招投标等多种方式。公司坚持质量优先、风</w:t>
      </w:r>
      <w:r>
        <w:rPr>
          <w:spacing w:val="-66"/>
        </w:rPr>
        <w:t> </w:t>
      </w:r>
      <w:r>
        <w:rPr>
          <w:spacing w:val="-66"/>
        </w:rPr>
      </w:r>
      <w:r>
        <w:rPr/>
        <w:t>险可控的原则，对于评估后风险较大的项目公司坚持宁缺毋滥原则审慎处理。 </w:t>
      </w:r>
      <w:r>
        <w:rPr>
          <w:spacing w:val="-2"/>
        </w:rPr>
        <w:t>公司城市大脑的相关软件平台亦在重点城市进行了布局应用，得益于样板城市的示范效应，公司已经在其它城市展开了城市</w:t>
      </w:r>
      <w:r>
        <w:rPr>
          <w:spacing w:val="-64"/>
        </w:rPr>
        <w:t> </w:t>
      </w:r>
      <w:r>
        <w:rPr>
          <w:spacing w:val="-64"/>
        </w:rPr>
      </w:r>
      <w:r>
        <w:rPr>
          <w:spacing w:val="-2"/>
        </w:rPr>
        <w:t>大脑的业务布局。目前，公司的杭州交通大脑、沈阳健康大脑、上海司法大脑目前运营应用状况良好，并得到了相关部门以</w:t>
      </w:r>
      <w:r>
        <w:rPr>
          <w:spacing w:val="-66"/>
        </w:rPr>
        <w:t> </w:t>
      </w:r>
      <w:r>
        <w:rPr>
          <w:spacing w:val="-66"/>
        </w:rPr>
      </w:r>
      <w:r>
        <w:rPr/>
        <w:t>及市民的认可。</w:t>
      </w:r>
    </w:p>
    <w:p>
      <w:pPr>
        <w:pStyle w:val="BodyText"/>
        <w:spacing w:line="307" w:lineRule="auto" w:before="20"/>
        <w:ind w:right="1130"/>
        <w:jc w:val="left"/>
      </w:pPr>
      <w:r>
        <w:rPr/>
        <w:t>（二）公司与浙商资管、李欣重大纠纷诉讼进展情况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月，公司与李欣的上市公司收购纠纷一案的衍生诉讼案件</w:t>
      </w:r>
      <w:r>
        <w:rPr>
          <w:rFonts w:ascii="Times New Roman" w:hAnsi="Times New Roman" w:cs="Times New Roman" w:eastAsia="Times New Roman" w:hint="default"/>
        </w:rPr>
        <w:t>——</w:t>
      </w:r>
      <w:r>
        <w:rPr/>
        <w:t>本公司与浙商资管、李欣案外人执行异议之诉已经浙 </w:t>
      </w:r>
      <w:r>
        <w:rPr>
          <w:spacing w:val="-2"/>
        </w:rPr>
        <w:t>江省高级人民法院作出终审判决，具体内容祥见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日公司在巨潮资讯网上披露的《关于诉讼进展暨收到衍生诉讼案</w:t>
      </w:r>
      <w:r>
        <w:rPr>
          <w:spacing w:val="-58"/>
        </w:rPr>
        <w:t> </w:t>
      </w:r>
      <w:r>
        <w:rPr>
          <w:spacing w:val="-58"/>
        </w:rPr>
      </w:r>
      <w:r>
        <w:rPr/>
        <w:t>件二审民事判决书的公告》（公告编号：</w:t>
      </w:r>
      <w:r>
        <w:rPr>
          <w:rFonts w:ascii="Times New Roman" w:hAnsi="Times New Roman" w:cs="Times New Roman" w:eastAsia="Times New Roman" w:hint="default"/>
        </w:rPr>
        <w:t>2018-007</w:t>
      </w:r>
      <w:r>
        <w:rPr/>
        <w:t>）。李欣不服判决，提起上诉，公司于</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月中收到中华人民共和</w:t>
      </w:r>
    </w:p>
    <w:p>
      <w:pPr>
        <w:pStyle w:val="BodyText"/>
        <w:spacing w:line="300" w:lineRule="auto" w:before="7"/>
        <w:ind w:right="1128"/>
        <w:jc w:val="both"/>
      </w:pPr>
      <w:r>
        <w:rPr>
          <w:spacing w:val="-6"/>
        </w:rPr>
        <w:t>国最高人民法院（</w:t>
      </w:r>
      <w:r>
        <w:rPr>
          <w:rFonts w:ascii="Times New Roman" w:hAnsi="Times New Roman" w:cs="Times New Roman" w:eastAsia="Times New Roman" w:hint="default"/>
          <w:spacing w:val="-6"/>
        </w:rPr>
        <w:t>2017</w:t>
      </w:r>
      <w:r>
        <w:rPr>
          <w:spacing w:val="-6"/>
        </w:rPr>
        <w:t>）最高法民终 </w:t>
      </w:r>
      <w:r>
        <w:rPr>
          <w:rFonts w:ascii="Times New Roman" w:hAnsi="Times New Roman" w:cs="Times New Roman" w:eastAsia="Times New Roman" w:hint="default"/>
        </w:rPr>
        <w:t>833 </w:t>
      </w:r>
      <w:r>
        <w:rPr>
          <w:spacing w:val="-5"/>
        </w:rPr>
        <w:t>号《民事裁定书》胜诉的终审判决维持原判（具体内容详见公司于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1"/>
        </w:rPr>
        <w:t>日发布的《关于收到民事裁定书的公告》（公告编号：</w:t>
      </w:r>
      <w:r>
        <w:rPr>
          <w:rFonts w:ascii="Times New Roman" w:hAnsi="Times New Roman" w:cs="Times New Roman" w:eastAsia="Times New Roman" w:hint="default"/>
          <w:spacing w:val="-1"/>
        </w:rPr>
        <w:t>2018-008</w:t>
      </w:r>
      <w:r>
        <w:rPr>
          <w:spacing w:val="-1"/>
        </w:rPr>
        <w:t>））。公司认为，李欣与浙商资管的股票质押行为属于违法</w:t>
      </w:r>
      <w:r>
        <w:rPr>
          <w:spacing w:val="-85"/>
        </w:rPr>
        <w:t> </w:t>
      </w:r>
      <w:r>
        <w:rPr>
          <w:spacing w:val="-85"/>
        </w:rPr>
      </w:r>
      <w:r>
        <w:rPr>
          <w:spacing w:val="-2"/>
        </w:rPr>
        <w:t>违规行为，且主观上具有恶意，使得李欣得以躲避证券合规监管、逃避巨额债务，给公司造成了巨大经济损失，因此，根据</w:t>
      </w:r>
    </w:p>
    <w:p>
      <w:pPr>
        <w:pStyle w:val="BodyText"/>
        <w:spacing w:line="316" w:lineRule="auto" w:before="31"/>
        <w:ind w:right="1130"/>
        <w:jc w:val="left"/>
      </w:pPr>
      <w:r>
        <w:rPr>
          <w:spacing w:val="-2"/>
        </w:rPr>
        <w:t>《物权法》、《合同法》的相关规定，李欣与浙商资管所签订的《股票质押合同》依法均无效。公司已依法提起诉讼，法院</w:t>
      </w:r>
      <w:r>
        <w:rPr>
          <w:spacing w:val="-68"/>
        </w:rPr>
        <w:t> </w:t>
      </w:r>
      <w:r>
        <w:rPr>
          <w:spacing w:val="-68"/>
        </w:rPr>
      </w:r>
      <w:r>
        <w:rPr/>
        <w:t>已决定立案审理，并于</w:t>
      </w:r>
      <w:r>
        <w:rPr>
          <w:spacing w:val="-3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日收到浙江省杭州市中级人民法院的《民事案件受理通知书》（案号：（</w:t>
      </w:r>
      <w:r>
        <w:rPr>
          <w:rFonts w:ascii="Times New Roman" w:hAnsi="Times New Roman" w:cs="Times New Roman" w:eastAsia="Times New Roman" w:hint="default"/>
        </w:rPr>
        <w:t>2018</w:t>
      </w:r>
      <w:r>
        <w:rPr/>
        <w:t>）浙</w:t>
      </w:r>
    </w:p>
    <w:p>
      <w:pPr>
        <w:pStyle w:val="BodyText"/>
        <w:spacing w:line="248" w:lineRule="exact"/>
        <w:ind w:right="0"/>
        <w:jc w:val="left"/>
      </w:pPr>
      <w:r>
        <w:rPr>
          <w:rFonts w:ascii="Times New Roman" w:hAnsi="Times New Roman" w:cs="Times New Roman" w:eastAsia="Times New Roman" w:hint="default"/>
        </w:rPr>
        <w:t>01 </w:t>
      </w:r>
      <w:r>
        <w:rPr/>
        <w:t>民初 </w:t>
      </w:r>
      <w:r>
        <w:rPr>
          <w:rFonts w:ascii="Times New Roman" w:hAnsi="Times New Roman" w:cs="Times New Roman" w:eastAsia="Times New Roman" w:hint="default"/>
        </w:rPr>
        <w:t>1538 </w:t>
      </w:r>
      <w:r>
        <w:rPr/>
        <w:t>号）（具体内容详见公司于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5"/>
        </w:rPr>
        <w:t> </w:t>
      </w:r>
      <w:r>
        <w:rPr/>
        <w:t>日发布的《关于收到</w:t>
      </w:r>
      <w:r>
        <w:rPr>
          <w:rFonts w:ascii="Times New Roman" w:hAnsi="Times New Roman" w:cs="Times New Roman" w:eastAsia="Times New Roman" w:hint="default"/>
        </w:rPr>
        <w:t>&lt;</w:t>
      </w:r>
      <w:r>
        <w:rPr/>
        <w:t>民事案件受理通知书</w:t>
      </w:r>
      <w:r>
        <w:rPr>
          <w:rFonts w:ascii="Times New Roman" w:hAnsi="Times New Roman" w:cs="Times New Roman" w:eastAsia="Times New Roman" w:hint="default"/>
        </w:rPr>
        <w:t>&gt;</w:t>
      </w:r>
      <w:r>
        <w:rPr/>
        <w:t>的公告》（公告编</w:t>
      </w:r>
    </w:p>
    <w:p>
      <w:pPr>
        <w:pStyle w:val="BodyText"/>
        <w:spacing w:line="300" w:lineRule="auto" w:before="63"/>
        <w:ind w:right="1130"/>
        <w:jc w:val="left"/>
        <w:rPr>
          <w:rFonts w:ascii="Times New Roman" w:hAnsi="Times New Roman" w:cs="Times New Roman" w:eastAsia="Times New Roman" w:hint="default"/>
        </w:rPr>
      </w:pPr>
      <w:r>
        <w:rPr/>
        <w:t>号：</w:t>
      </w:r>
      <w:r>
        <w:rPr>
          <w:rFonts w:ascii="Times New Roman" w:hAnsi="Times New Roman" w:cs="Times New Roman" w:eastAsia="Times New Roman" w:hint="default"/>
        </w:rPr>
        <w:t>2018-061</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，李欣所持公司 </w:t>
      </w:r>
      <w:r>
        <w:rPr>
          <w:rFonts w:ascii="Times New Roman" w:hAnsi="Times New Roman" w:cs="Times New Roman" w:eastAsia="Times New Roman" w:hint="default"/>
        </w:rPr>
        <w:t>27,813,840 </w:t>
      </w:r>
      <w:r>
        <w:rPr/>
        <w:t>股股份将于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日在阿里拍卖进行司法拍卖， 拍卖评估价为 </w:t>
      </w:r>
      <w:r>
        <w:rPr>
          <w:rFonts w:ascii="Times New Roman" w:hAnsi="Times New Roman" w:cs="Times New Roman" w:eastAsia="Times New Roman" w:hint="default"/>
        </w:rPr>
        <w:t>295,516,900 </w:t>
      </w:r>
      <w:r>
        <w:rPr>
          <w:spacing w:val="-5"/>
        </w:rPr>
        <w:t>元。李欣持有公司股份 </w:t>
      </w:r>
      <w:r>
        <w:rPr>
          <w:rFonts w:ascii="Times New Roman" w:hAnsi="Times New Roman" w:cs="Times New Roman" w:eastAsia="Times New Roman" w:hint="default"/>
        </w:rPr>
        <w:t>27,835,840 </w:t>
      </w:r>
      <w:r>
        <w:rPr/>
        <w:t>股占公司总股本 </w:t>
      </w:r>
      <w:r>
        <w:rPr>
          <w:rFonts w:ascii="Times New Roman" w:hAnsi="Times New Roman" w:cs="Times New Roman" w:eastAsia="Times New Roman" w:hint="default"/>
          <w:spacing w:val="-3"/>
        </w:rPr>
        <w:t>4.24%</w:t>
      </w:r>
      <w:r>
        <w:rPr>
          <w:spacing w:val="-3"/>
        </w:rPr>
        <w:t>，其中</w:t>
      </w:r>
      <w:r>
        <w:rPr>
          <w:rFonts w:ascii="Times New Roman" w:hAnsi="Times New Roman" w:cs="Times New Roman" w:eastAsia="Times New Roman" w:hint="default"/>
          <w:spacing w:val="-3"/>
        </w:rPr>
        <w:t>25,240,153</w:t>
      </w:r>
      <w:r>
        <w:rPr>
          <w:rFonts w:ascii="Times New Roman" w:hAnsi="Times New Roman" w:cs="Times New Roman" w:eastAsia="Times New Roman" w:hint="default"/>
          <w:spacing w:val="4"/>
        </w:rPr>
        <w:t> </w:t>
      </w:r>
      <w:r>
        <w:rPr/>
        <w:t>股为公司业绩补偿需 回购注销股份。本次执行拍卖的 </w:t>
      </w:r>
      <w:r>
        <w:rPr>
          <w:rFonts w:ascii="Times New Roman" w:hAnsi="Times New Roman" w:cs="Times New Roman" w:eastAsia="Times New Roman" w:hint="default"/>
        </w:rPr>
        <w:t>27,813,840 </w:t>
      </w:r>
      <w:r>
        <w:rPr/>
        <w:t>股占公司总股本</w:t>
      </w:r>
      <w:r>
        <w:rPr>
          <w:spacing w:val="-55"/>
        </w:rPr>
        <w:t> </w:t>
      </w:r>
      <w:r>
        <w:rPr>
          <w:rFonts w:ascii="Times New Roman" w:hAnsi="Times New Roman" w:cs="Times New Roman" w:eastAsia="Times New Roman" w:hint="default"/>
        </w:rPr>
        <w:t>4.24%</w:t>
      </w: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日发布的《关于个 </w:t>
      </w:r>
      <w:r>
        <w:rPr>
          <w:spacing w:val="-4"/>
        </w:rPr>
        <w:t>人股东所持股份被司法拍卖的公告》（公告编号：</w:t>
      </w:r>
      <w:r>
        <w:rPr>
          <w:rFonts w:ascii="Times New Roman" w:hAnsi="Times New Roman" w:cs="Times New Roman" w:eastAsia="Times New Roman" w:hint="default"/>
          <w:spacing w:val="-4"/>
        </w:rPr>
        <w:t>2018-072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月，李欣所持公司 </w:t>
      </w:r>
      <w:r>
        <w:rPr>
          <w:rFonts w:ascii="Times New Roman" w:hAnsi="Times New Roman" w:cs="Times New Roman" w:eastAsia="Times New Roman" w:hint="default"/>
        </w:rPr>
        <w:t>27,813,840  </w:t>
      </w:r>
      <w:r>
        <w:rPr/>
        <w:t>股股份于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8</w:t>
      </w:r>
    </w:p>
    <w:p>
      <w:pPr>
        <w:pStyle w:val="BodyText"/>
        <w:spacing w:line="240" w:lineRule="auto" w:before="13"/>
        <w:ind w:right="0"/>
        <w:jc w:val="left"/>
      </w:pPr>
      <w:r>
        <w:rPr/>
        <w:t>月 </w:t>
      </w:r>
      <w:r>
        <w:rPr>
          <w:rFonts w:ascii="Times New Roman" w:hAnsi="Times New Roman" w:cs="Times New Roman" w:eastAsia="Times New Roman" w:hint="default"/>
        </w:rPr>
        <w:t>20 </w:t>
      </w:r>
      <w:r>
        <w:rPr/>
        <w:t>日在阿里拍卖进行司法拍卖，拍卖评估价为 </w:t>
      </w:r>
      <w:r>
        <w:rPr>
          <w:rFonts w:ascii="Times New Roman" w:hAnsi="Times New Roman" w:cs="Times New Roman" w:eastAsia="Times New Roman" w:hint="default"/>
        </w:rPr>
        <w:t>295,516,900</w:t>
      </w:r>
      <w:r>
        <w:rPr>
          <w:rFonts w:ascii="Times New Roman" w:hAnsi="Times New Roman" w:cs="Times New Roman" w:eastAsia="Times New Roman" w:hint="default"/>
          <w:spacing w:val="3"/>
        </w:rPr>
        <w:t> </w:t>
      </w:r>
      <w:r>
        <w:rPr/>
        <w:t>元，此次司法拍卖业已流拍。李欣持有的银江股份有限公司</w:t>
      </w:r>
    </w:p>
    <w:p>
      <w:pPr>
        <w:pStyle w:val="BodyText"/>
        <w:spacing w:line="240" w:lineRule="auto" w:before="63"/>
        <w:ind w:right="0"/>
        <w:jc w:val="left"/>
      </w:pPr>
      <w:r>
        <w:rPr>
          <w:rFonts w:ascii="Times New Roman" w:hAnsi="Times New Roman" w:cs="Times New Roman" w:eastAsia="Times New Roman" w:hint="default"/>
        </w:rPr>
        <w:t>27,813,840 </w:t>
      </w:r>
      <w:r>
        <w:rPr/>
        <w:t>股 </w:t>
      </w:r>
      <w:r>
        <w:rPr>
          <w:rFonts w:ascii="Times New Roman" w:hAnsi="Times New Roman" w:cs="Times New Roman" w:eastAsia="Times New Roman" w:hint="default"/>
        </w:rPr>
        <w:t>A</w:t>
      </w:r>
      <w:r>
        <w:rPr/>
        <w:t>股股份归申请执行人浙江浙商证券资产管理有限公司所有，抵偿 </w:t>
      </w:r>
      <w:r>
        <w:rPr>
          <w:rFonts w:ascii="Times New Roman" w:hAnsi="Times New Roman" w:cs="Times New Roman" w:eastAsia="Times New Roman" w:hint="default"/>
        </w:rPr>
        <w:t>276,675,224.6</w:t>
      </w:r>
      <w:r>
        <w:rPr>
          <w:rFonts w:ascii="Times New Roman" w:hAnsi="Times New Roman" w:cs="Times New Roman" w:eastAsia="Times New Roman" w:hint="default"/>
          <w:spacing w:val="6"/>
        </w:rPr>
        <w:t> </w:t>
      </w:r>
      <w:r>
        <w:rPr/>
        <w:t>元债务。（具体内容详见公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06"/>
        <w:jc w:val="left"/>
      </w:pPr>
      <w:r>
        <w:rPr>
          <w:spacing w:val="-8"/>
        </w:rPr>
        <w:t>司于</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11</w:t>
      </w:r>
      <w:r>
        <w:rPr>
          <w:spacing w:val="-8"/>
        </w:rPr>
        <w:t>日发布的《关于收到法院执行裁定书暨个人股东所持股份被司法拍卖进展的公告（公告编号：</w:t>
      </w:r>
      <w:r>
        <w:rPr>
          <w:rFonts w:ascii="Times New Roman" w:hAnsi="Times New Roman" w:cs="Times New Roman" w:eastAsia="Times New Roman" w:hint="default"/>
          <w:spacing w:val="-8"/>
        </w:rPr>
        <w:t>2018-083</w:t>
      </w:r>
      <w:r>
        <w:rPr>
          <w:spacing w:val="-8"/>
        </w:rPr>
        <w:t>）》）。</w:t>
      </w:r>
      <w:r>
        <w:rPr>
          <w:spacing w:val="-60"/>
        </w:rPr>
        <w:t> </w:t>
      </w:r>
      <w:r>
        <w:rPr/>
        <w:t>李欣所持本公司</w:t>
      </w:r>
      <w:r>
        <w:rPr>
          <w:rFonts w:ascii="Times New Roman" w:hAnsi="Times New Roman" w:cs="Times New Roman" w:eastAsia="Times New Roman" w:hint="default"/>
        </w:rPr>
        <w:t>27,813,840</w:t>
      </w:r>
      <w:r>
        <w:rPr>
          <w:rFonts w:ascii="Times New Roman" w:hAnsi="Times New Roman" w:cs="Times New Roman" w:eastAsia="Times New Roman" w:hint="default"/>
          <w:spacing w:val="26"/>
        </w:rPr>
        <w:t> </w:t>
      </w:r>
      <w:r>
        <w:rPr/>
        <w:t>股股份已划转至浙江浙商证券资产管理有限公司。李欣此次司法划转前持有本公司股份 </w:t>
      </w:r>
      <w:r>
        <w:rPr>
          <w:rFonts w:ascii="Times New Roman" w:hAnsi="Times New Roman" w:cs="Times New Roman" w:eastAsia="Times New Roman" w:hint="default"/>
        </w:rPr>
        <w:t>27,835,840  </w:t>
      </w:r>
      <w:r>
        <w:rPr/>
        <w:t>股，占公司股份总数的</w:t>
      </w:r>
      <w:r>
        <w:rPr>
          <w:rFonts w:ascii="Times New Roman" w:hAnsi="Times New Roman" w:cs="Times New Roman" w:eastAsia="Times New Roman" w:hint="default"/>
        </w:rPr>
        <w:t>4.2446%</w:t>
      </w:r>
      <w:r>
        <w:rPr/>
        <w:t>；此次司法划转后李欣持有本公司股份 </w:t>
      </w:r>
      <w:r>
        <w:rPr>
          <w:rFonts w:ascii="Times New Roman" w:hAnsi="Times New Roman" w:cs="Times New Roman" w:eastAsia="Times New Roman" w:hint="default"/>
        </w:rPr>
        <w:t>22,000</w:t>
      </w:r>
      <w:r>
        <w:rPr>
          <w:rFonts w:ascii="Times New Roman" w:hAnsi="Times New Roman" w:cs="Times New Roman" w:eastAsia="Times New Roman" w:hint="default"/>
          <w:spacing w:val="-14"/>
        </w:rPr>
        <w:t> </w:t>
      </w:r>
      <w:r>
        <w:rPr/>
        <w:t>股，占公司股份总数的</w:t>
      </w:r>
      <w:r>
        <w:rPr>
          <w:rFonts w:ascii="Times New Roman" w:hAnsi="Times New Roman" w:cs="Times New Roman" w:eastAsia="Times New Roman" w:hint="default"/>
        </w:rPr>
        <w:t>0.0034%</w:t>
      </w:r>
      <w:r>
        <w:rPr/>
        <w:t>。</w:t>
      </w:r>
    </w:p>
    <w:p>
      <w:pPr>
        <w:pStyle w:val="BodyText"/>
        <w:spacing w:line="300" w:lineRule="auto" w:before="13"/>
        <w:ind w:right="1113"/>
        <w:jc w:val="left"/>
      </w:pP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日发布的《关于个人股东股份司法划转完成的公告</w:t>
      </w:r>
      <w:r>
        <w:rPr>
          <w:spacing w:val="-51"/>
        </w:rPr>
        <w:t> </w:t>
      </w:r>
      <w:r>
        <w:rPr/>
        <w:t>》（编号：</w:t>
      </w:r>
      <w:r>
        <w:rPr>
          <w:rFonts w:ascii="Times New Roman" w:hAnsi="Times New Roman" w:cs="Times New Roman" w:eastAsia="Times New Roman" w:hint="default"/>
        </w:rPr>
        <w:t>2018-087</w:t>
      </w:r>
      <w:r>
        <w:rPr/>
        <w:t>））。公司与浙 江浙商证券资产管理有限公司、李欣确认合同无效纠纷一案，浙江省杭州市中级人民法院于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日立案后，依</w:t>
      </w:r>
    </w:p>
    <w:p>
      <w:pPr>
        <w:pStyle w:val="BodyText"/>
        <w:spacing w:line="300" w:lineRule="auto" w:before="13"/>
        <w:ind w:right="1158"/>
        <w:jc w:val="both"/>
      </w:pPr>
      <w:r>
        <w:rPr/>
        <w:t>法适用普通程序，于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6"/>
        </w:rPr>
        <w:t> </w:t>
      </w:r>
      <w:r>
        <w:rPr/>
        <w:t>日公开开庭进行了审理。判决结果为驳回银江股份有限公司的诉讼请求。（具体内 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日发布的《关于收到民事判决书的公告</w:t>
      </w:r>
      <w:r>
        <w:rPr>
          <w:spacing w:val="-19"/>
        </w:rPr>
        <w:t> </w:t>
      </w:r>
      <w:r>
        <w:rPr/>
        <w:t>》（编号：</w:t>
      </w:r>
      <w:r>
        <w:rPr>
          <w:rFonts w:ascii="Times New Roman" w:hAnsi="Times New Roman" w:cs="Times New Roman" w:eastAsia="Times New Roman" w:hint="default"/>
        </w:rPr>
        <w:t>2019-006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月，公司对一审判决 不服，向浙江省高级人民法院提起上诉。判决审理结果存在不确定性。</w:t>
      </w:r>
    </w:p>
    <w:p>
      <w:pPr>
        <w:pStyle w:val="BodyText"/>
        <w:spacing w:line="300" w:lineRule="auto" w:before="31"/>
        <w:ind w:right="1033"/>
        <w:jc w:val="left"/>
      </w:pPr>
      <w:r>
        <w:rPr/>
        <w:t>（三）关于章丘市智慧城市视屏监控</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w:t>
      </w:r>
      <w:r>
        <w:rPr>
          <w:rFonts w:ascii="Times New Roman" w:hAnsi="Times New Roman" w:cs="Times New Roman" w:eastAsia="Times New Roman" w:hint="default"/>
        </w:rPr>
        <w:t>PPP</w:t>
      </w:r>
      <w:r>
        <w:rPr/>
        <w:t>项目实施进展情况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月，公司与章丘市公安局签订了《章丘市智慧城市视频监控</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w:t>
      </w:r>
      <w:r>
        <w:rPr>
          <w:rFonts w:ascii="Times New Roman" w:hAnsi="Times New Roman" w:cs="Times New Roman" w:eastAsia="Times New Roman" w:hint="default"/>
        </w:rPr>
        <w:t>PPP</w:t>
      </w:r>
      <w:r>
        <w:rPr/>
        <w:t>项目合同》，项目总投资为人民币</w:t>
      </w:r>
      <w:r>
        <w:rPr>
          <w:rFonts w:ascii="Times New Roman" w:hAnsi="Times New Roman" w:cs="Times New Roman" w:eastAsia="Times New Roman" w:hint="default"/>
        </w:rPr>
        <w:t>9,598 </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月，根据</w:t>
      </w:r>
      <w:r>
        <w:rPr>
          <w:rFonts w:ascii="Times New Roman" w:hAnsi="Times New Roman" w:cs="Times New Roman" w:eastAsia="Times New Roman" w:hint="default"/>
          <w:spacing w:val="-2"/>
        </w:rPr>
        <w:t>PPP</w:t>
      </w:r>
      <w:r>
        <w:rPr>
          <w:spacing w:val="-2"/>
        </w:rPr>
        <w:t>合同约定，注册成立项目公司。报告期内，该</w:t>
      </w:r>
      <w:r>
        <w:rPr>
          <w:rFonts w:ascii="Times New Roman" w:hAnsi="Times New Roman" w:cs="Times New Roman" w:eastAsia="Times New Roman" w:hint="default"/>
          <w:spacing w:val="-2"/>
        </w:rPr>
        <w:t>PPP</w:t>
      </w:r>
      <w:r>
        <w:rPr>
          <w:spacing w:val="-2"/>
        </w:rPr>
        <w:t>项目正在实施过程中，施工进程将近完成</w:t>
      </w:r>
      <w:r>
        <w:rPr>
          <w:rFonts w:ascii="Times New Roman" w:hAnsi="Times New Roman" w:cs="Times New Roman" w:eastAsia="Times New Roman" w:hint="default"/>
          <w:spacing w:val="-2"/>
        </w:rPr>
        <w:t>95%</w:t>
      </w:r>
      <w:r>
        <w:rPr>
          <w:spacing w:val="-2"/>
        </w:rPr>
        <w:t>。</w:t>
      </w:r>
    </w:p>
    <w:p>
      <w:pPr>
        <w:pStyle w:val="BodyText"/>
        <w:spacing w:line="300" w:lineRule="auto" w:before="13"/>
        <w:ind w:right="1130"/>
        <w:jc w:val="left"/>
      </w:pPr>
      <w:r>
        <w:rPr/>
        <w:t>（四）关于沈阳市区域人口健康信息平台</w:t>
      </w:r>
      <w:r>
        <w:rPr>
          <w:rFonts w:ascii="Times New Roman" w:hAnsi="Times New Roman" w:cs="Times New Roman" w:eastAsia="Times New Roman" w:hint="default"/>
        </w:rPr>
        <w:t>PPP</w:t>
      </w:r>
      <w:r>
        <w:rPr/>
        <w:t>项目实施进展情况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日在巨潮资讯网发布了《关于收到</w:t>
      </w:r>
      <w:r>
        <w:rPr>
          <w:rFonts w:ascii="Times New Roman" w:hAnsi="Times New Roman" w:cs="Times New Roman" w:eastAsia="Times New Roman" w:hint="default"/>
          <w:spacing w:val="-2"/>
        </w:rPr>
        <w:t>PPP</w:t>
      </w:r>
      <w:r>
        <w:rPr>
          <w:spacing w:val="-2"/>
        </w:rPr>
        <w:t>项目成交通知书的公告》（公告编号：</w:t>
      </w:r>
      <w:r>
        <w:rPr>
          <w:rFonts w:ascii="Times New Roman" w:hAnsi="Times New Roman" w:cs="Times New Roman" w:eastAsia="Times New Roman" w:hint="default"/>
          <w:spacing w:val="-2"/>
        </w:rPr>
        <w:t>2017-011</w:t>
      </w:r>
      <w:r>
        <w:rPr>
          <w:spacing w:val="-2"/>
        </w:rPr>
        <w:t>），公司与中国联</w:t>
      </w:r>
      <w:r>
        <w:rPr>
          <w:spacing w:val="-52"/>
        </w:rPr>
        <w:t> </w:t>
      </w:r>
      <w:r>
        <w:rPr>
          <w:spacing w:val="-52"/>
        </w:rPr>
      </w:r>
      <w:r>
        <w:rPr>
          <w:spacing w:val="-1"/>
        </w:rPr>
        <w:t>合网络通信有限公司沈阳市分公司被确定为沈阳市区域人口健康信息平台</w:t>
      </w:r>
      <w:r>
        <w:rPr>
          <w:rFonts w:ascii="Times New Roman" w:hAnsi="Times New Roman" w:cs="Times New Roman" w:eastAsia="Times New Roman" w:hint="default"/>
          <w:spacing w:val="-1"/>
        </w:rPr>
        <w:t>PPP</w:t>
      </w:r>
      <w:r>
        <w:rPr>
          <w:spacing w:val="-1"/>
        </w:rPr>
        <w:t>项目（项目编号</w:t>
      </w:r>
      <w:r>
        <w:rPr>
          <w:rFonts w:ascii="Times New Roman" w:hAnsi="Times New Roman" w:cs="Times New Roman" w:eastAsia="Times New Roman" w:hint="default"/>
          <w:spacing w:val="-1"/>
        </w:rPr>
        <w:t>CG16-00-1285</w:t>
      </w:r>
      <w:r>
        <w:rPr>
          <w:spacing w:val="-1"/>
        </w:rPr>
        <w:t>）的成交社会资</w:t>
      </w:r>
      <w:r>
        <w:rPr>
          <w:spacing w:val="-67"/>
        </w:rPr>
        <w:t> </w:t>
      </w:r>
      <w:r>
        <w:rPr>
          <w:spacing w:val="-67"/>
        </w:rPr>
      </w:r>
      <w:r>
        <w:rPr/>
        <w:t>本，其中公司为该项目的联合体牵头方，中国联合网络通信有限公司沈阳市分公司为联合体成员。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日，采购人 </w:t>
      </w:r>
      <w:r>
        <w:rPr>
          <w:spacing w:val="-1"/>
        </w:rPr>
        <w:t>沈阳市卫生和计划生育委员会与上述联合体就沈阳市区域人口健康信息平台</w:t>
      </w:r>
      <w:r>
        <w:rPr>
          <w:rFonts w:ascii="Times New Roman" w:hAnsi="Times New Roman" w:cs="Times New Roman" w:eastAsia="Times New Roman" w:hint="default"/>
          <w:spacing w:val="-1"/>
        </w:rPr>
        <w:t>PPP</w:t>
      </w:r>
      <w:r>
        <w:rPr>
          <w:spacing w:val="-1"/>
        </w:rPr>
        <w:t>项目签署了《政府采购合同》，具体内容详</w:t>
      </w:r>
      <w:r>
        <w:rPr>
          <w:spacing w:val="-62"/>
        </w:rPr>
        <w:t> </w:t>
      </w:r>
      <w:r>
        <w:rPr>
          <w:spacing w:val="-62"/>
        </w:rPr>
      </w:r>
      <w:r>
        <w:rPr/>
        <w:t>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日在巨潮资讯网披露的《关于签署</w:t>
      </w:r>
      <w:r>
        <w:rPr>
          <w:rFonts w:ascii="Times New Roman" w:hAnsi="Times New Roman" w:cs="Times New Roman" w:eastAsia="Times New Roman" w:hint="default"/>
        </w:rPr>
        <w:t>PPP</w:t>
      </w:r>
      <w:r>
        <w:rPr/>
        <w:t>项目合同的公告》（公告编号：</w:t>
      </w:r>
      <w:r>
        <w:rPr>
          <w:rFonts w:ascii="Times New Roman" w:hAnsi="Times New Roman" w:cs="Times New Roman" w:eastAsia="Times New Roman" w:hint="default"/>
        </w:rPr>
        <w:t>2017-065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项目 公司沈阳智享大健康信息科技有限公司注册成立。目前项目己完成初验，待运行一段时间后进行终验。</w:t>
      </w:r>
    </w:p>
    <w:p>
      <w:pPr>
        <w:pStyle w:val="BodyText"/>
        <w:spacing w:line="304" w:lineRule="auto" w:before="31"/>
        <w:ind w:right="1131"/>
        <w:jc w:val="left"/>
      </w:pPr>
      <w:r>
        <w:rPr/>
        <w:t>（五）关于南坪快速路三期机电安装工程项目实施进展情况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日在巨潮资讯网发布了《关于收到</w:t>
      </w:r>
      <w:r>
        <w:rPr>
          <w:rFonts w:ascii="Times New Roman" w:hAnsi="Times New Roman" w:cs="Times New Roman" w:eastAsia="Times New Roman" w:hint="default"/>
        </w:rPr>
        <w:t>&lt;</w:t>
      </w:r>
      <w:r>
        <w:rPr/>
        <w:t>中标通知书</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2017-060</w:t>
      </w:r>
      <w:r>
        <w:rPr/>
        <w:t>），公司收到招标人深 圳市交通公用设施建设中心和招标代理机构深圳市综合交通设计研究院有限公司发出的《中标通知书》，确认公司中标</w:t>
      </w:r>
      <w:r>
        <w:rPr>
          <w:rFonts w:ascii="Times New Roman" w:hAnsi="Times New Roman" w:cs="Times New Roman" w:eastAsia="Times New Roman" w:hint="default"/>
        </w:rPr>
        <w:t>“</w:t>
      </w:r>
      <w:r>
        <w:rPr/>
        <w:t>南 </w:t>
      </w:r>
      <w:r>
        <w:rPr>
          <w:spacing w:val="-2"/>
        </w:rPr>
        <w:t>坪快速路三期机电安装工程</w:t>
      </w:r>
      <w:r>
        <w:rPr>
          <w:rFonts w:ascii="Times New Roman" w:hAnsi="Times New Roman" w:cs="Times New Roman" w:eastAsia="Times New Roman" w:hint="default"/>
          <w:spacing w:val="-2"/>
        </w:rPr>
        <w:t>”</w:t>
      </w:r>
      <w:r>
        <w:rPr>
          <w:spacing w:val="-2"/>
        </w:rPr>
        <w:t>项目【标段编号：</w:t>
      </w:r>
      <w:r>
        <w:rPr>
          <w:rFonts w:ascii="Times New Roman" w:hAnsi="Times New Roman" w:cs="Times New Roman" w:eastAsia="Times New Roman" w:hint="default"/>
          <w:spacing w:val="-2"/>
        </w:rPr>
        <w:t>440383201601250010009001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月，公司与深圳市交通公用设施建设</w:t>
      </w:r>
      <w:r>
        <w:rPr>
          <w:spacing w:val="-27"/>
        </w:rPr>
        <w:t> </w:t>
      </w:r>
      <w:r>
        <w:rPr>
          <w:spacing w:val="-27"/>
        </w:rPr>
      </w:r>
      <w:r>
        <w:rPr/>
        <w:t>中心签署了《南坪快速路三期机电安装工程施工承包合同》。截止本报告期末，该项目施工已基本完成。</w:t>
      </w:r>
    </w:p>
    <w:p>
      <w:pPr>
        <w:pStyle w:val="BodyText"/>
        <w:spacing w:line="309" w:lineRule="auto" w:before="28"/>
        <w:ind w:right="1131"/>
        <w:jc w:val="left"/>
      </w:pPr>
      <w:r>
        <w:rPr/>
        <w:t>（六）关于新建哈尔滨至牡丹江铁路客运专线客服系统及相关工程施工总价承包项目实施进展情况 </w:t>
      </w: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17</w:t>
      </w:r>
      <w:r>
        <w:rPr>
          <w:spacing w:val="-4"/>
        </w:rPr>
        <w:t>日在巨潮资讯网发布了《关于收到中标通知书及签订合同的公告》（公告编号：</w:t>
      </w:r>
      <w:r>
        <w:rPr>
          <w:rFonts w:ascii="Times New Roman" w:hAnsi="Times New Roman" w:cs="Times New Roman" w:eastAsia="Times New Roman" w:hint="default"/>
          <w:spacing w:val="-4"/>
        </w:rPr>
        <w:t>2017-085</w:t>
      </w:r>
      <w:r>
        <w:rPr>
          <w:spacing w:val="-4"/>
        </w:rPr>
        <w:t>），公司中标</w:t>
      </w:r>
      <w:r>
        <w:rPr>
          <w:rFonts w:ascii="Times New Roman" w:hAnsi="Times New Roman" w:cs="Times New Roman" w:eastAsia="Times New Roman" w:hint="default"/>
          <w:spacing w:val="-4"/>
        </w:rPr>
        <w:t>“</w:t>
      </w:r>
      <w:r>
        <w:rPr>
          <w:spacing w:val="-4"/>
        </w:rPr>
        <w:t>新</w:t>
      </w:r>
      <w:r>
        <w:rPr>
          <w:spacing w:val="-65"/>
        </w:rPr>
        <w:t> </w:t>
      </w:r>
      <w:r>
        <w:rPr/>
        <w:t>建哈尔滨至牡丹江铁路客运专线客服系统及相关工程施工总价承包</w:t>
      </w:r>
      <w:r>
        <w:rPr>
          <w:rFonts w:ascii="Times New Roman" w:hAnsi="Times New Roman" w:cs="Times New Roman" w:eastAsia="Times New Roman" w:hint="default"/>
        </w:rPr>
        <w:t>”</w:t>
      </w:r>
      <w:r>
        <w:rPr/>
        <w:t>项目，同日，公司与哈牡铁路客运专线有限责任公司签 </w:t>
      </w:r>
      <w:r>
        <w:rPr>
          <w:spacing w:val="-2"/>
        </w:rPr>
        <w:t>署了《新建哈尔滨至牡丹江铁路客运专线客服系统及相关工程施工总价承包合同书》。截止本报告期末，该项目主体工程已</w:t>
      </w:r>
      <w:r>
        <w:rPr>
          <w:spacing w:val="-66"/>
        </w:rPr>
        <w:t> </w:t>
      </w:r>
      <w:r>
        <w:rPr>
          <w:spacing w:val="-66"/>
        </w:rPr>
      </w:r>
      <w:r>
        <w:rPr/>
        <w:t>经完工，哈牡高铁已于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日顺利通车。</w:t>
      </w:r>
    </w:p>
    <w:p>
      <w:pPr>
        <w:pStyle w:val="BodyText"/>
        <w:spacing w:line="300" w:lineRule="auto" w:before="5"/>
        <w:ind w:right="1129"/>
        <w:jc w:val="left"/>
      </w:pPr>
      <w:r>
        <w:rPr/>
        <w:t>（七）关于世界银行贷款焦作绿色交通及交通安全综合改善项目</w:t>
      </w:r>
      <w:r>
        <w:rPr>
          <w:rFonts w:ascii="Times New Roman" w:hAnsi="Times New Roman" w:cs="Times New Roman" w:eastAsia="Times New Roman" w:hint="default"/>
        </w:rPr>
        <w:t>-</w:t>
      </w:r>
      <w:r>
        <w:rPr/>
        <w:t>智能交通系统建设项目实施进展情况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日在巨潮资讯网发布了《关于收到</w:t>
      </w:r>
      <w:r>
        <w:rPr>
          <w:rFonts w:ascii="Times New Roman" w:hAnsi="Times New Roman" w:cs="Times New Roman" w:eastAsia="Times New Roman" w:hint="default"/>
          <w:spacing w:val="-2"/>
        </w:rPr>
        <w:t>&lt;</w:t>
      </w:r>
      <w:r>
        <w:rPr>
          <w:spacing w:val="-2"/>
        </w:rPr>
        <w:t>中标通知书</w:t>
      </w:r>
      <w:r>
        <w:rPr>
          <w:rFonts w:ascii="Times New Roman" w:hAnsi="Times New Roman" w:cs="Times New Roman" w:eastAsia="Times New Roman" w:hint="default"/>
          <w:spacing w:val="-2"/>
        </w:rPr>
        <w:t>&gt;</w:t>
      </w:r>
      <w:r>
        <w:rPr>
          <w:spacing w:val="-2"/>
        </w:rPr>
        <w:t>的公告》（公告编号：</w:t>
      </w:r>
      <w:r>
        <w:rPr>
          <w:rFonts w:ascii="Times New Roman" w:hAnsi="Times New Roman" w:cs="Times New Roman" w:eastAsia="Times New Roman" w:hint="default"/>
          <w:spacing w:val="-2"/>
        </w:rPr>
        <w:t>2017-114</w:t>
      </w:r>
      <w:r>
        <w:rPr>
          <w:spacing w:val="-2"/>
        </w:rPr>
        <w:t>），公司中标</w:t>
      </w:r>
      <w:r>
        <w:rPr>
          <w:rFonts w:ascii="Times New Roman" w:hAnsi="Times New Roman" w:cs="Times New Roman" w:eastAsia="Times New Roman" w:hint="default"/>
          <w:spacing w:val="-2"/>
        </w:rPr>
        <w:t>“</w:t>
      </w:r>
      <w:r>
        <w:rPr>
          <w:spacing w:val="-2"/>
        </w:rPr>
        <w:t>世界银行</w:t>
      </w:r>
      <w:r>
        <w:rPr>
          <w:spacing w:val="-30"/>
        </w:rPr>
        <w:t> </w:t>
      </w:r>
      <w:r>
        <w:rPr>
          <w:spacing w:val="-30"/>
        </w:rPr>
      </w:r>
      <w:r>
        <w:rPr>
          <w:spacing w:val="-1"/>
        </w:rPr>
        <w:t>贷款焦作绿色交通及交通安全综合改善项目</w:t>
      </w:r>
      <w:r>
        <w:rPr>
          <w:rFonts w:ascii="Times New Roman" w:hAnsi="Times New Roman" w:cs="Times New Roman" w:eastAsia="Times New Roman" w:hint="default"/>
          <w:spacing w:val="-1"/>
        </w:rPr>
        <w:t>-</w:t>
      </w:r>
      <w:r>
        <w:rPr>
          <w:spacing w:val="-1"/>
        </w:rPr>
        <w:t>智能交通系统建设</w:t>
      </w:r>
      <w:r>
        <w:rPr>
          <w:rFonts w:ascii="Times New Roman" w:hAnsi="Times New Roman" w:cs="Times New Roman" w:eastAsia="Times New Roman" w:hint="default"/>
          <w:spacing w:val="-1"/>
        </w:rPr>
        <w:t>”</w:t>
      </w:r>
      <w:r>
        <w:rPr>
          <w:spacing w:val="-1"/>
        </w:rPr>
        <w:t>项目。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日，公司与焦作市公安局签订了《世界</w:t>
      </w:r>
      <w:r>
        <w:rPr>
          <w:spacing w:val="-76"/>
        </w:rPr>
        <w:t> </w:t>
      </w:r>
      <w:r>
        <w:rPr>
          <w:spacing w:val="-76"/>
        </w:rPr>
      </w:r>
      <w:r>
        <w:rPr>
          <w:spacing w:val="-2"/>
        </w:rPr>
        <w:t>银行贷款焦作绿色交通及交通安全综合改善项目智能交通系统建设项目合同》，合同金额为人民币</w:t>
      </w:r>
      <w:r>
        <w:rPr>
          <w:rFonts w:ascii="Times New Roman" w:hAnsi="Times New Roman" w:cs="Times New Roman" w:eastAsia="Times New Roman" w:hint="default"/>
          <w:spacing w:val="-2"/>
        </w:rPr>
        <w:t>15,386.43</w:t>
      </w:r>
      <w:r>
        <w:rPr>
          <w:spacing w:val="-2"/>
        </w:rPr>
        <w:t>万元。目前，该</w:t>
      </w:r>
      <w:r>
        <w:rPr>
          <w:spacing w:val="-56"/>
        </w:rPr>
        <w:t> </w:t>
      </w:r>
      <w:r>
        <w:rPr>
          <w:spacing w:val="-56"/>
        </w:rPr>
      </w:r>
      <w:r>
        <w:rPr/>
        <w:t>项目处于实施阶段，实施进度为</w:t>
      </w:r>
      <w:r>
        <w:rPr>
          <w:rFonts w:ascii="Times New Roman" w:hAnsi="Times New Roman" w:cs="Times New Roman" w:eastAsia="Times New Roman" w:hint="default"/>
        </w:rPr>
        <w:t>40%</w:t>
      </w:r>
      <w:r>
        <w:rPr/>
        <w:t>。</w:t>
      </w:r>
    </w:p>
    <w:p>
      <w:pPr>
        <w:pStyle w:val="BodyText"/>
        <w:spacing w:line="316" w:lineRule="auto" w:before="13"/>
        <w:ind w:right="3732"/>
        <w:jc w:val="left"/>
      </w:pPr>
      <w:r>
        <w:rPr/>
        <w:t>（八）关于发起设立大爱人寿保险股份有限公司（筹）的进展情况 报告期内，大爱人寿保险股份有限公司（筹）筹备工作组，仍在积极协调筹建申报工作。</w:t>
      </w:r>
    </w:p>
    <w:p>
      <w:pPr>
        <w:pStyle w:val="BodyText"/>
        <w:spacing w:line="300" w:lineRule="auto" w:before="19"/>
        <w:ind w:right="1117"/>
        <w:jc w:val="left"/>
      </w:pPr>
      <w:r>
        <w:rPr/>
        <w:t>（九）关于云南省华坪至丽江高速公路 </w:t>
      </w:r>
      <w:r>
        <w:rPr>
          <w:rFonts w:ascii="Times New Roman" w:hAnsi="Times New Roman" w:cs="Times New Roman" w:eastAsia="Times New Roman" w:hint="default"/>
        </w:rPr>
        <w:t>K0+000-K89+510 </w:t>
      </w:r>
      <w:r>
        <w:rPr/>
        <w:t>段机电工程施工</w:t>
      </w:r>
      <w:r>
        <w:rPr>
          <w:spacing w:val="-53"/>
        </w:rPr>
        <w:t> </w:t>
      </w:r>
      <w:r>
        <w:rPr>
          <w:rFonts w:ascii="Times New Roman" w:hAnsi="Times New Roman" w:cs="Times New Roman" w:eastAsia="Times New Roman" w:hint="default"/>
        </w:rPr>
        <w:t>DJ2</w:t>
      </w:r>
      <w:r>
        <w:rPr/>
        <w:t>标段项目实施进展情况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日在巨潮资讯网发布了《关于收到</w:t>
      </w:r>
      <w:r>
        <w:rPr>
          <w:rFonts w:ascii="Times New Roman" w:hAnsi="Times New Roman" w:cs="Times New Roman" w:eastAsia="Times New Roman" w:hint="default"/>
          <w:spacing w:val="-1"/>
        </w:rPr>
        <w:t>&lt;</w:t>
      </w:r>
      <w:r>
        <w:rPr>
          <w:spacing w:val="-1"/>
        </w:rPr>
        <w:t>中标通知书</w:t>
      </w:r>
      <w:r>
        <w:rPr>
          <w:rFonts w:ascii="Times New Roman" w:hAnsi="Times New Roman" w:cs="Times New Roman" w:eastAsia="Times New Roman" w:hint="default"/>
          <w:spacing w:val="-1"/>
        </w:rPr>
        <w:t>&gt;</w:t>
      </w:r>
      <w:r>
        <w:rPr>
          <w:spacing w:val="-1"/>
        </w:rPr>
        <w:t>的公告</w:t>
      </w:r>
      <w:r>
        <w:rPr>
          <w:spacing w:val="-9"/>
        </w:rPr>
        <w:t> </w:t>
      </w:r>
      <w:r>
        <w:rPr>
          <w:spacing w:val="-2"/>
        </w:rPr>
        <w:t>》</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2018-058)</w:t>
      </w:r>
      <w:r>
        <w:rPr>
          <w:spacing w:val="-2"/>
        </w:rPr>
        <w:t>公司中标</w:t>
      </w:r>
      <w:r>
        <w:rPr>
          <w:rFonts w:ascii="Times New Roman" w:hAnsi="Times New Roman" w:cs="Times New Roman" w:eastAsia="Times New Roman" w:hint="default"/>
          <w:spacing w:val="-2"/>
        </w:rPr>
        <w:t>“</w:t>
      </w:r>
      <w:r>
        <w:rPr>
          <w:spacing w:val="-2"/>
        </w:rPr>
        <w:t>云南省华坪至</w:t>
      </w:r>
      <w:r>
        <w:rPr/>
        <w:t> 丽江高速公路 </w:t>
      </w:r>
      <w:r>
        <w:rPr>
          <w:rFonts w:ascii="Times New Roman" w:hAnsi="Times New Roman" w:cs="Times New Roman" w:eastAsia="Times New Roman" w:hint="default"/>
        </w:rPr>
        <w:t>K0+000-K89+510 </w:t>
      </w:r>
      <w:r>
        <w:rPr/>
        <w:t>段机电工程施工</w:t>
      </w:r>
      <w:r>
        <w:rPr>
          <w:spacing w:val="-57"/>
        </w:rPr>
        <w:t> </w:t>
      </w:r>
      <w:r>
        <w:rPr>
          <w:rFonts w:ascii="Times New Roman" w:hAnsi="Times New Roman" w:cs="Times New Roman" w:eastAsia="Times New Roman" w:hint="default"/>
        </w:rPr>
        <w:t>DJ2</w:t>
      </w:r>
      <w:r>
        <w:rPr/>
        <w:t>标段</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月，公司与中国建筑股份有限公司云南华丽高速 公路建设指挥部签订了《云南省华坪至丽江高速公路 </w:t>
      </w:r>
      <w:r>
        <w:rPr>
          <w:rFonts w:ascii="Times New Roman" w:hAnsi="Times New Roman" w:cs="Times New Roman" w:eastAsia="Times New Roman" w:hint="default"/>
        </w:rPr>
        <w:t>K0+000-K89+510 </w:t>
      </w:r>
      <w:r>
        <w:rPr/>
        <w:t>段机电工程施工 </w:t>
      </w:r>
      <w:r>
        <w:rPr>
          <w:rFonts w:ascii="Times New Roman" w:hAnsi="Times New Roman" w:cs="Times New Roman" w:eastAsia="Times New Roman" w:hint="default"/>
        </w:rPr>
        <w:t>DJ2</w:t>
      </w:r>
      <w:r>
        <w:rPr>
          <w:rFonts w:ascii="Times New Roman" w:hAnsi="Times New Roman" w:cs="Times New Roman" w:eastAsia="Times New Roman" w:hint="default"/>
          <w:spacing w:val="2"/>
        </w:rPr>
        <w:t> </w:t>
      </w:r>
      <w:r>
        <w:rPr/>
        <w:t>标段项目合同》，合同金额为 人民币</w:t>
      </w:r>
      <w:r>
        <w:rPr>
          <w:spacing w:val="-18"/>
        </w:rPr>
        <w:t> </w:t>
      </w:r>
      <w:r>
        <w:rPr>
          <w:rFonts w:ascii="Times New Roman" w:hAnsi="Times New Roman" w:cs="Times New Roman" w:eastAsia="Times New Roman" w:hint="default"/>
        </w:rPr>
        <w:t>27,580</w:t>
      </w:r>
      <w:r>
        <w:rPr/>
        <w:t>万元。由于固体塌方导致延后进场，目前已进场施工。</w:t>
      </w:r>
    </w:p>
    <w:p>
      <w:pPr>
        <w:pStyle w:val="BodyText"/>
        <w:spacing w:line="307" w:lineRule="auto" w:before="13"/>
        <w:ind w:right="1131"/>
        <w:jc w:val="left"/>
      </w:pPr>
      <w:r>
        <w:rPr/>
        <w:t>（十）关于购买房产暨关联交易的进展情况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日在巨潮资讯网发布了《关于购买房产暨关联交易的公告》（公告编号：</w:t>
      </w:r>
      <w:r>
        <w:rPr>
          <w:rFonts w:ascii="Times New Roman" w:hAnsi="Times New Roman" w:cs="Times New Roman" w:eastAsia="Times New Roman" w:hint="default"/>
        </w:rPr>
        <w:t>2018-005</w:t>
      </w:r>
      <w:r>
        <w:rPr/>
        <w:t>），</w:t>
      </w:r>
      <w:r>
        <w:rPr>
          <w:spacing w:val="-19"/>
        </w:rPr>
        <w:t> </w:t>
      </w:r>
      <w:r>
        <w:rPr/>
        <w:t>公司与智谷创业</w:t>
      </w:r>
      <w:r>
        <w:rPr/>
        <w:t> </w:t>
      </w:r>
      <w:r>
        <w:rPr>
          <w:spacing w:val="-1"/>
        </w:rPr>
        <w:t>园有限公司签署了《中国智谷</w:t>
      </w:r>
      <w:r>
        <w:rPr>
          <w:rFonts w:ascii="Times New Roman" w:hAnsi="Times New Roman" w:cs="Times New Roman" w:eastAsia="Times New Roman" w:hint="default"/>
          <w:spacing w:val="-1"/>
        </w:rPr>
        <w:t>•</w:t>
      </w:r>
      <w:r>
        <w:rPr>
          <w:spacing w:val="-1"/>
        </w:rPr>
        <w:t>富春园区预转让协议》；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日在巨潮资讯网发布了《关于购买房产暨关联交易的公</w:t>
      </w:r>
      <w:r>
        <w:rPr/>
        <w:t> 告》（公告编号：</w:t>
      </w:r>
      <w:r>
        <w:rPr>
          <w:rFonts w:ascii="Times New Roman" w:hAnsi="Times New Roman" w:cs="Times New Roman" w:eastAsia="Times New Roman" w:hint="default"/>
        </w:rPr>
        <w:t>2018-018</w:t>
      </w:r>
      <w:r>
        <w:rPr/>
        <w:t>），公司与智谷创业园有限公司签署了《</w:t>
      </w:r>
      <w:r>
        <w:rPr>
          <w:rFonts w:ascii="Times New Roman" w:hAnsi="Times New Roman" w:cs="Times New Roman" w:eastAsia="Times New Roman" w:hint="default"/>
        </w:rPr>
        <w:t>&lt;</w:t>
      </w:r>
      <w:r>
        <w:rPr/>
        <w:t>中国智谷</w:t>
      </w:r>
      <w:r>
        <w:rPr>
          <w:rFonts w:ascii="Times New Roman" w:hAnsi="Times New Roman" w:cs="Times New Roman" w:eastAsia="Times New Roman" w:hint="default"/>
        </w:rPr>
        <w:t>·</w:t>
      </w:r>
      <w:r>
        <w:rPr/>
        <w:t>富春园区预转让协议</w:t>
      </w:r>
      <w:r>
        <w:rPr>
          <w:rFonts w:ascii="Times New Roman" w:hAnsi="Times New Roman" w:cs="Times New Roman" w:eastAsia="Times New Roman" w:hint="default"/>
        </w:rPr>
        <w:t>&gt;</w:t>
      </w:r>
      <w:r>
        <w:rPr/>
        <w:t>补充协议》，相关议</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t>案已经公司</w:t>
      </w:r>
      <w:r>
        <w:rPr>
          <w:rFonts w:ascii="Times New Roman" w:hAnsi="Times New Roman" w:cs="Times New Roman" w:eastAsia="Times New Roman" w:hint="default"/>
        </w:rPr>
        <w:t>2018</w:t>
      </w:r>
      <w:r>
        <w:rPr/>
        <w:t>年第一次临时股东大会审议通过。</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月，智谷公司向公司出具《中国智谷</w:t>
      </w:r>
      <w:r>
        <w:rPr>
          <w:rFonts w:ascii="Times New Roman" w:hAnsi="Times New Roman" w:cs="Times New Roman" w:eastAsia="Times New Roman" w:hint="default"/>
        </w:rPr>
        <w:t>•</w:t>
      </w:r>
      <w:r>
        <w:rPr/>
        <w:t>富春园区写字楼交付通 知书》以及由杭州三方建设集团有限公司出具的《中国智谷富阳园区项目竣工验收报告第三标段（</w:t>
      </w:r>
      <w:r>
        <w:rPr>
          <w:rFonts w:ascii="Times New Roman" w:hAnsi="Times New Roman" w:cs="Times New Roman" w:eastAsia="Times New Roman" w:hint="default"/>
        </w:rPr>
        <w:t>11#-14#</w:t>
      </w:r>
      <w:r>
        <w:rPr/>
        <w:t>楼）》，已按合 同约定时间将符合合同约定的房屋交付给银江股份使用。截止本报告披露日，公司支付相关费用共计</w:t>
      </w:r>
      <w:r>
        <w:rPr>
          <w:rFonts w:ascii="Times New Roman" w:hAnsi="Times New Roman" w:cs="Times New Roman" w:eastAsia="Times New Roman" w:hint="default"/>
        </w:rPr>
        <w:t>32,000</w:t>
      </w:r>
      <w:r>
        <w:rPr>
          <w:rFonts w:ascii="Times New Roman" w:hAnsi="Times New Roman" w:cs="Times New Roman" w:eastAsia="Times New Roman" w:hint="default"/>
          <w:spacing w:val="27"/>
        </w:rPr>
        <w:t> </w:t>
      </w:r>
      <w:r>
        <w:rPr/>
        <w:t>万元。（具体 </w:t>
      </w:r>
      <w:r>
        <w:rPr>
          <w:spacing w:val="-2"/>
        </w:rPr>
        <w:t>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日在巨潮资讯网上发布的《关于购买房产暨关联交易进展公告》</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2018-064)</w:t>
      </w:r>
      <w:r>
        <w:rPr>
          <w:spacing w:val="-2"/>
        </w:rPr>
        <w:t>和《关于</w:t>
      </w:r>
      <w:r>
        <w:rPr>
          <w:spacing w:val="-47"/>
        </w:rPr>
        <w:t> </w:t>
      </w:r>
      <w:r>
        <w:rPr>
          <w:spacing w:val="-47"/>
        </w:rPr>
      </w:r>
      <w:r>
        <w:rPr/>
        <w:t>购买房产暨关联交易进展公告》（公告编号：</w:t>
      </w:r>
      <w:r>
        <w:rPr>
          <w:rFonts w:ascii="Times New Roman" w:hAnsi="Times New Roman" w:cs="Times New Roman" w:eastAsia="Times New Roman" w:hint="default"/>
        </w:rPr>
        <w:t>2018-095</w:t>
      </w:r>
      <w:r>
        <w:rPr/>
        <w:t>））。</w:t>
      </w:r>
    </w:p>
    <w:p>
      <w:pPr>
        <w:pStyle w:val="BodyText"/>
        <w:spacing w:line="240" w:lineRule="auto" w:before="13"/>
        <w:ind w:right="0"/>
        <w:jc w:val="both"/>
      </w:pPr>
      <w:r>
        <w:rPr/>
        <w:t>（十一）关于向产业基金增加出资额的进展情况</w:t>
      </w:r>
    </w:p>
    <w:p>
      <w:pPr>
        <w:pStyle w:val="BodyText"/>
        <w:spacing w:line="300" w:lineRule="auto" w:before="76"/>
        <w:ind w:right="1129"/>
        <w:jc w:val="both"/>
      </w:pPr>
      <w:r>
        <w:rPr/>
        <w:t>《关于向产业基金增加出资额暨关联交易的议案》经公司于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日召开的第四届董事会第十九次会议审议通过（详 见披露于巨潮资讯网上的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日《关于向产业基金增加出资额暨关联交易的公告》），并经</w:t>
      </w:r>
      <w:r>
        <w:rPr>
          <w:rFonts w:ascii="Times New Roman" w:hAnsi="Times New Roman" w:cs="Times New Roman" w:eastAsia="Times New Roman" w:hint="default"/>
        </w:rPr>
        <w:t>2018</w:t>
      </w:r>
      <w:r>
        <w:rPr/>
        <w:t>年第三次临时股东 </w:t>
      </w:r>
      <w:r>
        <w:rPr>
          <w:spacing w:val="-2"/>
        </w:rPr>
        <w:t>大会审议通过。银江股份拟向杭州银江智慧产业创业投资合伙企业（有限合伙）（以下简称</w:t>
      </w:r>
      <w:r>
        <w:rPr>
          <w:rFonts w:ascii="Times New Roman" w:hAnsi="Times New Roman" w:cs="Times New Roman" w:eastAsia="Times New Roman" w:hint="default"/>
          <w:spacing w:val="-2"/>
        </w:rPr>
        <w:t>“</w:t>
      </w:r>
      <w:r>
        <w:rPr>
          <w:spacing w:val="-2"/>
        </w:rPr>
        <w:t>产业基金</w:t>
      </w:r>
      <w:r>
        <w:rPr>
          <w:rFonts w:ascii="Times New Roman" w:hAnsi="Times New Roman" w:cs="Times New Roman" w:eastAsia="Times New Roman" w:hint="default"/>
          <w:spacing w:val="-2"/>
        </w:rPr>
        <w:t>”</w:t>
      </w:r>
      <w:r>
        <w:rPr>
          <w:spacing w:val="-2"/>
        </w:rPr>
        <w:t>）增加出资额</w:t>
      </w:r>
      <w:r>
        <w:rPr>
          <w:spacing w:val="-4"/>
        </w:rPr>
        <w:t> </w:t>
      </w:r>
      <w:r>
        <w:rPr>
          <w:rFonts w:ascii="Times New Roman" w:hAnsi="Times New Roman" w:cs="Times New Roman" w:eastAsia="Times New Roman" w:hint="default"/>
        </w:rPr>
        <w:t>10,000 </w:t>
      </w:r>
      <w:r>
        <w:rPr/>
        <w:t>万元，本次产业基金出资认缴到位后，产业基金注册资本为 </w:t>
      </w:r>
      <w:r>
        <w:rPr>
          <w:rFonts w:ascii="Times New Roman" w:hAnsi="Times New Roman" w:cs="Times New Roman" w:eastAsia="Times New Roman" w:hint="default"/>
        </w:rPr>
        <w:t>10</w:t>
      </w:r>
      <w:r>
        <w:rPr/>
        <w:t>亿元，其中银江股份出资额为</w:t>
      </w:r>
      <w:r>
        <w:rPr>
          <w:rFonts w:ascii="Times New Roman" w:hAnsi="Times New Roman" w:cs="Times New Roman" w:eastAsia="Times New Roman" w:hint="default"/>
        </w:rPr>
        <w:t>39,400 </w:t>
      </w:r>
      <w:r>
        <w:rPr/>
        <w:t>万元，占比 </w:t>
      </w:r>
      <w:r>
        <w:rPr>
          <w:rFonts w:ascii="Times New Roman" w:hAnsi="Times New Roman" w:cs="Times New Roman" w:eastAsia="Times New Roman" w:hint="default"/>
        </w:rPr>
        <w:t>39.40</w:t>
      </w:r>
      <w:r>
        <w:rPr>
          <w:rFonts w:ascii="Times New Roman" w:hAnsi="Times New Roman" w:cs="Times New Roman" w:eastAsia="Times New Roman" w:hint="default"/>
          <w:spacing w:val="-11"/>
        </w:rPr>
        <w:t> </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12 </w:t>
      </w:r>
      <w:r>
        <w:rPr/>
        <w:t>日，银江资本与产业基金签署了增加出资额的相关协议，银江资本将继续向产业基金增加 </w:t>
      </w:r>
      <w:r>
        <w:rPr>
          <w:rFonts w:ascii="Times New Roman" w:hAnsi="Times New Roman" w:cs="Times New Roman" w:eastAsia="Times New Roman" w:hint="default"/>
        </w:rPr>
        <w:t>3.5 </w:t>
      </w:r>
      <w:r>
        <w:rPr>
          <w:rFonts w:ascii="Times New Roman" w:hAnsi="Times New Roman" w:cs="Times New Roman" w:eastAsia="Times New Roman" w:hint="default"/>
          <w:spacing w:val="8"/>
        </w:rPr>
        <w:t> </w:t>
      </w:r>
      <w:r>
        <w:rPr/>
        <w:t>亿元出资</w:t>
      </w:r>
    </w:p>
    <w:p>
      <w:pPr>
        <w:pStyle w:val="BodyText"/>
        <w:spacing w:line="240" w:lineRule="auto" w:before="13"/>
        <w:ind w:right="0"/>
        <w:jc w:val="both"/>
      </w:pPr>
      <w:r>
        <w:rPr/>
        <w:t>额，此次增加出资额后，银江资本将累计出资 </w:t>
      </w:r>
      <w:r>
        <w:rPr>
          <w:rFonts w:ascii="Times New Roman" w:hAnsi="Times New Roman" w:cs="Times New Roman" w:eastAsia="Times New Roman" w:hint="default"/>
        </w:rPr>
        <w:t>86,360 </w:t>
      </w:r>
      <w:r>
        <w:rPr/>
        <w:t>万元，占比 </w:t>
      </w:r>
      <w:r>
        <w:rPr>
          <w:rFonts w:ascii="Times New Roman" w:hAnsi="Times New Roman" w:cs="Times New Roman" w:eastAsia="Times New Roman" w:hint="default"/>
        </w:rPr>
        <w:t>63.97%</w:t>
      </w:r>
      <w:r>
        <w:rPr/>
        <w:t>；银江股份累计出资 </w:t>
      </w:r>
      <w:r>
        <w:rPr>
          <w:rFonts w:ascii="Times New Roman" w:hAnsi="Times New Roman" w:cs="Times New Roman" w:eastAsia="Times New Roman" w:hint="default"/>
        </w:rPr>
        <w:t>39,400</w:t>
      </w:r>
      <w:r>
        <w:rPr>
          <w:rFonts w:ascii="Times New Roman" w:hAnsi="Times New Roman" w:cs="Times New Roman" w:eastAsia="Times New Roman" w:hint="default"/>
          <w:spacing w:val="-4"/>
        </w:rPr>
        <w:t> </w:t>
      </w:r>
      <w:r>
        <w:rPr/>
        <w:t>万元，占比</w:t>
      </w:r>
      <w:r>
        <w:rPr>
          <w:rFonts w:ascii="Times New Roman" w:hAnsi="Times New Roman" w:cs="Times New Roman" w:eastAsia="Times New Roman" w:hint="default"/>
        </w:rPr>
        <w:t>29.19%</w:t>
      </w:r>
      <w:r>
        <w:rPr/>
        <w:t>。</w:t>
      </w:r>
    </w:p>
    <w:p>
      <w:pPr>
        <w:pStyle w:val="BodyText"/>
        <w:spacing w:line="300" w:lineRule="auto" w:before="63"/>
        <w:ind w:right="1130"/>
        <w:jc w:val="both"/>
      </w:pPr>
      <w:r>
        <w:rPr/>
        <w:t>此次增加出资额完成后，产业基金注册资本增至 </w:t>
      </w:r>
      <w:r>
        <w:rPr>
          <w:rFonts w:ascii="Times New Roman" w:hAnsi="Times New Roman" w:cs="Times New Roman" w:eastAsia="Times New Roman" w:hint="default"/>
        </w:rPr>
        <w:t>13.5</w:t>
      </w:r>
      <w:r>
        <w:rPr>
          <w:rFonts w:ascii="Times New Roman" w:hAnsi="Times New Roman" w:cs="Times New Roman" w:eastAsia="Times New Roman" w:hint="default"/>
          <w:spacing w:val="7"/>
        </w:rPr>
        <w:t> </w:t>
      </w:r>
      <w:r>
        <w:rPr/>
        <w:t>亿元人民币。《关于向产业基金增加出资额暨关联交易的议案》经公 </w:t>
      </w:r>
      <w:r>
        <w:rPr>
          <w:spacing w:val="-2"/>
        </w:rPr>
        <w:t>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日召开的第四届董事会第二十二次会议审议通过（详见披露于巨潮资讯网上的</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日《关于向产</w:t>
      </w:r>
      <w:r>
        <w:rPr>
          <w:spacing w:val="-48"/>
        </w:rPr>
        <w:t> </w:t>
      </w:r>
      <w:r>
        <w:rPr>
          <w:spacing w:val="-48"/>
        </w:rPr>
      </w:r>
      <w:r>
        <w:rPr/>
        <w:t>业基金增加出资额暨关联交易的公告》），银江股份拟向杭州银江智慧产业创业投资合伙企业（有限合伙）（以下简称</w:t>
      </w:r>
      <w:r>
        <w:rPr>
          <w:rFonts w:ascii="Times New Roman" w:hAnsi="Times New Roman" w:cs="Times New Roman" w:eastAsia="Times New Roman" w:hint="default"/>
        </w:rPr>
        <w:t>“</w:t>
      </w:r>
      <w:r>
        <w:rPr/>
        <w:t>产 业基金</w:t>
      </w:r>
      <w:r>
        <w:rPr>
          <w:rFonts w:ascii="Times New Roman" w:hAnsi="Times New Roman" w:cs="Times New Roman" w:eastAsia="Times New Roman" w:hint="default"/>
        </w:rPr>
        <w:t>”</w:t>
      </w:r>
      <w:r>
        <w:rPr/>
        <w:t>）增加出资额</w:t>
      </w:r>
      <w:r>
        <w:rPr>
          <w:spacing w:val="-44"/>
        </w:rPr>
        <w:t> </w:t>
      </w:r>
      <w:r>
        <w:rPr>
          <w:rFonts w:ascii="Times New Roman" w:hAnsi="Times New Roman" w:cs="Times New Roman" w:eastAsia="Times New Roman" w:hint="default"/>
        </w:rPr>
        <w:t>15,000</w:t>
      </w:r>
      <w:r>
        <w:rPr/>
        <w:t>万元，此次增加出资额后，银江股份将累计出资</w:t>
      </w:r>
      <w:r>
        <w:rPr>
          <w:rFonts w:ascii="Times New Roman" w:hAnsi="Times New Roman" w:cs="Times New Roman" w:eastAsia="Times New Roman" w:hint="default"/>
        </w:rPr>
        <w:t>54,400</w:t>
      </w:r>
      <w:r>
        <w:rPr/>
        <w:t>万元，占比</w:t>
      </w:r>
      <w:r>
        <w:rPr>
          <w:spacing w:val="-44"/>
        </w:rPr>
        <w:t> </w:t>
      </w:r>
      <w:r>
        <w:rPr>
          <w:rFonts w:ascii="Times New Roman" w:hAnsi="Times New Roman" w:cs="Times New Roman" w:eastAsia="Times New Roman" w:hint="default"/>
        </w:rPr>
        <w:t>36.27%</w:t>
      </w:r>
      <w:r>
        <w:rPr/>
        <w:t>。此次增加出资额完 成后，产业基金注册资本增至 </w:t>
      </w:r>
      <w:r>
        <w:rPr>
          <w:rFonts w:ascii="Times New Roman" w:hAnsi="Times New Roman" w:cs="Times New Roman" w:eastAsia="Times New Roman" w:hint="default"/>
        </w:rPr>
        <w:t>15</w:t>
      </w:r>
      <w:r>
        <w:rPr>
          <w:rFonts w:ascii="Times New Roman" w:hAnsi="Times New Roman" w:cs="Times New Roman" w:eastAsia="Times New Roman" w:hint="default"/>
          <w:spacing w:val="-22"/>
        </w:rPr>
        <w:t> </w:t>
      </w:r>
      <w:r>
        <w:rPr/>
        <w:t>亿元人民币。银江股份有限公司与银江孵化器股份有限公司（以下简称</w:t>
      </w:r>
      <w:r>
        <w:rPr>
          <w:rFonts w:ascii="Times New Roman" w:hAnsi="Times New Roman" w:cs="Times New Roman" w:eastAsia="Times New Roman" w:hint="default"/>
        </w:rPr>
        <w:t>“</w:t>
      </w:r>
      <w:r>
        <w:rPr/>
        <w:t>银江孵化器</w:t>
      </w:r>
      <w:r>
        <w:rPr>
          <w:rFonts w:ascii="Times New Roman" w:hAnsi="Times New Roman" w:cs="Times New Roman" w:eastAsia="Times New Roman" w:hint="default"/>
        </w:rPr>
        <w:t>”</w:t>
      </w:r>
      <w:r>
        <w:rPr/>
        <w:t>）并</w:t>
      </w:r>
    </w:p>
    <w:p>
      <w:pPr>
        <w:pStyle w:val="BodyText"/>
        <w:spacing w:line="240" w:lineRule="auto" w:before="13"/>
        <w:ind w:right="0"/>
        <w:jc w:val="both"/>
      </w:pPr>
      <w:r>
        <w:rPr>
          <w:spacing w:val="-3"/>
        </w:rPr>
        <w:t>与浙江银江股权投资管理有限公司（以下简称</w:t>
      </w:r>
      <w:r>
        <w:rPr>
          <w:rFonts w:ascii="Times New Roman" w:hAnsi="Times New Roman" w:cs="Times New Roman" w:eastAsia="Times New Roman" w:hint="default"/>
          <w:spacing w:val="-3"/>
        </w:rPr>
        <w:t>“</w:t>
      </w:r>
      <w:r>
        <w:rPr>
          <w:spacing w:val="-3"/>
        </w:rPr>
        <w:t>银江股权投资</w:t>
      </w:r>
      <w:r>
        <w:rPr>
          <w:rFonts w:ascii="Times New Roman" w:hAnsi="Times New Roman" w:cs="Times New Roman" w:eastAsia="Times New Roman" w:hint="default"/>
          <w:spacing w:val="-3"/>
        </w:rPr>
        <w:t>”</w:t>
      </w:r>
      <w:r>
        <w:rPr>
          <w:spacing w:val="-3"/>
        </w:rPr>
        <w:t>）就作价 </w:t>
      </w:r>
      <w:r>
        <w:rPr>
          <w:rFonts w:ascii="Times New Roman" w:hAnsi="Times New Roman" w:cs="Times New Roman" w:eastAsia="Times New Roman" w:hint="default"/>
        </w:rPr>
        <w:t>1,000</w:t>
      </w:r>
      <w:r>
        <w:rPr>
          <w:rFonts w:ascii="Times New Roman" w:hAnsi="Times New Roman" w:cs="Times New Roman" w:eastAsia="Times New Roman" w:hint="default"/>
          <w:spacing w:val="35"/>
        </w:rPr>
        <w:t> </w:t>
      </w:r>
      <w:r>
        <w:rPr/>
        <w:t>万元购买银江孵化器持有的产业基金注册资本</w:t>
      </w:r>
    </w:p>
    <w:p>
      <w:pPr>
        <w:pStyle w:val="BodyText"/>
        <w:spacing w:line="300" w:lineRule="auto" w:before="63"/>
        <w:ind w:right="1094"/>
        <w:jc w:val="both"/>
      </w:pPr>
      <w:r>
        <w:rPr>
          <w:rFonts w:ascii="Times New Roman" w:hAnsi="Times New Roman" w:cs="Times New Roman" w:eastAsia="Times New Roman" w:hint="default"/>
        </w:rPr>
        <w:t>1000</w:t>
      </w:r>
      <w:r>
        <w:rPr/>
        <w:t>万 元及作价 </w:t>
      </w:r>
      <w:r>
        <w:rPr>
          <w:rFonts w:ascii="Times New Roman" w:hAnsi="Times New Roman" w:cs="Times New Roman" w:eastAsia="Times New Roman" w:hint="default"/>
        </w:rPr>
        <w:t>1,000 </w:t>
      </w:r>
      <w:r>
        <w:rPr/>
        <w:t>万元购买银江股权投资持有的产业基金注册资本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万元事宜达成一致。本次交易金额合计人民 币</w:t>
      </w:r>
      <w:r>
        <w:rPr>
          <w:rFonts w:ascii="Times New Roman" w:hAnsi="Times New Roman" w:cs="Times New Roman" w:eastAsia="Times New Roman" w:hint="default"/>
        </w:rPr>
        <w:t>2,000 </w:t>
      </w:r>
      <w:r>
        <w:rPr/>
        <w:t>万元。此次交易完成后，银江股份对产业基金认缴出资额达 </w:t>
      </w:r>
      <w:r>
        <w:rPr>
          <w:rFonts w:ascii="Times New Roman" w:hAnsi="Times New Roman" w:cs="Times New Roman" w:eastAsia="Times New Roman" w:hint="default"/>
        </w:rPr>
        <w:t>56,400 </w:t>
      </w:r>
      <w:r>
        <w:rPr/>
        <w:t>万元，占比</w:t>
      </w:r>
      <w:r>
        <w:rPr>
          <w:spacing w:val="-8"/>
        </w:rPr>
        <w:t> </w:t>
      </w:r>
      <w:r>
        <w:rPr>
          <w:rFonts w:ascii="Times New Roman" w:hAnsi="Times New Roman" w:cs="Times New Roman" w:eastAsia="Times New Roman" w:hint="default"/>
        </w:rPr>
        <w:t>37.60%</w:t>
      </w:r>
      <w:r>
        <w:rPr/>
        <w:t>，为第二大股东。（详见披 露于巨潮资讯网上的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日《关于购买股权暨关联交易的公告》）截至本公告披露日，公司已完成</w:t>
      </w:r>
      <w:r>
        <w:rPr>
          <w:rFonts w:ascii="Times New Roman" w:hAnsi="Times New Roman" w:cs="Times New Roman" w:eastAsia="Times New Roman" w:hint="default"/>
        </w:rPr>
        <w:t>5.21</w:t>
      </w:r>
      <w:r>
        <w:rPr/>
        <w:t>亿元出资。</w:t>
      </w:r>
    </w:p>
    <w:p>
      <w:pPr>
        <w:pStyle w:val="BodyText"/>
        <w:spacing w:line="240" w:lineRule="auto" w:before="13"/>
        <w:ind w:right="0"/>
        <w:jc w:val="both"/>
      </w:pPr>
      <w:r>
        <w:rPr/>
        <w:t>（十二）关于董监高增持公司股份计划的进展情况</w:t>
      </w:r>
    </w:p>
    <w:p>
      <w:pPr>
        <w:pStyle w:val="BodyText"/>
        <w:spacing w:line="300" w:lineRule="auto" w:before="77"/>
        <w:ind w:right="1039"/>
        <w:jc w:val="both"/>
      </w:pPr>
      <w:r>
        <w:rPr/>
        <w:t>公司于</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11 </w:t>
      </w:r>
      <w:r>
        <w:rPr/>
        <w:t>日在巨潮资讯网发布了《关于董事、管理层及核心管理人员增持公司股份计划的公告</w:t>
      </w:r>
      <w:r>
        <w:rPr>
          <w:spacing w:val="-65"/>
        </w:rPr>
        <w:t> </w:t>
      </w:r>
      <w:r>
        <w:rPr/>
        <w:t>》（公告编</w:t>
      </w:r>
      <w:r>
        <w:rPr/>
        <w:t> </w:t>
      </w:r>
      <w:r>
        <w:rPr>
          <w:spacing w:val="-4"/>
        </w:rPr>
        <w:t>号：</w:t>
      </w:r>
      <w:r>
        <w:rPr>
          <w:rFonts w:ascii="Times New Roman" w:hAnsi="Times New Roman" w:cs="Times New Roman" w:eastAsia="Times New Roman" w:hint="default"/>
          <w:spacing w:val="-4"/>
        </w:rPr>
        <w:t>2018-097</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日在巨潮资讯网发布了《关于董事、管理层及核心管理人员增持计划实施进展的公告</w:t>
      </w:r>
      <w:r>
        <w:rPr>
          <w:spacing w:val="14"/>
        </w:rPr>
        <w:t> </w:t>
      </w:r>
      <w:r>
        <w:rPr/>
        <w:t>》</w:t>
      </w:r>
    </w:p>
    <w:p>
      <w:pPr>
        <w:pStyle w:val="BodyText"/>
        <w:spacing w:line="300" w:lineRule="auto" w:before="13"/>
        <w:ind w:right="1079"/>
        <w:jc w:val="left"/>
      </w:pPr>
      <w:r>
        <w:rPr/>
        <w:t>（</w:t>
      </w:r>
      <w:r>
        <w:rPr>
          <w:rFonts w:ascii="Times New Roman" w:hAnsi="Times New Roman" w:cs="Times New Roman" w:eastAsia="Times New Roman" w:hint="default"/>
        </w:rPr>
        <w:t>2018-106</w:t>
      </w:r>
      <w:r>
        <w:rPr/>
        <w:t>），董事、管理层及核心管理人员于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日完成了通过二级市场竞价交易方式增持公司股份</w:t>
      </w:r>
      <w:r>
        <w:rPr>
          <w:rFonts w:ascii="Times New Roman" w:hAnsi="Times New Roman" w:cs="Times New Roman" w:eastAsia="Times New Roman" w:hint="default"/>
        </w:rPr>
        <w:t>3,099,300 </w:t>
      </w:r>
      <w:r>
        <w:rPr/>
        <w:t>股，占公司总股本的</w:t>
      </w:r>
      <w:r>
        <w:rPr>
          <w:rFonts w:ascii="Times New Roman" w:hAnsi="Times New Roman" w:cs="Times New Roman" w:eastAsia="Times New Roman" w:hint="default"/>
        </w:rPr>
        <w:t>0.4726%</w:t>
      </w:r>
      <w:r>
        <w:rPr/>
        <w:t>，增持金额为人民币 </w:t>
      </w:r>
      <w:r>
        <w:rPr>
          <w:rFonts w:ascii="Times New Roman" w:hAnsi="Times New Roman" w:cs="Times New Roman" w:eastAsia="Times New Roman" w:hint="default"/>
        </w:rPr>
        <w:t>20,615,249.5</w:t>
      </w:r>
      <w:r>
        <w:rPr>
          <w:rFonts w:ascii="Times New Roman" w:hAnsi="Times New Roman" w:cs="Times New Roman" w:eastAsia="Times New Roman" w:hint="default"/>
          <w:spacing w:val="-6"/>
        </w:rPr>
        <w:t> </w:t>
      </w:r>
      <w:r>
        <w:rPr/>
        <w:t>元，报告期内董事、管理层及核心管理人员增持公司股份实 施完毕，具体内容详见于巨潮资讯网发布的《关于董事、管理层及核心管理人员增持计划实施完成的公告》（</w:t>
      </w:r>
      <w:r>
        <w:rPr>
          <w:rFonts w:ascii="Times New Roman" w:hAnsi="Times New Roman" w:cs="Times New Roman" w:eastAsia="Times New Roman" w:hint="default"/>
        </w:rPr>
        <w:t>2018-117</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九、公司子公司重大事项" w:id="110"/>
      <w:bookmarkEnd w:id="11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第六节 股份变动及股东情况" w:id="111"/>
      <w:bookmarkEnd w:id="111"/>
      <w:r>
        <w:rPr>
          <w:b w:val="0"/>
          <w:bCs w:val="0"/>
        </w:rPr>
      </w:r>
      <w:bookmarkStart w:name="_bookmark5" w:id="112"/>
      <w:bookmarkEnd w:id="1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3"/>
      <w:bookmarkEnd w:id="11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1,917,533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1,917,533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5.96%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1,917,533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1,917,533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5.96%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4.24%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-25,896,3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-25,896,3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1.71%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618,648,5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94.34%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-1,917,53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-1,917,53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618,648,5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94.34%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-1,917,53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-1,917,53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right="1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现任董监高股份每年按照其上年末持有总数的</w:t>
      </w:r>
      <w:r>
        <w:rPr>
          <w:rFonts w:ascii="Times New Roman" w:hAnsi="Times New Roman" w:cs="Times New Roman" w:eastAsia="Times New Roman" w:hint="default"/>
        </w:rPr>
        <w:t>75%</w:t>
      </w:r>
      <w:r>
        <w:rPr/>
        <w:t>予以锁定；报告期内，公司离任高管所持股份按照规定锁定或解锁。 股份变动的批准情况</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40" w:lineRule="auto" w:before="42"/>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0"/>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1134"/>
        <w:gridCol w:w="992"/>
        <w:gridCol w:w="1417"/>
        <w:gridCol w:w="3332"/>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931,275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1,068,064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1,461,064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2,630,595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3,037,020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1,525,003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1,637,953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2,449,245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2,562,270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236,031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192,915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305,565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高管锁定</w:t>
            </w:r>
            <w:r>
              <w:rPr>
                <w:rFonts w:ascii="宋体" w:hAnsi="宋体" w:cs="宋体" w:eastAsia="宋体" w:hint="default"/>
                <w:spacing w:val="-80"/>
                <w:sz w:val="18"/>
                <w:szCs w:val="18"/>
              </w:rPr>
              <w:t>股</w:t>
            </w:r>
            <w:r>
              <w:rPr>
                <w:rFonts w:ascii="宋体" w:hAnsi="宋体" w:cs="宋体" w:eastAsia="宋体" w:hint="default"/>
                <w:sz w:val="18"/>
                <w:szCs w:val="18"/>
              </w:rPr>
              <w:t>（已离</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1134"/>
        <w:gridCol w:w="992"/>
        <w:gridCol w:w="1417"/>
        <w:gridCol w:w="3332"/>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间每年可转让的股份不得超过其所持有本 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高管锁定股（已离</w:t>
            </w:r>
            <w:r>
              <w:rPr>
                <w:rFonts w:ascii="宋体" w:hAnsi="宋体" w:cs="宋体" w:eastAsia="宋体" w:hint="default"/>
                <w:sz w:val="18"/>
                <w:szCs w:val="18"/>
              </w:rPr>
              <w:t> 任）</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日期间每年可转让的股份不得超过其所持 有本公司股份总数的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45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59"/>
              <w:jc w:val="both"/>
              <w:rPr>
                <w:rFonts w:ascii="宋体" w:hAnsi="宋体" w:cs="宋体" w:eastAsia="宋体" w:hint="default"/>
                <w:sz w:val="18"/>
                <w:szCs w:val="18"/>
              </w:rPr>
            </w:pPr>
            <w:r>
              <w:rPr>
                <w:rFonts w:ascii="宋体" w:hAnsi="宋体" w:cs="宋体" w:eastAsia="宋体" w:hint="default"/>
                <w:sz w:val="18"/>
                <w:szCs w:val="18"/>
              </w:rPr>
              <w:t>浙江浙商证 券资产管理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27,813,840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27,813,840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浙商资管持有的本公司 </w:t>
            </w:r>
            <w:r>
              <w:rPr>
                <w:rFonts w:ascii="Times New Roman" w:hAnsi="Times New Roman" w:cs="Times New Roman" w:eastAsia="Times New Roman" w:hint="default"/>
                <w:sz w:val="18"/>
                <w:szCs w:val="18"/>
              </w:rPr>
              <w:t>27,813,840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股股份</w:t>
            </w:r>
          </w:p>
          <w:p>
            <w:pPr>
              <w:pStyle w:val="TableParagraph"/>
              <w:spacing w:line="314"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（占公司股份总数的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4.2413%</w:t>
            </w:r>
            <w:r>
              <w:rPr>
                <w:rFonts w:ascii="宋体" w:hAnsi="宋体" w:cs="宋体" w:eastAsia="宋体" w:hint="default"/>
                <w:sz w:val="18"/>
                <w:szCs w:val="18"/>
              </w:rPr>
              <w:t>）性质尚为 </w:t>
            </w:r>
            <w:r>
              <w:rPr>
                <w:rFonts w:ascii="宋体" w:hAnsi="宋体" w:cs="宋体" w:eastAsia="宋体" w:hint="default"/>
                <w:spacing w:val="-5"/>
                <w:sz w:val="18"/>
                <w:szCs w:val="18"/>
              </w:rPr>
              <w:t>首发后限售股，由于其中 </w:t>
            </w:r>
            <w:r>
              <w:rPr>
                <w:rFonts w:ascii="Times New Roman" w:hAnsi="Times New Roman" w:cs="Times New Roman" w:eastAsia="Times New Roman" w:hint="default"/>
                <w:sz w:val="18"/>
                <w:szCs w:val="18"/>
              </w:rPr>
              <w:t>25,240,153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股系 股东李欣与上市公司有关的业绩对赌补偿 承诺应回购注销的股份，不符合解除限售 条件。根据深交所规则规定未履行相关承 诺的股东转让其限售股份的，该承诺具有 延续性，承诺无法被承接的，应履行法定 程序变更或豁免。同时如履行法定程序变 更或豁免，最终能否通过公司董事会、股 东大会等法定程序存在较大的不确定性。 该部分股份最终能否解除限售需视其是否 符合相应法律法规的规定，且以法院及监 管部门意见为准。</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9,085,973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30,387,740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39,058,118</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026"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51,644</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72.47998pt;width:85.6pt;height:33.25pt;mso-position-horizontal-relative:page;mso-position-vertical-relative:page;z-index:-1156576" type="#_x0000_t202" filled="false" stroked="false">
            <v:textbox inset="0,0,0,0">
              <w:txbxContent>
                <w:p>
                  <w:pPr>
                    <w:pStyle w:val="BodyText"/>
                    <w:spacing w:line="240" w:lineRule="auto" w:before="10"/>
                    <w:ind w:left="0" w:right="0"/>
                    <w:jc w:val="left"/>
                  </w:pPr>
                  <w:r>
                    <w:rPr/>
                    <w:t>（如有）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23"/>
        <w:gridCol w:w="1027"/>
        <w:gridCol w:w="279"/>
        <w:gridCol w:w="1071"/>
      </w:tblGrid>
      <w:tr>
        <w:trPr>
          <w:trHeight w:val="358"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796" w:type="dxa"/>
            <w:gridSpan w:val="2"/>
            <w:vMerge w:val="restart"/>
            <w:tcBorders>
              <w:top w:val="single" w:sz="4" w:space="0" w:color="000000"/>
              <w:left w:val="single" w:sz="4" w:space="0" w:color="000000"/>
              <w:right w:val="single" w:sz="4" w:space="0" w:color="000000"/>
            </w:tcBorders>
          </w:tcPr>
          <w:p>
            <w:pPr/>
          </w:p>
        </w:tc>
        <w:tc>
          <w:tcPr>
            <w:tcW w:w="1500" w:type="dxa"/>
            <w:gridSpan w:val="2"/>
            <w:vMerge w:val="restart"/>
            <w:tcBorders>
              <w:top w:val="single" w:sz="4" w:space="0" w:color="000000"/>
              <w:left w:val="single" w:sz="4" w:space="0" w:color="000000"/>
              <w:right w:val="single" w:sz="4" w:space="0" w:color="000000"/>
            </w:tcBorders>
            <w:shd w:val="clear" w:color="auto" w:fill="D2D2D2"/>
          </w:tcPr>
          <w:p>
            <w:pPr/>
          </w:p>
        </w:tc>
        <w:tc>
          <w:tcPr>
            <w:tcW w:w="1157" w:type="dxa"/>
            <w:gridSpan w:val="2"/>
            <w:vMerge w:val="restart"/>
            <w:tcBorders>
              <w:top w:val="single" w:sz="4" w:space="0" w:color="000000"/>
              <w:left w:val="single" w:sz="4" w:space="0" w:color="000000"/>
              <w:right w:val="single" w:sz="9" w:space="0" w:color="D2D2D2"/>
            </w:tcBorders>
          </w:tcPr>
          <w:p>
            <w:pPr/>
          </w:p>
        </w:tc>
        <w:tc>
          <w:tcPr>
            <w:tcW w:w="1286"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9" w:type="dxa"/>
            <w:gridSpan w:val="2"/>
            <w:vMerge w:val="restart"/>
            <w:tcBorders>
              <w:top w:val="single" w:sz="4" w:space="0" w:color="000000"/>
              <w:left w:val="single" w:sz="10" w:space="0" w:color="D2D2D2"/>
              <w:right w:val="single" w:sz="13" w:space="0" w:color="D2D2D2"/>
            </w:tcBorders>
          </w:tcPr>
          <w:p>
            <w:pP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股东总数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1" w:type="dxa"/>
            <w:vMerge w:val="restart"/>
            <w:tcBorders>
              <w:top w:val="single" w:sz="4" w:space="0" w:color="000000"/>
              <w:left w:val="single" w:sz="13" w:space="0" w:color="D2D2D2"/>
              <w:right w:val="single" w:sz="4" w:space="0" w:color="000000"/>
            </w:tcBorders>
          </w:tcPr>
          <w:p>
            <w:pPr>
              <w:pStyle w:val="TableParagraph"/>
              <w:spacing w:line="66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2.45pt;height:33.25pt;mso-position-horizontal-relative:char;mso-position-vertical-relative:line" coordorigin="0,0" coordsize="1049,665">
                  <v:group style="position:absolute;left:0;top:0;width:1049;height:665" coordorigin="0,0" coordsize="1049,665">
                    <v:shape style="position:absolute;left:0;top:0;width:1049;height:665" coordorigin="0,0" coordsize="1049,665" path="m0,665l1049,665,1049,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322"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796" w:type="dxa"/>
            <w:gridSpan w:val="2"/>
            <w:vMerge/>
            <w:tcBorders>
              <w:left w:val="single" w:sz="4" w:space="0" w:color="000000"/>
              <w:bottom w:val="single" w:sz="4" w:space="0" w:color="000000"/>
              <w:right w:val="single" w:sz="4" w:space="0" w:color="000000"/>
            </w:tcBorders>
          </w:tcPr>
          <w:p>
            <w:pPr/>
          </w:p>
        </w:tc>
        <w:tc>
          <w:tcPr>
            <w:tcW w:w="1500" w:type="dxa"/>
            <w:gridSpan w:val="2"/>
            <w:vMerge/>
            <w:tcBorders>
              <w:left w:val="single" w:sz="4" w:space="0" w:color="000000"/>
              <w:bottom w:val="single" w:sz="4" w:space="0" w:color="000000"/>
              <w:right w:val="single" w:sz="4" w:space="0" w:color="000000"/>
            </w:tcBorders>
            <w:shd w:val="clear" w:color="auto" w:fill="D2D2D2"/>
          </w:tcPr>
          <w:p>
            <w:pPr/>
          </w:p>
        </w:tc>
        <w:tc>
          <w:tcPr>
            <w:tcW w:w="1157" w:type="dxa"/>
            <w:gridSpan w:val="2"/>
            <w:vMerge/>
            <w:tcBorders>
              <w:left w:val="single" w:sz="4" w:space="0" w:color="000000"/>
              <w:bottom w:val="single" w:sz="4" w:space="0" w:color="000000"/>
              <w:right w:val="single" w:sz="9" w:space="0" w:color="D2D2D2"/>
            </w:tcBorders>
          </w:tcPr>
          <w:p>
            <w:pPr/>
          </w:p>
        </w:tc>
        <w:tc>
          <w:tcPr>
            <w:tcW w:w="12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9"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
        </w:tc>
        <w:tc>
          <w:tcPr>
            <w:tcW w:w="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5"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50" w:type="dxa"/>
            <w:vMerge w:val="restart"/>
            <w:tcBorders>
              <w:top w:val="nil" w:sz="6" w:space="0" w:color="auto"/>
              <w:left w:val="single" w:sz="4" w:space="0" w:color="000000"/>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银江科技集团有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161,205,6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146,010,000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浙江浙商证券资 产管理有限公司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9,086,029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1,626,689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9,086,029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0.86%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5,657,729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5,657,729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4,049,360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1,012,340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3,416,360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854,090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0.50%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3,290,713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3,290,713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深圳市润泰投资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3,275,935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万汇置业（深圳）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3,064,900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3,064,900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2,256,760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2,256,760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173"/>
              <w:jc w:val="left"/>
              <w:rPr>
                <w:rFonts w:ascii="宋体" w:hAnsi="宋体" w:cs="宋体" w:eastAsia="宋体" w:hint="default"/>
                <w:sz w:val="18"/>
                <w:szCs w:val="18"/>
              </w:rPr>
            </w:pPr>
            <w:r>
              <w:rPr>
                <w:rFonts w:ascii="宋体" w:hAnsi="宋体" w:cs="宋体" w:eastAsia="宋体" w:hint="default"/>
                <w:sz w:val="18"/>
                <w:szCs w:val="18"/>
              </w:rPr>
              <w:t>上银基金－浦发银行－上银基金财富 </w:t>
            </w:r>
            <w:r>
              <w:rPr>
                <w:rFonts w:ascii="Times New Roman" w:hAnsi="Times New Roman" w:cs="Times New Roman" w:eastAsia="Times New Roman" w:hint="default"/>
                <w:sz w:val="18"/>
                <w:szCs w:val="18"/>
              </w:rPr>
              <w:t>50 </w:t>
            </w:r>
            <w:r>
              <w:rPr>
                <w:rFonts w:ascii="宋体" w:hAnsi="宋体" w:cs="宋体" w:eastAsia="宋体" w:hint="default"/>
                <w:sz w:val="18"/>
                <w:szCs w:val="18"/>
              </w:rPr>
              <w:t>号资产管理计划和上银基金－浦发银行－ 上银基金财富 </w:t>
            </w:r>
            <w:r>
              <w:rPr>
                <w:rFonts w:ascii="Times New Roman" w:hAnsi="Times New Roman" w:cs="Times New Roman" w:eastAsia="Times New Roman" w:hint="default"/>
                <w:sz w:val="18"/>
                <w:szCs w:val="18"/>
              </w:rPr>
              <w:t>49 </w:t>
            </w:r>
            <w:r>
              <w:rPr>
                <w:rFonts w:ascii="宋体" w:hAnsi="宋体" w:cs="宋体" w:eastAsia="宋体" w:hint="default"/>
                <w:sz w:val="18"/>
                <w:szCs w:val="18"/>
              </w:rPr>
              <w:t>号资产管理计划属于公司 非公开发行对象上银基金管理有限公 司，上述非公开发行对象所持本公司股票已于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z w:val="18"/>
                <w:szCs w:val="18"/>
              </w:rPr>
              <w:t>日上市流通。</w:t>
            </w:r>
          </w:p>
        </w:tc>
      </w:tr>
      <w:tr>
        <w:trPr>
          <w:trHeight w:val="317"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名股东中，银江科技集团有限公司是本公司的控股股东；钱小鸿为公司董 </w:t>
            </w:r>
            <w:r>
              <w:rPr>
                <w:rFonts w:ascii="宋体" w:hAnsi="宋体" w:cs="宋体" w:eastAsia="宋体" w:hint="default"/>
                <w:spacing w:val="-1"/>
                <w:sz w:val="18"/>
                <w:szCs w:val="18"/>
              </w:rPr>
              <w:t>事、副总经理、财务总监；樊锦祥为公司董事、副总经理；刘健为公司实际控制人的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夫人。除此之外，公司其他前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名股东之间，未知是否存在关联，也未知是否属于 一致行动人。</w:t>
            </w:r>
          </w:p>
        </w:tc>
      </w:tr>
      <w:tr>
        <w:trPr>
          <w:trHeight w:val="704" w:hRule="exact"/>
        </w:trPr>
        <w:tc>
          <w:tcPr>
            <w:tcW w:w="288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0"/>
            <w:vMerge/>
            <w:tcBorders>
              <w:left w:val="single" w:sz="9" w:space="0" w:color="D2D2D2"/>
              <w:right w:val="single" w:sz="4" w:space="0" w:color="000000"/>
            </w:tcBorders>
          </w:tcPr>
          <w:p>
            <w:pPr/>
          </w:p>
        </w:tc>
      </w:tr>
      <w:tr>
        <w:trPr>
          <w:trHeight w:val="317"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10"/>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89"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177,166,505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6" w:right="0"/>
              <w:jc w:val="left"/>
              <w:rPr>
                <w:rFonts w:ascii="Times New Roman" w:hAnsi="Times New Roman" w:cs="Times New Roman" w:eastAsia="Times New Roman" w:hint="default"/>
                <w:sz w:val="18"/>
                <w:szCs w:val="18"/>
              </w:rPr>
            </w:pPr>
            <w:r>
              <w:rPr>
                <w:rFonts w:ascii="Times New Roman"/>
                <w:sz w:val="18"/>
              </w:rPr>
              <w:t>177,166,505</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9,086,029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9,086,029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上银基金－浦发银行－上银基金财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5,657,729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5,657,729</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上银基金－浦发银行－上银基金财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3,290,713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3,290,713</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深圳市润泰投资有限公司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3,275,935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3,275,935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万汇置业（深圳）有限公司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3,064,900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3,064,900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2,256,760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2,256,760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蒋军祖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吴克平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1,672,902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1,672,902</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名股东中，银江科技集团有限公司是本公司的控股股东；刘健为公司实际</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控制人的夫人。除此之外，公司其他前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名股东之间，未知是否存在关联，也未知 是否属于一致行动人。</w:t>
            </w:r>
          </w:p>
        </w:tc>
      </w:tr>
      <w:tr>
        <w:trPr>
          <w:trHeight w:val="383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在公司上述股东中，银江科技集团有限公司、陈文生、深圳市润泰投资有限公司、蒋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军祖、吴克平是融资融券投资者信用账户股东。公司股东银江科技集团有限公司除通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146,016,505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股外，还通过中信证券股份有限公司客户信用交易</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31,150,000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股，实际合计持有</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177,166,505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股；公司股东陈文生除</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1,293,856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股外，还通过国泰君安证券股份有限公司客户信用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7,792,173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9,086,029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股；公司股东深圳市润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泰投资有限公司除通过普通证券账户持有 </w:t>
            </w:r>
            <w:r>
              <w:rPr>
                <w:rFonts w:ascii="Times New Roman" w:hAnsi="Times New Roman" w:cs="Times New Roman" w:eastAsia="Times New Roman" w:hint="default"/>
                <w:sz w:val="18"/>
                <w:szCs w:val="18"/>
              </w:rPr>
              <w:t>1575935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宋体" w:hAnsi="宋体" w:cs="宋体" w:eastAsia="宋体" w:hint="default"/>
                <w:spacing w:val="-74"/>
                <w:sz w:val="18"/>
                <w:szCs w:val="18"/>
              </w:rPr>
              <w:t>，</w:t>
            </w:r>
            <w:r>
              <w:rPr>
                <w:rFonts w:ascii="宋体" w:hAnsi="宋体" w:cs="宋体" w:eastAsia="宋体" w:hint="default"/>
                <w:sz w:val="18"/>
                <w:szCs w:val="18"/>
              </w:rPr>
              <w:t>还通过东海证券股份有限公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司客户信用交易担保证券账户持有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宋体" w:hAnsi="宋体" w:cs="宋体" w:eastAsia="宋体" w:hint="default"/>
                <w:sz w:val="18"/>
                <w:szCs w:val="18"/>
              </w:rPr>
              <w:t>实际合计持有 </w:t>
            </w:r>
            <w:r>
              <w:rPr>
                <w:rFonts w:ascii="Times New Roman" w:hAnsi="Times New Roman" w:cs="Times New Roman" w:eastAsia="Times New Roman" w:hint="default"/>
                <w:sz w:val="18"/>
                <w:szCs w:val="18"/>
              </w:rPr>
              <w:t>3,275,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35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东蒋军祖通过普通证券账户持有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股，仅通过中信建投证券股份有限公司客户信用交</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股；公司股东吴克平通过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1,333,833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股，还通过上海证券有限责任公司客户信用交易担保证</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339,069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1,672,902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99"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75193874-5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许可经营项目：无。一般经 营项目：高科技产业投资开 发；资产管理；信息咨询服 务，印刷产品及设备、塑料</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1298" w:hRule="exact"/>
        </w:trPr>
        <w:tc>
          <w:tcPr>
            <w:tcW w:w="220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制品及原料的销售，经营进 </w:t>
            </w:r>
            <w:r>
              <w:rPr>
                <w:rFonts w:ascii="宋体" w:hAnsi="宋体" w:cs="宋体" w:eastAsia="宋体" w:hint="default"/>
                <w:spacing w:val="-13"/>
                <w:sz w:val="18"/>
                <w:szCs w:val="18"/>
              </w:rPr>
              <w:t>出口业务。（上述经营范围不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含国家法律法规禁止、限制 </w:t>
            </w:r>
            <w:r>
              <w:rPr>
                <w:rFonts w:ascii="宋体" w:hAnsi="宋体" w:cs="宋体" w:eastAsia="宋体" w:hint="default"/>
                <w:spacing w:val="-9"/>
                <w:sz w:val="18"/>
                <w:szCs w:val="18"/>
              </w:rPr>
              <w:t>和许可经营的项目。）</w:t>
            </w:r>
          </w:p>
        </w:tc>
      </w:tr>
    </w:tbl>
    <w:p>
      <w:pPr>
        <w:pStyle w:val="BodyText"/>
        <w:spacing w:line="240" w:lineRule="auto" w:before="51"/>
        <w:ind w:right="0"/>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23"/>
      <w:bookmarkEnd w:id="12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母公司股东</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9"/>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3"/>
          <w:szCs w:val="23"/>
        </w:rPr>
      </w:pPr>
    </w:p>
    <w:p>
      <w:pPr>
        <w:spacing w:line="1935" w:lineRule="exact"/>
        <w:ind w:left="1358"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4591684" cy="1228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684" cy="122872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10"/>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报告期内，控股股东承诺在增持期间及在本次增持完成后六个月内及法定期限内不减持所持有的公司股份。</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126"/>
      <w:bookmarkEnd w:id="126"/>
      <w:r>
        <w:rPr>
          <w:b w:val="0"/>
          <w:bCs w:val="0"/>
        </w:rPr>
      </w:r>
      <w:bookmarkStart w:name="_bookmark6" w:id="127"/>
      <w:bookmarkEnd w:id="12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8"/>
      <w:bookmarkEnd w:id="128"/>
      <w:r>
        <w:rPr>
          <w:b w:val="0"/>
          <w:bCs w:val="0"/>
        </w:rPr>
      </w:r>
      <w:bookmarkStart w:name="_bookmark7" w:id="129"/>
      <w:bookmarkEnd w:id="12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1,769,800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1,424,085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1,598,085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4,049,360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1,683,938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3,416,360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314,708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465,208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407,420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12,418,47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2,573,900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14,057,97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1122"/>
        <w:jc w:val="left"/>
      </w:pPr>
      <w:r>
        <w:rPr/>
        <w:t>吴越，男，中国国籍，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8</w:t>
      </w:r>
      <w:r>
        <w:rPr/>
        <w:t>月出生，无境外永久居留权，工学博士，教授级高级工程师。现任本公司董事长，浙江银江 研究院有限公司董事长，浙江银江金服控股有限公司董事。 章建强，男，中国国籍，</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5</w:t>
      </w:r>
      <w:r>
        <w:rPr/>
        <w:t>月出生，无境外永久居留权，浙江大学</w:t>
      </w:r>
      <w:r>
        <w:rPr>
          <w:spacing w:val="-19"/>
        </w:rPr>
        <w:t> </w:t>
      </w:r>
      <w:r>
        <w:rPr>
          <w:rFonts w:ascii="Times New Roman" w:hAnsi="Times New Roman" w:cs="Times New Roman" w:eastAsia="Times New Roman" w:hint="default"/>
        </w:rPr>
        <w:t>MBA</w:t>
      </w:r>
      <w:r>
        <w:rPr/>
        <w:t>，中国品牌创新杰出人物，中国软件和信息</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32"/>
        <w:jc w:val="left"/>
      </w:pPr>
      <w:r>
        <w:rPr/>
        <w:t>技术服务业品牌建设领袖人物。现任本公司董事、总经理、首席执行官。 钱小鸿，男，中国国籍，</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月出生，无境外永久居留权，同济大学交通运输工程专业硕士，教授级高级工程师，浙江 </w:t>
      </w:r>
      <w:r>
        <w:rPr>
          <w:spacing w:val="-2"/>
        </w:rPr>
        <w:t>工业大学研究生导师，国家一级建造师、计算机信息系统集成高级项目经理。现任本公司董事、财务总监、副总经理，上海</w:t>
      </w:r>
      <w:r>
        <w:rPr>
          <w:spacing w:val="-68"/>
        </w:rPr>
        <w:t> </w:t>
      </w:r>
      <w:r>
        <w:rPr>
          <w:spacing w:val="-68"/>
        </w:rPr>
      </w:r>
      <w:r>
        <w:rPr/>
        <w:t>济祥智能交通科技有限公司董事。 柳展，男，中国国籍，</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月出生，无境外永久居留权，本科学历，高级工程师，国家一级建造师，计算机信息系统集 </w:t>
      </w:r>
      <w:r>
        <w:rPr>
          <w:spacing w:val="-2"/>
        </w:rPr>
        <w:t>成高级项目经理。现任本公司董事，浙江银江智慧交通集团有限公司董事长，浙江银江交通技术有限公司执行董事，江苏银</w:t>
      </w:r>
      <w:r>
        <w:rPr>
          <w:spacing w:val="-66"/>
        </w:rPr>
        <w:t> </w:t>
      </w:r>
      <w:r>
        <w:rPr>
          <w:spacing w:val="-66"/>
        </w:rPr>
      </w:r>
      <w:r>
        <w:rPr/>
        <w:t>江交通技术有限公司执行董事。 </w:t>
      </w:r>
      <w:r>
        <w:rPr>
          <w:spacing w:val="-2"/>
        </w:rPr>
        <w:t>樊锦祥，男，中国国籍，</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月出生，无境外永久居留权，本科学历，工程师。现任本公司董事、副总经理，江苏银江</w:t>
      </w:r>
      <w:r>
        <w:rPr>
          <w:spacing w:val="-63"/>
        </w:rPr>
        <w:t> </w:t>
      </w:r>
      <w:r>
        <w:rPr>
          <w:spacing w:val="-63"/>
        </w:rPr>
      </w:r>
      <w:r>
        <w:rPr>
          <w:spacing w:val="-2"/>
        </w:rPr>
        <w:t>智慧城市信息技术有限公司执行董事、浙大健康管理有限公司监事、银江（北京）物联网技术有限公司监事、杭州银江智慧</w:t>
      </w:r>
      <w:r>
        <w:rPr>
          <w:spacing w:val="-66"/>
        </w:rPr>
        <w:t> </w:t>
      </w:r>
      <w:r>
        <w:rPr>
          <w:spacing w:val="-66"/>
        </w:rPr>
      </w:r>
      <w:r>
        <w:rPr/>
        <w:t>城市技术集团有限公司执行董事、上海济祥智能交通科技有限公司监事。 </w:t>
      </w:r>
      <w:r>
        <w:rPr>
          <w:spacing w:val="-2"/>
        </w:rPr>
        <w:t>陈利中，男，中国国籍，</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9</w:t>
      </w:r>
      <w:r>
        <w:rPr>
          <w:spacing w:val="-2"/>
        </w:rPr>
        <w:t>月出生，无境外永久居留权，本科学历，高级工程师，浙江工业大学硕士研究生企业导师。</w:t>
      </w:r>
      <w:r>
        <w:rPr>
          <w:spacing w:val="-65"/>
        </w:rPr>
        <w:t> </w:t>
      </w:r>
      <w:r>
        <w:rPr>
          <w:spacing w:val="-65"/>
        </w:rPr>
      </w:r>
      <w:r>
        <w:rPr/>
        <w:t>自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26"/>
        </w:rPr>
        <w:t> </w:t>
      </w:r>
      <w:r>
        <w:rPr/>
        <w:t>日起本公司董事，现任杭州杭州银江智慧健康集团有限公司董事兼总经理。 刘国平，男，中国国籍，</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8</w:t>
      </w:r>
      <w:r>
        <w:rPr/>
        <w:t>月出生，无境外永久居留权，大学学历，副教授。现任本公司独立董事。 </w:t>
      </w:r>
      <w:r>
        <w:rPr>
          <w:spacing w:val="-3"/>
        </w:rPr>
        <w:t>冯晓，女，中国国籍，</w:t>
      </w:r>
      <w:r>
        <w:rPr>
          <w:rFonts w:ascii="Times New Roman" w:hAnsi="Times New Roman" w:cs="Times New Roman" w:eastAsia="Times New Roman" w:hint="default"/>
          <w:spacing w:val="-3"/>
        </w:rPr>
        <w:t>1969</w:t>
      </w:r>
      <w:r>
        <w:rPr>
          <w:spacing w:val="-3"/>
        </w:rPr>
        <w:t>年</w:t>
      </w:r>
      <w:r>
        <w:rPr>
          <w:rFonts w:ascii="Times New Roman" w:hAnsi="Times New Roman" w:cs="Times New Roman" w:eastAsia="Times New Roman" w:hint="default"/>
          <w:spacing w:val="-3"/>
        </w:rPr>
        <w:t>11</w:t>
      </w:r>
      <w:r>
        <w:rPr>
          <w:spacing w:val="-3"/>
        </w:rPr>
        <w:t>月出生，无境外永久居留权，中共党员，硕士。会计学教授，硕士研究生导师、</w:t>
      </w:r>
      <w:r>
        <w:rPr>
          <w:rFonts w:ascii="Times New Roman" w:hAnsi="Times New Roman" w:cs="Times New Roman" w:eastAsia="Times New Roman" w:hint="default"/>
          <w:spacing w:val="-3"/>
        </w:rPr>
        <w:t>MBA</w:t>
      </w:r>
      <w:r>
        <w:rPr>
          <w:rFonts w:ascii="Times New Roman" w:hAnsi="Times New Roman" w:cs="Times New Roman" w:eastAsia="Times New Roman" w:hint="default"/>
          <w:spacing w:val="22"/>
        </w:rPr>
        <w:t> </w:t>
      </w:r>
      <w:r>
        <w:rPr/>
        <w:t>导师、</w:t>
      </w:r>
      <w:r>
        <w:rPr>
          <w:spacing w:val="-84"/>
        </w:rPr>
        <w:t> </w:t>
      </w:r>
      <w:r>
        <w:rPr>
          <w:spacing w:val="-84"/>
        </w:rPr>
      </w:r>
      <w:r>
        <w:rPr>
          <w:spacing w:val="-2"/>
        </w:rPr>
        <w:t>中国注册会计师（非执业）。现任本公司独立董事、浙江财经大学教师，兼任顾家家居股份有限公司、通策医疗投资股份有</w:t>
      </w:r>
      <w:r>
        <w:rPr>
          <w:spacing w:val="-66"/>
        </w:rPr>
        <w:t> </w:t>
      </w:r>
      <w:r>
        <w:rPr>
          <w:spacing w:val="-66"/>
        </w:rPr>
      </w:r>
      <w:r>
        <w:rPr/>
        <w:t>限公司、杭州士兰微电子股份有限公司、北京蓝色光标品牌管理顾问股份有限公司独立董事。 赵新建，中国国籍，无境外永久居留权，男，</w:t>
      </w:r>
      <w:r>
        <w:rPr>
          <w:rFonts w:ascii="宋体" w:hAnsi="宋体" w:cs="宋体" w:eastAsia="宋体" w:hint="default"/>
        </w:rPr>
        <w:t>1955</w:t>
      </w:r>
      <w:r>
        <w:rPr/>
        <w:t>年</w:t>
      </w:r>
      <w:r>
        <w:rPr>
          <w:rFonts w:ascii="宋体" w:hAnsi="宋体" w:cs="宋体" w:eastAsia="宋体" w:hint="default"/>
        </w:rPr>
        <w:t>1</w:t>
      </w:r>
      <w:r>
        <w:rPr/>
        <w:t>月出生，硕士，教授，硕士研究生导师。现任本公司独立董事、杭州 安恒信息技术股份有限公司独立董事、杭州世创电子技术股份有限公司独立董事。 孔桦桦，女，中国国籍，</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3</w:t>
      </w:r>
      <w:r>
        <w:rPr/>
        <w:t>月出生，无境外永久居留权，硕士。现任本公司监事长、企业发展中心总经理。 张芸芸，女，中国国籍，</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11</w:t>
      </w:r>
      <w:r>
        <w:rPr/>
        <w:t>月出生，无境外永久居留权，大专学历。现任本公司监事。 余力航，女，中国国籍，</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10</w:t>
      </w:r>
      <w:r>
        <w:rPr/>
        <w:t>月出生，无境外永久居留权，本科学历。现任行政办公室行政总监。 陈才君，男，中国国籍，</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9</w:t>
      </w:r>
      <w:r>
        <w:rPr/>
        <w:t>月出生，无境外永久居留权，本科学历。现任本公司副总经理，浙江银江智慧交通集团有 </w:t>
      </w:r>
      <w:r>
        <w:rPr>
          <w:spacing w:val="-2"/>
        </w:rPr>
        <w:t>限公司总经理，浙江交通宝互联网技术有限公司执行董事、总经理，交通宝互联网技术有限公司执行董事，济南银江智慧城</w:t>
      </w:r>
      <w:r>
        <w:rPr>
          <w:spacing w:val="-66"/>
        </w:rPr>
        <w:t> </w:t>
      </w:r>
      <w:r>
        <w:rPr>
          <w:spacing w:val="-66"/>
        </w:rPr>
      </w:r>
      <w:r>
        <w:rPr/>
        <w:t>市技术有限公司执行董事、总经理，重庆银江交通工程有限公司执行董事。 </w:t>
      </w:r>
      <w:r>
        <w:rPr>
          <w:spacing w:val="-2"/>
        </w:rPr>
        <w:t>温晓岳，女，中国国籍，</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12</w:t>
      </w:r>
      <w:r>
        <w:rPr>
          <w:spacing w:val="-2"/>
        </w:rPr>
        <w:t>月出生，无境外永久居留权，硕士，高级工程师。现任本公司副总经理，浙江银江研究院</w:t>
      </w:r>
      <w:r>
        <w:rPr>
          <w:spacing w:val="-61"/>
        </w:rPr>
        <w:t> </w:t>
      </w:r>
      <w:r>
        <w:rPr>
          <w:spacing w:val="-61"/>
        </w:rPr>
      </w:r>
      <w:r>
        <w:rPr/>
        <w:t>有限公司董事、总经理，济南银江智慧城市技术有限公司监事。 </w:t>
      </w:r>
      <w:r>
        <w:rPr>
          <w:spacing w:val="-4"/>
        </w:rPr>
        <w:t>花少富，男，中国国籍，</w:t>
      </w:r>
      <w:r>
        <w:rPr>
          <w:rFonts w:ascii="Times New Roman" w:hAnsi="Times New Roman" w:cs="Times New Roman" w:eastAsia="Times New Roman" w:hint="default"/>
          <w:spacing w:val="-4"/>
        </w:rPr>
        <w:t>1987</w:t>
      </w:r>
      <w:r>
        <w:rPr>
          <w:spacing w:val="-4"/>
        </w:rPr>
        <w:t>年</w:t>
      </w:r>
      <w:r>
        <w:rPr>
          <w:rFonts w:ascii="Times New Roman" w:hAnsi="Times New Roman" w:cs="Times New Roman" w:eastAsia="Times New Roman" w:hint="default"/>
          <w:spacing w:val="-4"/>
        </w:rPr>
        <w:t>4</w:t>
      </w:r>
      <w:r>
        <w:rPr>
          <w:spacing w:val="-4"/>
        </w:rPr>
        <w:t>月出生，无境外永久居留权，本科学历。现任本公司董事会秘书、副总经理，银江股份（香</w:t>
      </w:r>
      <w:r>
        <w:rPr>
          <w:spacing w:val="-40"/>
        </w:rPr>
        <w:t> </w:t>
      </w:r>
      <w:r>
        <w:rPr>
          <w:spacing w:val="-40"/>
        </w:rPr>
      </w:r>
      <w:r>
        <w:rPr/>
        <w:t>港）有限公司董事。</w:t>
      </w:r>
    </w:p>
    <w:p>
      <w:pPr>
        <w:pStyle w:val="BodyText"/>
        <w:spacing w:line="240" w:lineRule="auto" w:before="65"/>
        <w:ind w:right="0"/>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2836"/>
        <w:gridCol w:w="992"/>
        <w:gridCol w:w="1702"/>
        <w:gridCol w:w="1595"/>
        <w:gridCol w:w="159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浙江银江金服控股有限公司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城市报互联网技术有限公司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青岛智谷创业园有限公司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2836"/>
        <w:gridCol w:w="992"/>
        <w:gridCol w:w="1702"/>
        <w:gridCol w:w="1595"/>
        <w:gridCol w:w="159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江苏银江智慧城市信息技术有限公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浙大健康管理有限公司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重庆银江交通工程有限公司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浙江银江智慧交通工程技术研究院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浙江银江智慧城市信息技术研究院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杭州银江智慧健康集团有限公司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浙江银江智慧医疗研究院有限公司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董事、监事、高级管理人员报酬的决策程序：董事、监事、高级管理人员薪酬根据公司《年度绩效考核管理办法》确定，由</w:t>
      </w:r>
      <w:r>
        <w:rPr>
          <w:spacing w:val="-68"/>
        </w:rPr>
        <w:t> </w:t>
      </w:r>
      <w:r>
        <w:rPr>
          <w:spacing w:val="-68"/>
        </w:rPr>
      </w:r>
      <w:r>
        <w:rPr/>
        <w:t>董事会薪酬与考核委员会组织并考核。</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20"/>
        <w:jc w:val="left"/>
      </w:pPr>
      <w:r>
        <w:rPr/>
        <w:t>董事、监事、高级管理人员报酬确定依据：年度绩效目标。 董事、监事和高级管理人员报酬的实际支付情况：工资、津贴次月发放；奖金延后发放。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153" w:right="0"/>
        <w:jc w:val="left"/>
      </w:pPr>
      <w:r>
        <w:rPr/>
        <w:pict>
          <v:group style="position:absolute;margin-left:193.759995pt;margin-top:99.391716pt;width:67.9pt;height:28pt;mso-position-horizontal-relative:page;mso-position-vertical-relative:paragraph;z-index:-1156552" coordorigin="3875,1988" coordsize="1358,560">
            <v:group style="position:absolute;left:3875;top:1988;width:1358;height:156" coordorigin="3875,1988" coordsize="1358,156">
              <v:shape style="position:absolute;left:3875;top:1988;width:1358;height:156" coordorigin="3875,1988" coordsize="1358,156" path="m3875,2144l5233,2144,5233,1988,3875,1988,3875,2144xe" filled="true" fillcolor="#ffffff" stroked="false">
                <v:path arrowok="t"/>
                <v:fill type="solid"/>
              </v:shape>
            </v:group>
            <v:group style="position:absolute;left:3887;top:2144;width:2;height:393" coordorigin="3887,2144" coordsize="2,393">
              <v:shape style="position:absolute;left:3887;top:2144;width:2;height:393" coordorigin="3887,2144" coordsize="0,393" path="m3887,2144l3887,2536e" filled="false" stroked="true" strokeweight="1.140pt" strokecolor="#ffffff">
                <v:path arrowok="t"/>
              </v:shape>
            </v:group>
            <v:group style="position:absolute;left:3898;top:2144;width:1312;height:393" coordorigin="3898,2144" coordsize="1312,393">
              <v:shape style="position:absolute;left:3898;top:2144;width:1312;height:393" coordorigin="3898,2144" coordsize="1312,393" path="m3898,2536l5210,2536,5210,2144,3898,2144,3898,2536xe" filled="true" fillcolor="#ffffff" stroked="false">
                <v:path arrowok="t"/>
                <v:fill type="solid"/>
              </v:shape>
            </v:group>
            <w10:wrap type="none"/>
          </v:group>
        </w:pict>
      </w:r>
      <w:r>
        <w:rPr/>
        <w:t>单位：万元</w:t>
      </w:r>
    </w:p>
    <w:p>
      <w:pPr>
        <w:spacing w:after="0" w:line="240" w:lineRule="auto"/>
        <w:jc w:val="left"/>
        <w:sectPr>
          <w:type w:val="continuous"/>
          <w:pgSz w:w="11910" w:h="16840"/>
          <w:pgMar w:top="1060" w:bottom="1160" w:left="980" w:right="0"/>
          <w:cols w:num="2" w:equalWidth="0">
            <w:col w:w="7175" w:space="156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508.19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本公司采用劳动合同制，按照《中华人民共和国劳动合同法》和国家及地方其他有关劳动法律、法规的规定，与员工签订劳</w:t>
      </w:r>
      <w:r>
        <w:rPr>
          <w:spacing w:val="-66"/>
        </w:rPr>
        <w:t> </w:t>
      </w:r>
      <w:r>
        <w:rPr>
          <w:spacing w:val="-66"/>
        </w:rPr>
      </w:r>
      <w:r>
        <w:rPr/>
        <w:t>动合同。公司严格执行国家用工制度、劳动保护制度、社会保障制度和医疗保障制度，按照国家规定为员工缴纳社会保险、 </w:t>
      </w:r>
      <w:r>
        <w:rPr>
          <w:spacing w:val="-2"/>
        </w:rPr>
        <w:t>医疗保险。公司的员工薪酬政策以《公司薪酬管理制度》为蓝本，充分结合公司实际运营状况，依据岗位职能及工作情况全</w:t>
      </w:r>
      <w:r>
        <w:rPr>
          <w:spacing w:val="-66"/>
        </w:rPr>
        <w:t> </w:t>
      </w:r>
      <w:r>
        <w:rPr>
          <w:spacing w:val="-66"/>
        </w:rPr>
      </w:r>
      <w:r>
        <w:rPr/>
        <w:t>方位对员工进行各方面的考核。</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公司有着完善的年度培训计划，培训内容包含工作专业技能、安全、管理等各个方面知识，以内部培训、外部培训、在职培</w:t>
      </w:r>
      <w:r>
        <w:rPr>
          <w:spacing w:val="-67"/>
        </w:rPr>
        <w:t> </w:t>
      </w:r>
      <w:r>
        <w:rPr>
          <w:spacing w:val="-67"/>
        </w:rPr>
      </w:r>
      <w:r>
        <w:rPr/>
        <w:t>训等多种形式展开。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86" w:right="4164"/>
        <w:jc w:val="center"/>
        <w:rPr>
          <w:b w:val="0"/>
          <w:bCs w:val="0"/>
        </w:rPr>
      </w:pPr>
      <w:bookmarkStart w:name="第九节 公司治理" w:id="139"/>
      <w:bookmarkEnd w:id="139"/>
      <w:r>
        <w:rPr>
          <w:b w:val="0"/>
          <w:bCs w:val="0"/>
        </w:rPr>
      </w:r>
      <w:bookmarkStart w:name="_bookmark8" w:id="140"/>
      <w:bookmarkEnd w:id="14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jc w:val="both"/>
      </w:pPr>
      <w:r>
        <w:rPr>
          <w:spacing w:val="-5"/>
        </w:rPr>
        <w:t>报告期内，公司严格按照《公司法》、《证券法》、《上市公司治理准则》、《深圳证券交易所创业板股票上市规则》、《深</w:t>
      </w:r>
      <w:r>
        <w:rPr>
          <w:spacing w:val="-85"/>
        </w:rPr>
        <w:t> </w:t>
      </w:r>
      <w:r>
        <w:rPr>
          <w:spacing w:val="-85"/>
        </w:rPr>
      </w:r>
      <w:r>
        <w:rPr>
          <w:spacing w:val="-2"/>
        </w:rPr>
        <w:t>圳证券交易所创业板上市公司规范运作指引》等法律法规的要求，不断完善公司治理结构，进一步规范公司运作，提高公司</w:t>
      </w:r>
      <w:r>
        <w:rPr>
          <w:spacing w:val="-66"/>
        </w:rPr>
        <w:t> </w:t>
      </w:r>
      <w:r>
        <w:rPr>
          <w:spacing w:val="-66"/>
        </w:rPr>
      </w:r>
      <w:r>
        <w:rPr>
          <w:spacing w:val="-2"/>
        </w:rPr>
        <w:t>治理水平。截至报告期末，公司治理的实际状况符合《上市公司治理准则》和《深圳证券交易所创业板上市公司规范运作指</w:t>
      </w:r>
      <w:r>
        <w:rPr>
          <w:spacing w:val="-66"/>
        </w:rPr>
        <w:t> </w:t>
      </w:r>
      <w:r>
        <w:rPr>
          <w:spacing w:val="-66"/>
        </w:rPr>
      </w:r>
      <w:r>
        <w:rPr/>
        <w:t>引》的要求。</w:t>
      </w:r>
    </w:p>
    <w:p>
      <w:pPr>
        <w:pStyle w:val="BodyText"/>
        <w:spacing w:line="309" w:lineRule="auto" w:before="19"/>
        <w:ind w:right="1122"/>
        <w:jc w:val="left"/>
      </w:pPr>
      <w:r>
        <w:rPr>
          <w:rFonts w:ascii="Times New Roman" w:hAnsi="Times New Roman" w:cs="Times New Roman" w:eastAsia="Times New Roman" w:hint="default"/>
        </w:rPr>
        <w:t>1</w:t>
      </w:r>
      <w:r>
        <w:rPr/>
        <w:t>、关于股东与股东大会 </w:t>
      </w:r>
      <w:r>
        <w:rPr>
          <w:spacing w:val="-2"/>
        </w:rPr>
        <w:t>公司严格按照《公司法》、《深圳证券交易所创业板上市公司规范运作指引》、《公司章程》、《股东大会议事规则》等规</w:t>
      </w:r>
      <w:r>
        <w:rPr>
          <w:spacing w:val="-70"/>
        </w:rPr>
        <w:t> </w:t>
      </w:r>
      <w:r>
        <w:rPr>
          <w:spacing w:val="-70"/>
        </w:rPr>
      </w:r>
      <w:r>
        <w:rPr/>
        <w:t>定要求，召集、召开股东大会，确保所有股东享有平等地位，保护全体股东的利益。</w:t>
      </w:r>
      <w:r>
        <w:rPr>
          <w:rFonts w:ascii="Times New Roman" w:hAnsi="Times New Roman" w:cs="Times New Roman" w:eastAsia="Times New Roman" w:hint="default"/>
        </w:rPr>
        <w:t>2018</w:t>
      </w:r>
      <w:r>
        <w:rPr/>
        <w:t>年度公司共召开</w:t>
      </w:r>
      <w:r>
        <w:rPr>
          <w:rFonts w:ascii="Times New Roman" w:hAnsi="Times New Roman" w:cs="Times New Roman" w:eastAsia="Times New Roman" w:hint="default"/>
        </w:rPr>
        <w:t>5</w:t>
      </w:r>
      <w:r>
        <w:rPr/>
        <w:t>次股东大会，均 </w:t>
      </w:r>
      <w:r>
        <w:rPr>
          <w:spacing w:val="-2"/>
        </w:rPr>
        <w:t>使用网络投票表决和现场投票表决相结合的形式召开，让中小投资者充分行使自己的权利。同时，公司聘请律师出席见证了</w:t>
      </w:r>
      <w:r>
        <w:rPr>
          <w:spacing w:val="-66"/>
        </w:rPr>
        <w:t> </w:t>
      </w:r>
      <w:r>
        <w:rPr>
          <w:spacing w:val="-66"/>
        </w:rPr>
      </w:r>
      <w:r>
        <w:rPr/>
        <w:t>股东大会会议的召集、召开和表决程序的合法性，维护股东的合法权益。</w:t>
      </w:r>
    </w:p>
    <w:p>
      <w:pPr>
        <w:pStyle w:val="BodyText"/>
        <w:spacing w:line="314" w:lineRule="auto" w:before="24"/>
        <w:ind w:right="1032"/>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公司拥有独立完整的业务和自主经营能力，在业务、人员、资产、机构、财务等方面均独立于控股股东，公司董事会、监事</w:t>
      </w:r>
      <w:r>
        <w:rPr>
          <w:spacing w:val="-72"/>
        </w:rPr>
        <w:t> </w:t>
      </w:r>
      <w:r>
        <w:rPr>
          <w:spacing w:val="-72"/>
        </w:rPr>
      </w:r>
      <w:r>
        <w:rPr>
          <w:spacing w:val="-2"/>
        </w:rPr>
        <w:t>会和内部机构独立运作。公司控股股东依法行使其权利并承担义务，没有超越股东大会直接或间接干预公司经营活动，不存</w:t>
      </w:r>
      <w:r>
        <w:rPr>
          <w:spacing w:val="-66"/>
        </w:rPr>
        <w:t> </w:t>
      </w:r>
      <w:r>
        <w:rPr>
          <w:spacing w:val="-66"/>
        </w:rPr>
      </w:r>
      <w:r>
        <w:rPr/>
        <w:t>在控股股东、实际控制人利用其控制地位侵害其他股东利益的行为；报告期内公司没有为控股股东及其关联企业提供担保， </w:t>
      </w:r>
      <w:r>
        <w:rPr>
          <w:spacing w:val="-2"/>
        </w:rPr>
        <w:t>亦不存在控股股东非经营性占用公司资金的行为；公司与控股股东及其关联单位不存在同业竞争的情况；公司与控股股东及</w:t>
      </w:r>
      <w:r>
        <w:rPr>
          <w:spacing w:val="-64"/>
        </w:rPr>
        <w:t> </w:t>
      </w:r>
      <w:r>
        <w:rPr>
          <w:spacing w:val="-64"/>
        </w:rPr>
      </w:r>
      <w:r>
        <w:rPr/>
        <w:t>其关联单位存在关联交易，已按照信息披露要求对外披露。</w:t>
      </w:r>
    </w:p>
    <w:p>
      <w:pPr>
        <w:pStyle w:val="BodyText"/>
        <w:spacing w:line="300" w:lineRule="auto" w:before="20"/>
        <w:ind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名，董事会的人数及人员构成符合法律、法规和《公司章程》的要求。公司董事依据</w:t>
      </w:r>
    </w:p>
    <w:p>
      <w:pPr>
        <w:pStyle w:val="BodyText"/>
        <w:spacing w:line="314" w:lineRule="auto" w:before="13"/>
        <w:ind w:right="1129"/>
        <w:jc w:val="both"/>
      </w:pPr>
      <w:r>
        <w:rPr>
          <w:spacing w:val="-2"/>
        </w:rPr>
        <w:t>《深圳证券交易所创业板上市公司规范运作指引》、《公司章程》、《董事会议事规则》、《独立董事工作细则》等开展工</w:t>
      </w:r>
      <w:r>
        <w:rPr>
          <w:spacing w:val="-68"/>
        </w:rPr>
        <w:t> </w:t>
      </w:r>
      <w:r>
        <w:rPr>
          <w:spacing w:val="-68"/>
        </w:rPr>
      </w:r>
      <w:r>
        <w:rPr>
          <w:spacing w:val="-2"/>
        </w:rPr>
        <w:t>作，出席董事会和股东大会，依法行使职权，勤勉尽责地履行职责和义务。报告期内，公司董事会共召开了</w:t>
      </w:r>
      <w:r>
        <w:rPr>
          <w:rFonts w:ascii="Times New Roman" w:hAnsi="Times New Roman" w:cs="Times New Roman" w:eastAsia="Times New Roman" w:hint="default"/>
          <w:spacing w:val="-2"/>
        </w:rPr>
        <w:t>12</w:t>
      </w:r>
      <w:r>
        <w:rPr>
          <w:spacing w:val="-2"/>
        </w:rPr>
        <w:t>次会议，会议</w:t>
      </w:r>
      <w:r>
        <w:rPr>
          <w:spacing w:val="-66"/>
        </w:rPr>
        <w:t> </w:t>
      </w:r>
      <w:r>
        <w:rPr>
          <w:spacing w:val="-66"/>
        </w:rPr>
      </w:r>
      <w:r>
        <w:rPr>
          <w:spacing w:val="-2"/>
        </w:rPr>
        <w:t>的召集召开程序符合法律法规、《公司章程》及《公司董事会议事规则》的相关规定。公司董事会下设战略决策委员会、提</w:t>
      </w:r>
      <w:r>
        <w:rPr>
          <w:spacing w:val="-69"/>
        </w:rPr>
        <w:t> </w:t>
      </w:r>
      <w:r>
        <w:rPr>
          <w:spacing w:val="-69"/>
        </w:rPr>
      </w:r>
      <w:r>
        <w:rPr>
          <w:spacing w:val="-2"/>
        </w:rPr>
        <w:t>名委员会、审计委员会、薪酬与考核委员会四个专门委员会。各委员会依据《公司章程》和各委员会议事规则的规定履行职</w:t>
      </w:r>
      <w:r>
        <w:rPr>
          <w:spacing w:val="-66"/>
        </w:rPr>
        <w:t> </w:t>
      </w:r>
      <w:r>
        <w:rPr>
          <w:spacing w:val="-66"/>
        </w:rPr>
      </w:r>
      <w:r>
        <w:rPr/>
        <w:t>权。</w:t>
      </w:r>
    </w:p>
    <w:p>
      <w:pPr>
        <w:pStyle w:val="BodyText"/>
        <w:spacing w:line="304" w:lineRule="auto" w:before="20"/>
        <w:ind w:right="1122"/>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名，监事会的人数和构成符合法律、法规的要求。公司监事能够按照《监事会议事规</w:t>
      </w:r>
      <w:r>
        <w:rPr>
          <w:spacing w:val="-65"/>
        </w:rPr>
        <w:t> </w:t>
      </w:r>
      <w:r>
        <w:rPr>
          <w:spacing w:val="-65"/>
        </w:rPr>
      </w:r>
      <w:r>
        <w:rPr>
          <w:spacing w:val="-2"/>
        </w:rPr>
        <w:t>则》的要求，认真履行自己的职责，对公司重大事项、财务状况以及董事、高管人员履行职责的合法合规性进行监督。报告</w:t>
      </w:r>
      <w:r>
        <w:rPr>
          <w:spacing w:val="-67"/>
        </w:rPr>
        <w:t> </w:t>
      </w:r>
      <w:r>
        <w:rPr>
          <w:spacing w:val="-67"/>
        </w:rPr>
      </w:r>
      <w:r>
        <w:rPr>
          <w:spacing w:val="-2"/>
        </w:rPr>
        <w:t>期内，公司监事会共召开了</w:t>
      </w:r>
      <w:r>
        <w:rPr>
          <w:rFonts w:ascii="Times New Roman" w:hAnsi="Times New Roman" w:cs="Times New Roman" w:eastAsia="Times New Roman" w:hint="default"/>
          <w:spacing w:val="-2"/>
        </w:rPr>
        <w:t>10</w:t>
      </w:r>
      <w:r>
        <w:rPr>
          <w:spacing w:val="-2"/>
        </w:rPr>
        <w:t>次会议，会议的召集、召开程序符合法律法规、《公司章程》及《公司监事会议事规则》的相</w:t>
      </w:r>
      <w:r>
        <w:rPr>
          <w:spacing w:val="-65"/>
        </w:rPr>
        <w:t> </w:t>
      </w:r>
      <w:r>
        <w:rPr>
          <w:spacing w:val="-65"/>
        </w:rPr>
      </w:r>
      <w:r>
        <w:rPr/>
        <w:t>关规定。</w:t>
      </w:r>
    </w:p>
    <w:p>
      <w:pPr>
        <w:pStyle w:val="BodyText"/>
        <w:spacing w:line="314" w:lineRule="auto" w:before="28"/>
        <w:ind w:right="1032"/>
        <w:jc w:val="left"/>
      </w:pPr>
      <w:r>
        <w:rPr>
          <w:rFonts w:ascii="Times New Roman" w:hAnsi="Times New Roman" w:cs="Times New Roman" w:eastAsia="Times New Roman" w:hint="default"/>
        </w:rPr>
        <w:t>5</w:t>
      </w:r>
      <w:r>
        <w:rPr/>
        <w:t>、关于绩效评价与激励约束机制 </w:t>
      </w:r>
      <w:r>
        <w:rPr>
          <w:spacing w:val="-2"/>
        </w:rPr>
        <w:t>公司已建立绩效评价与激励约束机制。为调动公司员工工作的积极性，公司针对不同岗位制定不同的绩效考核标准。公司董</w:t>
      </w:r>
      <w:r>
        <w:rPr>
          <w:spacing w:val="-66"/>
        </w:rPr>
        <w:t> </w:t>
      </w:r>
      <w:r>
        <w:rPr>
          <w:spacing w:val="-66"/>
        </w:rPr>
      </w:r>
      <w:r>
        <w:rPr>
          <w:spacing w:val="-2"/>
        </w:rPr>
        <w:t>事会下设的薪酬与考核委员会负责对公司董事及高管进行绩效考核，且已逐步完善和建立公正、透明的绩效评价标准和激励</w:t>
      </w:r>
      <w:r>
        <w:rPr>
          <w:spacing w:val="-64"/>
        </w:rPr>
        <w:t> </w:t>
      </w:r>
      <w:r>
        <w:rPr>
          <w:spacing w:val="-64"/>
        </w:rPr>
      </w:r>
      <w:r>
        <w:rPr/>
        <w:t>约束机制。《公司章程》明确规定了高级管理人员的履职行为、权限和职责，高级管理人员的聘任公开、透明，符合法律、 法规的规定，现有的考核及激励约束机制符合公司的发展现状。</w:t>
      </w:r>
    </w:p>
    <w:p>
      <w:pPr>
        <w:pStyle w:val="BodyText"/>
        <w:spacing w:line="309" w:lineRule="auto" w:before="20"/>
        <w:ind w:right="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公司严格按照有关法律法规以及《信息披露管理制度》、《投资者关系管理制度》等的要求，真实、准确、及时、公平、完</w:t>
      </w:r>
      <w:r>
        <w:rPr>
          <w:spacing w:val="-70"/>
        </w:rPr>
        <w:t> </w:t>
      </w:r>
      <w:r>
        <w:rPr>
          <w:spacing w:val="-70"/>
        </w:rPr>
      </w:r>
      <w:r>
        <w:rPr>
          <w:spacing w:val="-4"/>
        </w:rPr>
        <w:t>整地披露有关信息；并指定公司董事会秘书负责信息披露工作，协调公司与投资者的关系，接待股东来访，回答投资者咨询。</w:t>
      </w:r>
      <w:r>
        <w:rPr>
          <w:spacing w:val="-46"/>
        </w:rPr>
        <w:t> </w:t>
      </w:r>
      <w:r>
        <w:rPr>
          <w:spacing w:val="-46"/>
        </w:rPr>
      </w:r>
      <w:r>
        <w:rPr/>
        <w:t>公司指定《证券时报》为信息披露报纸，巨潮资讯网（</w:t>
      </w:r>
      <w:hyperlink r:id="rId11">
        <w:r>
          <w:rPr>
            <w:rFonts w:ascii="Times New Roman" w:hAnsi="Times New Roman" w:cs="Times New Roman" w:eastAsia="Times New Roman" w:hint="default"/>
          </w:rPr>
          <w:t>www.cninfo.com.cn</w:t>
        </w:r>
      </w:hyperlink>
      <w:r>
        <w:rPr/>
        <w:t>）为信息披露网站，确保公司所有股东能够以平</w:t>
      </w:r>
      <w:r>
        <w:rPr>
          <w:w w:val="99"/>
        </w:rPr>
        <w:t> </w:t>
      </w:r>
      <w:r>
        <w:rPr/>
        <w:t>等的机会获得信息。</w:t>
      </w:r>
    </w:p>
    <w:p>
      <w:pPr>
        <w:pStyle w:val="BodyText"/>
        <w:spacing w:line="240" w:lineRule="auto" w:before="24"/>
        <w:ind w:right="0"/>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spacing w:val="-2"/>
        </w:rPr>
        <w:t>公司充分尊重和维护相关利益者的合法权益，积极与相关利益者合作，加强与各方的沟通和交流，实现股东、员工、社会等</w:t>
      </w:r>
      <w:r>
        <w:rPr>
          <w:spacing w:val="-66"/>
        </w:rPr>
        <w:t> </w:t>
      </w:r>
      <w:r>
        <w:rPr>
          <w:spacing w:val="-66"/>
        </w:rPr>
      </w:r>
      <w:r>
        <w:rPr/>
        <w:t>各方利益的协调平衡，共同推动公司持续、健康的发展。 公司治理的实际状况与中国证监会发布的有关上市公司治理的规范性文件是否存在重大差异</w:t>
      </w:r>
    </w:p>
    <w:p>
      <w:pPr>
        <w:pStyle w:val="BodyText"/>
        <w:spacing w:line="338" w:lineRule="auto" w:before="43"/>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公司拥有独立完整的业务和自主经营能力，在业务、人员、资产、机构、财务上独立于控股股东，公司董事会、监事会和内</w:t>
      </w:r>
      <w:r>
        <w:rPr>
          <w:spacing w:val="-72"/>
        </w:rPr>
        <w:t> </w:t>
      </w:r>
      <w:r>
        <w:rPr>
          <w:spacing w:val="-72"/>
        </w:rPr>
      </w:r>
      <w:r>
        <w:rPr/>
        <w:t>部机构独立运作。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4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报告期内，独立董事对公司提出的合理建议均被采纳。</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2"/>
        <w:jc w:val="left"/>
      </w:pPr>
      <w:r>
        <w:rPr>
          <w:rFonts w:ascii="Times New Roman" w:hAnsi="Times New Roman" w:cs="Times New Roman" w:eastAsia="Times New Roman" w:hint="default"/>
        </w:rPr>
        <w:t>1</w:t>
      </w:r>
      <w:r>
        <w:rPr/>
        <w:t>、提名委员会履职情况：报告期内，提名委员会就公司聘任董事和变更董事会秘书、副总经理等相关事项进行审查并提出 建议，形成决议并提交董事会审议。 </w:t>
      </w:r>
      <w:r>
        <w:rPr>
          <w:rFonts w:ascii="Times New Roman" w:hAnsi="Times New Roman" w:cs="Times New Roman" w:eastAsia="Times New Roman" w:hint="default"/>
        </w:rPr>
        <w:t>2</w:t>
      </w:r>
      <w:r>
        <w:rPr/>
        <w:t>、战略决策委员会履职情况：报告期内，战略决策委员会讨论审议了公司购买房产、向银行申请综合授信额度、发行短期 融资券、终止公司对外担保额度、转让参股公司股权、公司对产业基金追加投资等相关事宜。 </w:t>
      </w:r>
      <w:r>
        <w:rPr>
          <w:rFonts w:ascii="Times New Roman" w:hAnsi="Times New Roman" w:cs="Times New Roman" w:eastAsia="Times New Roman" w:hint="default"/>
        </w:rPr>
        <w:t>3</w:t>
      </w:r>
      <w:r>
        <w:rPr/>
        <w:t>、审计委员会履职情况：审计委员会主要负责公司内外部审计的沟通和协调，组织内部审计、内部控制体系的建设等相关 工作。报告期内，审计委员会主要审议了公司内部审计部门提交的内审财务报告，对内部审计部门的工作进行监督和指导。 </w:t>
      </w:r>
      <w:r>
        <w:rPr>
          <w:spacing w:val="-2"/>
        </w:rPr>
        <w:t>在</w:t>
      </w:r>
      <w:r>
        <w:rPr>
          <w:rFonts w:ascii="Times New Roman" w:hAnsi="Times New Roman" w:cs="Times New Roman" w:eastAsia="Times New Roman" w:hint="default"/>
          <w:spacing w:val="-2"/>
        </w:rPr>
        <w:t>2018</w:t>
      </w:r>
      <w:r>
        <w:rPr>
          <w:spacing w:val="-2"/>
        </w:rPr>
        <w:t>年年报编制和审计过程中，审计委员会与审计机构沟通确定了年度财务报告审计工作的时间安排，对公司的财务报表</w:t>
      </w:r>
      <w:r>
        <w:rPr>
          <w:spacing w:val="-60"/>
        </w:rPr>
        <w:t> </w:t>
      </w:r>
      <w:r>
        <w:rPr>
          <w:spacing w:val="-60"/>
        </w:rPr>
      </w:r>
      <w:r>
        <w:rPr>
          <w:spacing w:val="-2"/>
        </w:rPr>
        <w:t>进行了审计并形成了内部审计书面报告。报告期内，审计委员会就续聘会计师事务所、关联交易等事项进行审查并评议，形</w:t>
      </w:r>
      <w:r>
        <w:rPr>
          <w:spacing w:val="-66"/>
        </w:rPr>
        <w:t> </w:t>
      </w:r>
      <w:r>
        <w:rPr>
          <w:spacing w:val="-66"/>
        </w:rPr>
      </w:r>
      <w:r>
        <w:rPr/>
        <w:t>成决议并提交董事会审议。 </w:t>
      </w:r>
      <w:r>
        <w:rPr>
          <w:rFonts w:ascii="Times New Roman" w:hAnsi="Times New Roman" w:cs="Times New Roman" w:eastAsia="Times New Roman" w:hint="default"/>
        </w:rPr>
        <w:t>4</w:t>
      </w:r>
      <w:r>
        <w:rPr/>
        <w:t>、薪酬与考核委员会履职情况：报告期内，薪酬与考核委员会审查公司董事（非独立董事）及高级管理人员的履职情况并 对其进行年度绩效考评，同时，对公司薪酬制度执行情况予以监督。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公司高级管理人员的薪资由基本薪酬和绩效奖金构成，基本薪酬参考市场同类薪酬标准，结合考虑职位、责任、能力等因素</w:t>
      </w:r>
      <w:r>
        <w:rPr>
          <w:spacing w:val="-66"/>
        </w:rPr>
        <w:t> </w:t>
      </w:r>
      <w:r>
        <w:rPr>
          <w:spacing w:val="-66"/>
        </w:rPr>
      </w:r>
      <w:r>
        <w:rPr>
          <w:spacing w:val="-2"/>
        </w:rPr>
        <w:t>确定，基本薪酬按月平均发放。绩效奖金根据《公司</w:t>
      </w:r>
      <w:r>
        <w:rPr>
          <w:rFonts w:ascii="Times New Roman" w:hAnsi="Times New Roman" w:cs="Times New Roman" w:eastAsia="Times New Roman" w:hint="default"/>
          <w:spacing w:val="-2"/>
        </w:rPr>
        <w:t>2018</w:t>
      </w:r>
      <w:r>
        <w:rPr>
          <w:spacing w:val="-2"/>
        </w:rPr>
        <w:t>年度经营业绩考核责任书》，结合年度绩效考核结果等确定。薪资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水平与其承担责任、风险和经营业绩挂钩。</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7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2"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财务报告定量标准以营业收入、资产总额 作为衡量指标。内部控制缺陷可能导致或 导致的损失与利润表相关的，以营业收入 指标衡量。如果该缺陷单独或连同其他缺 陷可能导致的财务报告错报金额小于营业 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 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重要缺陷；如果超过营业收入的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42"/>
              <w:jc w:val="left"/>
              <w:rPr>
                <w:rFonts w:ascii="宋体" w:hAnsi="宋体" w:cs="宋体" w:eastAsia="宋体" w:hint="default"/>
                <w:sz w:val="18"/>
                <w:szCs w:val="18"/>
              </w:rPr>
            </w:pPr>
            <w:r>
              <w:rPr>
                <w:rFonts w:ascii="宋体" w:hAnsi="宋体" w:cs="宋体" w:eastAsia="宋体" w:hint="default"/>
                <w:spacing w:val="-4"/>
                <w:sz w:val="18"/>
                <w:szCs w:val="18"/>
              </w:rPr>
              <w:t>非财务报告定量标准以营业收入、资产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总额作为衡量指标。内部控制缺陷可能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导致或导致的损失与利润报表相关的， </w:t>
            </w:r>
            <w:r>
              <w:rPr>
                <w:rFonts w:ascii="宋体" w:hAnsi="宋体" w:cs="宋体" w:eastAsia="宋体" w:hint="default"/>
                <w:spacing w:val="-4"/>
                <w:sz w:val="18"/>
                <w:szCs w:val="18"/>
              </w:rPr>
              <w:t>以营业收入指标衡量。如果该缺陷单独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或连同其他缺陷可能导致的损失金额 小于营业收入的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，则认定为一般缺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则认定为重要缺陷；如果超过营业</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7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认定为重大缺陷。内部控制缺陷可能导致 或导致的损失与资产管理相关的，以资产 总额指标衡量。如果该缺陷单独或连同其 他缺陷可能导致的财务报告错报金额小于 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 果超过资产总额的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 为重要缺陷；如果超过资产总额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 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收入的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，则认定为重大缺陷。内部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控制缺陷可能导致或导致的损失与资 产管理相关的，以资产总额指标衡量。 如果该缺陷单独或连同其他缺陷可能 导致的损失小于资产总额的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w:t>
            </w:r>
            <w:r>
              <w:rPr>
                <w:rFonts w:ascii="宋体" w:hAnsi="宋体" w:cs="宋体" w:eastAsia="宋体" w:hint="default"/>
                <w:sz w:val="18"/>
                <w:szCs w:val="18"/>
              </w:rPr>
              <w:t> 定为一般缺陷；如果超过资产总额的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 果超过资产总额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我们认为，银江公司于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8"/>
      <w:bookmarkEnd w:id="158"/>
      <w:r>
        <w:rPr>
          <w:b w:val="0"/>
          <w:bCs w:val="0"/>
        </w:rPr>
      </w:r>
      <w:bookmarkStart w:name="_bookmark9" w:id="159"/>
      <w:bookmarkEnd w:id="15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60"/>
      <w:bookmarkEnd w:id="160"/>
      <w:r>
        <w:rPr>
          <w:b w:val="0"/>
          <w:bCs w:val="0"/>
        </w:rPr>
      </w:r>
      <w:bookmarkStart w:name="_bookmark10" w:id="161"/>
      <w:bookmarkEnd w:id="16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2"/>
      <w:bookmarkEnd w:id="16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33080005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65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谭争</w:t>
              <w:tab/>
              <w:t>许旭光</w:t>
            </w:r>
          </w:p>
        </w:tc>
      </w:tr>
    </w:tbl>
    <w:p>
      <w:pPr>
        <w:spacing w:line="240" w:lineRule="auto" w:before="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2"/>
          <w:szCs w:val="12"/>
        </w:rPr>
      </w:pPr>
    </w:p>
    <w:p>
      <w:pPr>
        <w:pStyle w:val="Heading5"/>
        <w:spacing w:line="240" w:lineRule="auto"/>
        <w:ind w:right="0"/>
        <w:jc w:val="left"/>
        <w:rPr>
          <w:b w:val="0"/>
          <w:bCs w:val="0"/>
        </w:rPr>
      </w:pPr>
      <w:r>
        <w:rPr>
          <w:w w:val="95"/>
        </w:rPr>
        <w:t>银江股份有限公司全体股东：</w:t>
      </w:r>
      <w:r>
        <w:rPr>
          <w:b w:val="0"/>
          <w:bCs w:val="0"/>
        </w:rPr>
      </w:r>
    </w:p>
    <w:p>
      <w:pPr>
        <w:spacing w:before="38"/>
        <w:ind w:left="153" w:right="0" w:firstLine="0"/>
        <w:jc w:val="left"/>
        <w:rPr>
          <w:rFonts w:ascii="宋体" w:hAnsi="宋体" w:cs="宋体" w:eastAsia="宋体" w:hint="default"/>
          <w:sz w:val="20"/>
          <w:szCs w:val="20"/>
        </w:rPr>
      </w:pPr>
      <w:r>
        <w:rPr/>
        <w:br w:type="column"/>
      </w:r>
      <w:r>
        <w:rPr>
          <w:rFonts w:ascii="宋体" w:hAnsi="宋体" w:cs="宋体" w:eastAsia="宋体" w:hint="default"/>
          <w:b/>
          <w:bCs/>
          <w:sz w:val="20"/>
          <w:szCs w:val="20"/>
        </w:rPr>
        <w:t>审计报告正文</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060" w:bottom="1160" w:left="980" w:right="0"/>
          <w:cols w:num="2" w:equalWidth="0">
            <w:col w:w="2501" w:space="1717"/>
            <w:col w:w="6712"/>
          </w:cols>
        </w:sectPr>
      </w:pPr>
    </w:p>
    <w:p>
      <w:pPr>
        <w:spacing w:line="240" w:lineRule="auto" w:before="4"/>
        <w:rPr>
          <w:rFonts w:ascii="宋体" w:hAnsi="宋体" w:cs="宋体" w:eastAsia="宋体" w:hint="default"/>
          <w:b/>
          <w:bCs/>
          <w:sz w:val="26"/>
          <w:szCs w:val="26"/>
        </w:rPr>
      </w:pPr>
    </w:p>
    <w:p>
      <w:pPr>
        <w:pStyle w:val="BodyText"/>
        <w:spacing w:line="316" w:lineRule="auto" w:before="44"/>
        <w:ind w:left="634" w:right="1092"/>
        <w:jc w:val="left"/>
      </w:pPr>
      <w:r>
        <w:rPr>
          <w:rFonts w:ascii="宋体" w:hAnsi="宋体" w:cs="宋体" w:eastAsia="宋体" w:hint="default"/>
          <w:b/>
          <w:bCs/>
        </w:rPr>
        <w:t>一、审计意见</w:t>
      </w:r>
      <w:r>
        <w:rPr>
          <w:rFonts w:ascii="宋体" w:hAnsi="宋体" w:cs="宋体" w:eastAsia="宋体" w:hint="default"/>
          <w:b/>
          <w:bCs/>
          <w:w w:val="99"/>
        </w:rPr>
        <w:t> </w:t>
      </w:r>
      <w:r>
        <w:rPr/>
        <w:t>我们审计了银江股份有限公司（以下简称“银江公司”）财务报表，包括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p>
    <w:p>
      <w:pPr>
        <w:pStyle w:val="BodyText"/>
        <w:spacing w:line="316" w:lineRule="auto" w:before="19"/>
        <w:ind w:left="634" w:right="0" w:hanging="480"/>
        <w:jc w:val="left"/>
      </w:pPr>
      <w:r>
        <w:rPr>
          <w:rFonts w:ascii="宋体" w:hAnsi="宋体" w:cs="宋体" w:eastAsia="宋体" w:hint="default"/>
        </w:rPr>
        <w:t>2018</w:t>
      </w:r>
      <w:r>
        <w:rPr/>
        <w:t>年度的合并及公司利润表、合并及公司现金流量表、合并及公司股东权益变动表以及相关财务报表附注。 </w:t>
      </w:r>
      <w:r>
        <w:rPr>
          <w:spacing w:val="-1"/>
        </w:rPr>
        <w:t>我们认为，后附的财务报表在所有重大方面按照企业会计准则的规定编制，公允反映了银江公司</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日合并</w:t>
      </w:r>
    </w:p>
    <w:p>
      <w:pPr>
        <w:spacing w:line="319" w:lineRule="auto" w:before="19"/>
        <w:ind w:left="634" w:right="5352" w:hanging="480"/>
        <w:jc w:val="left"/>
        <w:rPr>
          <w:rFonts w:ascii="宋体" w:hAnsi="宋体" w:cs="宋体" w:eastAsia="宋体" w:hint="default"/>
          <w:sz w:val="18"/>
          <w:szCs w:val="18"/>
        </w:rPr>
      </w:pPr>
      <w:r>
        <w:rPr>
          <w:rFonts w:ascii="宋体" w:hAnsi="宋体" w:cs="宋体" w:eastAsia="宋体" w:hint="default"/>
          <w:sz w:val="18"/>
          <w:szCs w:val="18"/>
        </w:rPr>
        <w:t>及公司的财务状况以及</w:t>
      </w:r>
      <w:r>
        <w:rPr>
          <w:rFonts w:ascii="宋体" w:hAnsi="宋体" w:cs="宋体" w:eastAsia="宋体" w:hint="default"/>
          <w:sz w:val="18"/>
          <w:szCs w:val="18"/>
        </w:rPr>
        <w:t>2018</w:t>
      </w:r>
      <w:r>
        <w:rPr>
          <w:rFonts w:ascii="宋体" w:hAnsi="宋体" w:cs="宋体" w:eastAsia="宋体" w:hint="default"/>
          <w:sz w:val="18"/>
          <w:szCs w:val="18"/>
        </w:rPr>
        <w:t>年度合并及公司的经营成果和现金流量。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6" w:lineRule="auto" w:before="17"/>
        <w:ind w:right="1130" w:firstLine="480"/>
        <w:jc w:val="both"/>
      </w:pPr>
      <w:r>
        <w:rPr>
          <w:spacing w:val="-1"/>
        </w:rPr>
        <w:t>我们按照中国注册会计师审计准则的规定执行了审计工作。审计报告的“注册会计师对财务报表审计的责任”部分进</w:t>
      </w:r>
      <w:r>
        <w:rPr/>
        <w:t> </w:t>
      </w:r>
      <w:r>
        <w:rPr>
          <w:spacing w:val="-2"/>
        </w:rPr>
        <w:t>一步阐述了我们在这些准则下的责任。按照中国注册会计师职业道德守则，我们独立于银江公司，并履行了职业道德方面的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316" w:lineRule="auto" w:before="19"/>
        <w:ind w:left="634"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22"/>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Heading5"/>
        <w:spacing w:line="316" w:lineRule="auto" w:before="19"/>
        <w:ind w:left="634" w:right="8284"/>
        <w:jc w:val="left"/>
        <w:rPr>
          <w:b w:val="0"/>
          <w:bCs w:val="0"/>
        </w:rPr>
      </w:pPr>
      <w:r>
        <w:rPr/>
        <w:t>（一）建造合同收入确认</w:t>
      </w:r>
      <w:r>
        <w:rPr>
          <w:w w:val="99"/>
        </w:rPr>
        <w:t> </w:t>
      </w:r>
      <w:r>
        <w:rPr>
          <w:rFonts w:ascii="宋体" w:hAnsi="宋体" w:cs="宋体" w:eastAsia="宋体" w:hint="default"/>
        </w:rPr>
        <w:t>1</w:t>
      </w:r>
      <w:r>
        <w:rPr/>
        <w:t>、事项描述</w:t>
      </w:r>
      <w:r>
        <w:rPr>
          <w:b w:val="0"/>
          <w:bCs w:val="0"/>
        </w:rPr>
      </w:r>
    </w:p>
    <w:p>
      <w:pPr>
        <w:pStyle w:val="BodyText"/>
        <w:spacing w:line="316" w:lineRule="auto" w:before="19"/>
        <w:ind w:right="1132" w:firstLine="480"/>
        <w:jc w:val="both"/>
      </w:pPr>
      <w:r>
        <w:rPr/>
        <w:t>如财务报表附注（四）、</w:t>
      </w:r>
      <w:r>
        <w:rPr>
          <w:rFonts w:ascii="宋体" w:hAnsi="宋体" w:cs="宋体" w:eastAsia="宋体" w:hint="default"/>
        </w:rPr>
        <w:t>23</w:t>
      </w:r>
      <w:r>
        <w:rPr/>
        <w:t>（</w:t>
      </w:r>
      <w:r>
        <w:rPr>
          <w:rFonts w:ascii="宋体" w:hAnsi="宋体" w:cs="宋体" w:eastAsia="宋体" w:hint="default"/>
        </w:rPr>
        <w:t>3</w:t>
      </w:r>
      <w:r>
        <w:rPr/>
        <w:t>）所示，银江公司对于所提供的建造服务，在建造合同的结果能够可靠估计时，按照 </w:t>
      </w:r>
      <w:r>
        <w:rPr>
          <w:spacing w:val="-2"/>
        </w:rPr>
        <w:t>完工百分比法确认收入。管理层需要对建造合同的预计总收入和预计总成本作出合理估计已确定完工进度，并应于合同执行</w:t>
      </w:r>
      <w:r>
        <w:rPr>
          <w:spacing w:val="-64"/>
        </w:rPr>
        <w:t> </w:t>
      </w:r>
      <w:r>
        <w:rPr>
          <w:spacing w:val="-64"/>
        </w:rPr>
      </w:r>
      <w:r>
        <w:rPr>
          <w:spacing w:val="-2"/>
        </w:rPr>
        <w:t>过程中持续评估和修订。上述建造合同收入确认过程中涉及管理层的重大会计估计，因此我们将建造合同收入确认认定为关</w:t>
      </w:r>
      <w:r>
        <w:rPr>
          <w:spacing w:val="-64"/>
        </w:rPr>
        <w:t> </w:t>
      </w:r>
      <w:r>
        <w:rPr>
          <w:spacing w:val="-64"/>
        </w:rPr>
      </w:r>
      <w:r>
        <w:rPr/>
        <w:t>键审计事项。</w:t>
      </w:r>
    </w:p>
    <w:p>
      <w:pPr>
        <w:spacing w:line="316" w:lineRule="auto" w:before="19"/>
        <w:ind w:left="634" w:right="595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我们针对建造合同收入确认执行的审计程序主要包括：</w:t>
      </w:r>
    </w:p>
    <w:p>
      <w:pPr>
        <w:pStyle w:val="BodyText"/>
        <w:spacing w:line="240" w:lineRule="auto" w:before="19"/>
        <w:ind w:left="634" w:right="0"/>
        <w:jc w:val="left"/>
      </w:pPr>
      <w:r>
        <w:rPr/>
        <w:t>（</w:t>
      </w:r>
      <w:r>
        <w:rPr>
          <w:rFonts w:ascii="宋体" w:hAnsi="宋体" w:cs="宋体" w:eastAsia="宋体" w:hint="default"/>
        </w:rPr>
        <w:t>1</w:t>
      </w:r>
      <w:r>
        <w:rPr/>
        <w:t>）测试与建造合同预算编制和收入确认相关的内部控制；</w:t>
      </w:r>
    </w:p>
    <w:p>
      <w:pPr>
        <w:pStyle w:val="BodyText"/>
        <w:spacing w:line="240" w:lineRule="auto" w:before="76"/>
        <w:ind w:left="634" w:right="0"/>
        <w:jc w:val="left"/>
      </w:pPr>
      <w:r>
        <w:rPr/>
        <w:t>（</w:t>
      </w:r>
      <w:r>
        <w:rPr>
          <w:rFonts w:ascii="宋体" w:hAnsi="宋体" w:cs="宋体" w:eastAsia="宋体" w:hint="default"/>
        </w:rPr>
        <w:t>2</w:t>
      </w:r>
      <w:r>
        <w:rPr/>
        <w:t>）获取建造合同信息表，重新计算建造合同完工百分比的准确性；</w:t>
      </w:r>
    </w:p>
    <w:p>
      <w:pPr>
        <w:pStyle w:val="BodyText"/>
        <w:spacing w:line="316" w:lineRule="auto" w:before="77"/>
        <w:ind w:right="0" w:firstLine="480"/>
        <w:jc w:val="left"/>
      </w:pPr>
      <w:r>
        <w:rPr/>
        <w:t>（</w:t>
      </w:r>
      <w:r>
        <w:rPr>
          <w:rFonts w:ascii="宋体" w:hAnsi="宋体" w:cs="宋体" w:eastAsia="宋体" w:hint="default"/>
        </w:rPr>
        <w:t>3</w:t>
      </w:r>
      <w:r>
        <w:rPr/>
        <w:t>）选取建造合同样本，检查预计总收入、预计总成本所依据的建造合同和成本预算资料，评价管理层对预计总收 入和预计总成本的估计是否充分；</w:t>
      </w:r>
    </w:p>
    <w:p>
      <w:pPr>
        <w:pStyle w:val="BodyText"/>
        <w:spacing w:line="240" w:lineRule="auto" w:before="19"/>
        <w:ind w:left="634" w:right="0"/>
        <w:jc w:val="left"/>
      </w:pPr>
      <w:r>
        <w:rPr/>
        <w:t>（</w:t>
      </w:r>
      <w:r>
        <w:rPr>
          <w:rFonts w:ascii="宋体" w:hAnsi="宋体" w:cs="宋体" w:eastAsia="宋体" w:hint="default"/>
        </w:rPr>
        <w:t>4</w:t>
      </w:r>
      <w:r>
        <w:rPr/>
        <w:t>）选取样本对本年度发生的工程施工成本进行测试；</w:t>
      </w:r>
    </w:p>
    <w:p>
      <w:pPr>
        <w:pStyle w:val="BodyText"/>
        <w:spacing w:line="240" w:lineRule="auto" w:before="76"/>
        <w:ind w:left="634" w:right="0"/>
        <w:jc w:val="left"/>
      </w:pPr>
      <w:r>
        <w:rPr/>
        <w:t>（</w:t>
      </w:r>
      <w:r>
        <w:rPr>
          <w:rFonts w:ascii="宋体" w:hAnsi="宋体" w:cs="宋体" w:eastAsia="宋体" w:hint="default"/>
        </w:rPr>
        <w:t>5</w:t>
      </w:r>
      <w:r>
        <w:rPr/>
        <w:t>）选取建造合同样本，对工程进度进行现场查看，与工程管理部门讨论确认工程的完工进度，并与账面记录进行</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比较，对异常偏差执行进一步的检查程序。</w:t>
      </w:r>
    </w:p>
    <w:p>
      <w:pPr>
        <w:pStyle w:val="Heading5"/>
        <w:spacing w:line="316" w:lineRule="auto" w:before="76"/>
        <w:ind w:left="634" w:right="7923"/>
        <w:jc w:val="left"/>
        <w:rPr>
          <w:b w:val="0"/>
          <w:bCs w:val="0"/>
        </w:rPr>
      </w:pPr>
      <w:r>
        <w:rPr/>
        <w:t>（二）应收账款坏账准备计提</w:t>
      </w:r>
      <w:r>
        <w:rPr>
          <w:w w:val="99"/>
        </w:rPr>
        <w:t> </w:t>
      </w:r>
      <w:r>
        <w:rPr>
          <w:rFonts w:ascii="宋体" w:hAnsi="宋体" w:cs="宋体" w:eastAsia="宋体" w:hint="default"/>
        </w:rPr>
        <w:t>1</w:t>
      </w:r>
      <w:r>
        <w:rPr/>
        <w:t>、事项描述</w:t>
      </w:r>
      <w:r>
        <w:rPr>
          <w:b w:val="0"/>
          <w:bCs w:val="0"/>
        </w:rPr>
      </w:r>
    </w:p>
    <w:p>
      <w:pPr>
        <w:pStyle w:val="BodyText"/>
        <w:spacing w:line="319" w:lineRule="auto" w:before="19"/>
        <w:ind w:right="1130" w:firstLine="480"/>
        <w:jc w:val="both"/>
      </w:pPr>
      <w:r>
        <w:rPr>
          <w:spacing w:val="18"/>
        </w:rPr>
        <w:t>如财务报表附注六、</w:t>
      </w:r>
      <w:r>
        <w:rPr>
          <w:spacing w:val="-69"/>
        </w:rPr>
        <w:t> </w:t>
      </w:r>
      <w:r>
        <w:rPr>
          <w:rFonts w:ascii="宋体" w:hAnsi="宋体" w:cs="宋体" w:eastAsia="宋体" w:hint="default"/>
        </w:rPr>
        <w:t>3</w:t>
      </w:r>
      <w:r>
        <w:rPr>
          <w:rFonts w:ascii="宋体" w:hAnsi="宋体" w:cs="宋体" w:eastAsia="宋体" w:hint="default"/>
          <w:spacing w:val="-70"/>
        </w:rPr>
        <w:t> </w:t>
      </w:r>
      <w:r>
        <w:rPr>
          <w:spacing w:val="14"/>
        </w:rPr>
        <w:t>所述，</w:t>
      </w:r>
      <w:r>
        <w:rPr>
          <w:spacing w:val="-70"/>
        </w:rPr>
        <w:t> </w:t>
      </w:r>
      <w:r>
        <w:rPr>
          <w:spacing w:val="10"/>
        </w:rPr>
        <w:t>截至</w:t>
      </w:r>
      <w:r>
        <w:rPr>
          <w:spacing w:val="-69"/>
        </w:rPr>
        <w:t> </w:t>
      </w:r>
      <w:r>
        <w:rPr>
          <w:rFonts w:ascii="宋体" w:hAnsi="宋体" w:cs="宋体" w:eastAsia="宋体" w:hint="default"/>
        </w:rPr>
        <w:t>2018</w:t>
      </w:r>
      <w:r>
        <w:rPr>
          <w:rFonts w:ascii="宋体" w:hAnsi="宋体" w:cs="宋体" w:eastAsia="宋体" w:hint="default"/>
          <w:spacing w:val="-70"/>
        </w:rPr>
        <w:t> </w:t>
      </w:r>
      <w:r>
        <w:rPr/>
        <w:t>年</w:t>
      </w:r>
      <w:r>
        <w:rPr>
          <w:spacing w:val="-69"/>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31</w:t>
      </w:r>
      <w:r>
        <w:rPr>
          <w:rFonts w:ascii="宋体" w:hAnsi="宋体" w:cs="宋体" w:eastAsia="宋体" w:hint="default"/>
          <w:spacing w:val="-70"/>
        </w:rPr>
        <w:t> </w:t>
      </w:r>
      <w:r>
        <w:rPr>
          <w:spacing w:val="10"/>
        </w:rPr>
        <w:t>日，</w:t>
      </w:r>
      <w:r>
        <w:rPr>
          <w:spacing w:val="-69"/>
        </w:rPr>
        <w:t> </w:t>
      </w:r>
      <w:r>
        <w:rPr>
          <w:spacing w:val="18"/>
        </w:rPr>
        <w:t>银江公司应收账款余额</w:t>
      </w:r>
      <w:r>
        <w:rPr>
          <w:spacing w:val="-67"/>
        </w:rPr>
        <w:t> </w:t>
      </w:r>
      <w:r>
        <w:rPr>
          <w:rFonts w:ascii="宋体" w:hAnsi="宋体" w:cs="宋体" w:eastAsia="宋体" w:hint="default"/>
        </w:rPr>
        <w:t>1,617,620,477.89</w:t>
      </w:r>
      <w:r>
        <w:rPr>
          <w:rFonts w:ascii="宋体" w:hAnsi="宋体" w:cs="宋体" w:eastAsia="宋体" w:hint="default"/>
          <w:spacing w:val="-70"/>
        </w:rPr>
        <w:t> </w:t>
      </w:r>
      <w:r>
        <w:rPr>
          <w:spacing w:val="10"/>
        </w:rPr>
        <w:t>元，</w:t>
      </w:r>
      <w:r>
        <w:rPr>
          <w:spacing w:val="-70"/>
        </w:rPr>
        <w:t> </w:t>
      </w:r>
      <w:r>
        <w:rPr>
          <w:spacing w:val="15"/>
        </w:rPr>
        <w:t>坏账准备</w:t>
      </w:r>
      <w:r>
        <w:rPr/>
        <w:t> </w:t>
      </w:r>
      <w:r>
        <w:rPr>
          <w:rFonts w:ascii="宋体" w:hAnsi="宋体" w:cs="宋体" w:eastAsia="宋体" w:hint="default"/>
          <w:spacing w:val="-2"/>
        </w:rPr>
        <w:t>294,481,735.80</w:t>
      </w:r>
      <w:r>
        <w:rPr>
          <w:spacing w:val="-2"/>
        </w:rPr>
        <w:t>元，账面价值</w:t>
      </w:r>
      <w:r>
        <w:rPr>
          <w:rFonts w:ascii="宋体" w:hAnsi="宋体" w:cs="宋体" w:eastAsia="宋体" w:hint="default"/>
          <w:spacing w:val="-2"/>
        </w:rPr>
        <w:t>1,323,138,742.09</w:t>
      </w:r>
      <w:r>
        <w:rPr>
          <w:spacing w:val="-2"/>
        </w:rPr>
        <w:t>元，应收账款坏账准备计提的会计政策如后附财务报表附注四、</w:t>
      </w:r>
      <w:r>
        <w:rPr>
          <w:rFonts w:ascii="宋体" w:hAnsi="宋体" w:cs="宋体" w:eastAsia="宋体" w:hint="default"/>
          <w:spacing w:val="-2"/>
        </w:rPr>
        <w:t>10</w:t>
      </w:r>
      <w:r>
        <w:rPr>
          <w:spacing w:val="-2"/>
        </w:rPr>
        <w:t>所述。由</w:t>
      </w:r>
      <w:r>
        <w:rPr>
          <w:spacing w:val="-35"/>
        </w:rPr>
        <w:t> </w:t>
      </w:r>
      <w:r>
        <w:rPr>
          <w:spacing w:val="-35"/>
        </w:rPr>
      </w:r>
      <w:r>
        <w:rPr>
          <w:spacing w:val="-2"/>
        </w:rPr>
        <w:t>于银江公司管理层在确定应收账款预计可收回金额时需要运用重要会计估计和判断，且若应收账款不能按期收回或者无法收</w:t>
      </w:r>
      <w:r>
        <w:rPr>
          <w:spacing w:val="-64"/>
        </w:rPr>
        <w:t> </w:t>
      </w:r>
      <w:r>
        <w:rPr>
          <w:spacing w:val="-64"/>
        </w:rPr>
      </w:r>
      <w:r>
        <w:rPr/>
        <w:t>回对财务报表的影响较为重大，因此我们将应收账款的坏账准备计提识别为关键审计事项。</w:t>
      </w:r>
    </w:p>
    <w:p>
      <w:pPr>
        <w:spacing w:line="316" w:lineRule="auto" w:before="17"/>
        <w:ind w:left="634" w:right="595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针对该关键审计事项，我们执行的主要审计程序如下：</w:t>
      </w:r>
    </w:p>
    <w:p>
      <w:pPr>
        <w:pStyle w:val="BodyText"/>
        <w:spacing w:line="240" w:lineRule="auto" w:before="19"/>
        <w:ind w:left="634" w:right="0"/>
        <w:jc w:val="left"/>
      </w:pPr>
      <w:r>
        <w:rPr/>
        <w:t>（</w:t>
      </w:r>
      <w:r>
        <w:rPr>
          <w:rFonts w:ascii="宋体" w:hAnsi="宋体" w:cs="宋体" w:eastAsia="宋体" w:hint="default"/>
        </w:rPr>
        <w:t>1</w:t>
      </w:r>
      <w:r>
        <w:rPr/>
        <w:t>）评价、测试管理层对应收账款管理内部控制制度的设计和运行的有效性；</w:t>
      </w:r>
    </w:p>
    <w:p>
      <w:pPr>
        <w:pStyle w:val="BodyText"/>
        <w:spacing w:line="316" w:lineRule="auto" w:before="76"/>
        <w:ind w:right="1137" w:firstLine="480"/>
        <w:jc w:val="both"/>
      </w:pPr>
      <w:r>
        <w:rPr/>
        <w:t>（</w:t>
      </w:r>
      <w:r>
        <w:rPr>
          <w:rFonts w:ascii="宋体" w:hAnsi="宋体" w:cs="宋体" w:eastAsia="宋体" w:hint="default"/>
        </w:rPr>
        <w:t>2</w:t>
      </w:r>
      <w:r>
        <w:rPr/>
        <w:t>）通过查阅销售协议、检查以往应收账款的回收情况、与管理层沟通等程序了解和评价管理层对应收账款坏账准 备计提的会计估计是否合理；</w:t>
      </w:r>
    </w:p>
    <w:p>
      <w:pPr>
        <w:pStyle w:val="BodyText"/>
        <w:spacing w:line="240" w:lineRule="auto" w:before="19"/>
        <w:ind w:left="634" w:right="0"/>
        <w:jc w:val="left"/>
      </w:pPr>
      <w:r>
        <w:rPr/>
        <w:t>（</w:t>
      </w:r>
      <w:r>
        <w:rPr>
          <w:rFonts w:ascii="宋体" w:hAnsi="宋体" w:cs="宋体" w:eastAsia="宋体" w:hint="default"/>
        </w:rPr>
        <w:t>3</w:t>
      </w:r>
      <w:r>
        <w:rPr/>
        <w:t>）对应收账款期末余额选取样本执行函证程序；</w:t>
      </w:r>
    </w:p>
    <w:p>
      <w:pPr>
        <w:pStyle w:val="BodyText"/>
        <w:spacing w:line="316" w:lineRule="auto" w:before="76"/>
        <w:ind w:right="1137" w:firstLine="480"/>
        <w:jc w:val="both"/>
      </w:pPr>
      <w:r>
        <w:rPr/>
        <w:t>（</w:t>
      </w:r>
      <w:r>
        <w:rPr>
          <w:rFonts w:ascii="宋体" w:hAnsi="宋体" w:cs="宋体" w:eastAsia="宋体" w:hint="default"/>
        </w:rPr>
        <w:t>4</w:t>
      </w:r>
      <w:r>
        <w:rPr/>
        <w:t>）比较前期坏账准备的计提数和实际发生数，对应收账款余额进行期后收款测试，评价本期应收账款坏账准备计 提的合理性；</w:t>
      </w:r>
    </w:p>
    <w:p>
      <w:pPr>
        <w:pStyle w:val="BodyText"/>
        <w:spacing w:line="316" w:lineRule="auto" w:before="19"/>
        <w:ind w:left="634" w:right="1032"/>
        <w:jc w:val="left"/>
      </w:pPr>
      <w:r>
        <w:rPr/>
        <w:t>（</w:t>
      </w:r>
      <w:r>
        <w:rPr>
          <w:rFonts w:ascii="宋体" w:hAnsi="宋体" w:cs="宋体" w:eastAsia="宋体" w:hint="default"/>
        </w:rPr>
        <w:t>5</w:t>
      </w:r>
      <w:r>
        <w:rPr/>
        <w:t>）复核银江公司对应收账款坏账准备的计提过程，包括按账龄分析法进行计提以及单项计提的坏账准备。 </w:t>
      </w:r>
      <w:r>
        <w:rPr>
          <w:rFonts w:ascii="宋体" w:hAnsi="宋体" w:cs="宋体" w:eastAsia="宋体" w:hint="default"/>
          <w:b/>
          <w:bCs/>
        </w:rPr>
        <w:t>四、其他信息</w:t>
      </w:r>
      <w:r>
        <w:rPr>
          <w:rFonts w:ascii="宋体" w:hAnsi="宋体" w:cs="宋体" w:eastAsia="宋体" w:hint="default"/>
          <w:b/>
          <w:bCs/>
          <w:w w:val="99"/>
        </w:rPr>
        <w:t> </w:t>
      </w:r>
      <w:r>
        <w:rPr>
          <w:spacing w:val="-3"/>
        </w:rPr>
        <w:t>银江公司管理层对其他信息负责。其他信息包括</w:t>
      </w:r>
      <w:r>
        <w:rPr>
          <w:rFonts w:ascii="宋体" w:hAnsi="宋体" w:cs="宋体" w:eastAsia="宋体" w:hint="default"/>
          <w:spacing w:val="-3"/>
        </w:rPr>
        <w:t>2018</w:t>
      </w:r>
      <w:r>
        <w:rPr>
          <w:spacing w:val="-3"/>
        </w:rPr>
        <w:t>年年度报告中涵盖的信息，但不包括财务报表和我们的审计报告。</w:t>
      </w:r>
      <w:r>
        <w:rPr>
          <w:spacing w:val="-42"/>
        </w:rPr>
        <w:t> </w:t>
      </w:r>
      <w:r>
        <w:rPr>
          <w:spacing w:val="-42"/>
        </w:rPr>
      </w: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316" w:lineRule="auto" w:before="76"/>
        <w:ind w:left="634"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银江公司管理层（以下简称管理层）负责按照企业会计准则的规定编制财务报表，使其实现公允反映，并设计、执行</w:t>
      </w:r>
    </w:p>
    <w:p>
      <w:pPr>
        <w:pStyle w:val="BodyText"/>
        <w:spacing w:line="316" w:lineRule="auto" w:before="19"/>
        <w:ind w:left="634" w:right="0" w:hanging="480"/>
        <w:jc w:val="left"/>
      </w:pPr>
      <w:r>
        <w:rPr/>
        <w:t>和维护必要的内部控制，以使财务报表不存在由于舞弊或错误导致的重大错报。 </w:t>
      </w:r>
      <w:r>
        <w:rPr>
          <w:spacing w:val="-1"/>
        </w:rPr>
        <w:t>在编制财务报表时，管理层负责评估银江公司的持续经营能力，披露与持续经营相关的事项（如适用），并运用持续</w:t>
      </w:r>
    </w:p>
    <w:p>
      <w:pPr>
        <w:spacing w:line="316" w:lineRule="auto" w:before="19"/>
        <w:ind w:left="634" w:right="4632" w:hanging="480"/>
        <w:jc w:val="left"/>
        <w:rPr>
          <w:rFonts w:ascii="宋体" w:hAnsi="宋体" w:cs="宋体" w:eastAsia="宋体" w:hint="default"/>
          <w:sz w:val="18"/>
          <w:szCs w:val="18"/>
        </w:rPr>
      </w:pPr>
      <w:r>
        <w:rPr>
          <w:rFonts w:ascii="宋体" w:hAnsi="宋体" w:cs="宋体" w:eastAsia="宋体" w:hint="default"/>
          <w:sz w:val="18"/>
          <w:szCs w:val="18"/>
        </w:rPr>
        <w:t>经营假设，除非管理层计划清算银江公司、终止运营或别无其他现实的选择。 治理层负责监督银江公司的财务报告过程。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2" w:firstLine="38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4" w:right="0"/>
        <w:jc w:val="left"/>
      </w:pPr>
      <w:r>
        <w:rPr/>
        <w:t>在按照审计准则执行审计工作的过程中，我们运用职业判断，并保持职业怀疑。同时，我们也执行以下工作：</w:t>
      </w:r>
    </w:p>
    <w:p>
      <w:pPr>
        <w:pStyle w:val="BodyText"/>
        <w:spacing w:line="316" w:lineRule="auto" w:before="76"/>
        <w:ind w:right="1042"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34" w:right="0"/>
        <w:jc w:val="left"/>
      </w:pPr>
      <w:r>
        <w:rPr/>
        <w:t>（二）了解与审计相关的内部控制，以设计恰当的审计程序，但目的并非对内部控制的有效性发表意见。</w:t>
      </w:r>
    </w:p>
    <w:p>
      <w:pPr>
        <w:pStyle w:val="BodyText"/>
        <w:spacing w:line="240" w:lineRule="auto" w:before="76"/>
        <w:ind w:left="634" w:right="0"/>
        <w:jc w:val="left"/>
      </w:pPr>
      <w:r>
        <w:rPr/>
        <w:t>（三）评价管理层选用会计政策的恰当性和作出会计估计及相关披露的合理性。</w:t>
      </w:r>
    </w:p>
    <w:p>
      <w:pPr>
        <w:pStyle w:val="BodyText"/>
        <w:spacing w:line="316" w:lineRule="auto" w:before="77"/>
        <w:ind w:right="1132" w:firstLine="480"/>
        <w:jc w:val="both"/>
      </w:pPr>
      <w:r>
        <w:rPr>
          <w:spacing w:val="-1"/>
        </w:rPr>
        <w:t>（四）对管理层使用持续经营假设的恰当性得出结论。同时，根据获取的审计证据，就可能导致对银江公司持续经营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基于截至审计报告日可获得的信息。然而，未来的事项或情况可能导致银江公司不能持续经营。</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4" w:right="0"/>
        <w:jc w:val="left"/>
      </w:pPr>
      <w:r>
        <w:rPr/>
        <w:t>（五）评价财务报表的总体列报、结构和内容（包括披露），并评价财务报表是否公允反映相关交易和事项。</w:t>
      </w:r>
    </w:p>
    <w:p>
      <w:pPr>
        <w:pStyle w:val="BodyText"/>
        <w:spacing w:line="316" w:lineRule="auto" w:before="76"/>
        <w:ind w:right="1040" w:firstLine="480"/>
        <w:jc w:val="both"/>
      </w:pPr>
      <w:r>
        <w:rPr>
          <w:spacing w:val="-3"/>
        </w:rPr>
        <w:t>（六）就银江公司中实体或业务活动的财务信息获取充分、适当的审计证据，以对财务报表发表意见。我们负责指导、</w:t>
      </w:r>
      <w:r>
        <w:rPr/>
        <w:t> 监督和执行集团审计。我们对审计意见承担全部责任。我们对审计意见承担全部责任。</w:t>
      </w:r>
    </w:p>
    <w:p>
      <w:pPr>
        <w:pStyle w:val="BodyText"/>
        <w:spacing w:line="319" w:lineRule="auto" w:before="19"/>
        <w:ind w:right="1130"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7"/>
        <w:ind w:right="1133"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9"/>
        <w:ind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781" w:type="dxa"/>
        <w:tblLayout w:type="fixed"/>
        <w:tblCellMar>
          <w:top w:w="0" w:type="dxa"/>
          <w:left w:w="0" w:type="dxa"/>
          <w:bottom w:w="0" w:type="dxa"/>
          <w:right w:w="0" w:type="dxa"/>
        </w:tblCellMar>
        <w:tblLook w:val="01E0"/>
      </w:tblPr>
      <w:tblGrid>
        <w:gridCol w:w="3499"/>
        <w:gridCol w:w="3382"/>
      </w:tblGrid>
      <w:tr>
        <w:trPr>
          <w:trHeight w:val="119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180" w:lineRule="exact"/>
              <w:ind w:right="218"/>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82" w:type="dxa"/>
            <w:tcBorders>
              <w:top w:val="nil" w:sz="6" w:space="0" w:color="auto"/>
              <w:left w:val="nil" w:sz="6" w:space="0" w:color="auto"/>
              <w:bottom w:val="nil" w:sz="6" w:space="0" w:color="auto"/>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tabs>
                <w:tab w:pos="3339" w:val="left" w:leader="none"/>
              </w:tabs>
              <w:spacing w:line="240" w:lineRule="auto" w:before="76"/>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（项目合伙人）：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right="710"/>
              <w:jc w:val="right"/>
              <w:rPr>
                <w:rFonts w:ascii="宋体" w:hAnsi="宋体" w:cs="宋体" w:eastAsia="宋体" w:hint="default"/>
                <w:sz w:val="18"/>
                <w:szCs w:val="18"/>
              </w:rPr>
            </w:pPr>
            <w:r>
              <w:rPr>
                <w:rFonts w:ascii="宋体" w:hAnsi="宋体" w:cs="宋体" w:eastAsia="宋体" w:hint="default"/>
                <w:sz w:val="18"/>
                <w:szCs w:val="18"/>
              </w:rPr>
              <w:t>谭争</w:t>
            </w:r>
          </w:p>
        </w:tc>
      </w:tr>
      <w:tr>
        <w:trPr>
          <w:trHeight w:val="111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17"/>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tabs>
                <w:tab w:pos="3249" w:val="left" w:leader="none"/>
              </w:tabs>
              <w:spacing w:line="240" w:lineRule="auto"/>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right="530"/>
              <w:jc w:val="right"/>
              <w:rPr>
                <w:rFonts w:ascii="宋体" w:hAnsi="宋体" w:cs="宋体" w:eastAsia="宋体" w:hint="default"/>
                <w:sz w:val="18"/>
                <w:szCs w:val="18"/>
              </w:rPr>
            </w:pPr>
            <w:r>
              <w:rPr>
                <w:rFonts w:ascii="宋体" w:hAnsi="宋体" w:cs="宋体" w:eastAsia="宋体" w:hint="default"/>
                <w:sz w:val="18"/>
                <w:szCs w:val="18"/>
              </w:rPr>
              <w:t>许旭光</w:t>
            </w:r>
          </w:p>
        </w:tc>
      </w:tr>
      <w:tr>
        <w:trPr>
          <w:trHeight w:val="412" w:hRule="exact"/>
        </w:trPr>
        <w:tc>
          <w:tcPr>
            <w:tcW w:w="3499" w:type="dxa"/>
            <w:tcBorders>
              <w:top w:val="nil" w:sz="6" w:space="0" w:color="auto"/>
              <w:left w:val="nil" w:sz="6" w:space="0" w:color="auto"/>
              <w:bottom w:val="nil" w:sz="6" w:space="0" w:color="auto"/>
              <w:right w:val="nil" w:sz="6" w:space="0" w:color="auto"/>
            </w:tcBorders>
          </w:tcPr>
          <w:p>
            <w:pPr/>
          </w:p>
        </w:tc>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before="26"/>
        <w:ind w:right="0"/>
        <w:jc w:val="left"/>
        <w:rPr>
          <w:b w:val="0"/>
          <w:bCs w:val="0"/>
        </w:rPr>
      </w:pPr>
      <w:bookmarkStart w:name="二、财务报表" w:id="163"/>
      <w:bookmarkEnd w:id="16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编制单位：银江股份有限公司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679,042,807.14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1,206,397,843.41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243,449,494.50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1,334,383,400.90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1,047,834,339.17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11,244,658.81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1,323,138,742.09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1,031,784,339.17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183,363,889.45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216,554,826.91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261,318,822.39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384,332,879.41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1,688,730,482.70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1,559,772,276.77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2,038,806.65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1,985,409.20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4,148,878,209.23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4,660,327,069.37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423,132,293.76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457,190,362.64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88,428,034.89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613,507,346.20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424,368,812.52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274,140,352.36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200,763,828.47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175,093,773.29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388,932.35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92,500,941.01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111,382,544.81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27,181,754.90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24,723,956.30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3,692,719.21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2,576,639.55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103,908,366.59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68,664,338.97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102,311,764.59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1,929,567,401.98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1,402,536,605.90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6,078,445,611.21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6,062,863,675.27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1,150,950,000.00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997,813,173.36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996,973,532.46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165,498,034.72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154,345,937.70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24,838,628.66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23,314,419.13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235,015,691.54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145,016,260.00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215,574,523.23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201,224,689.91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1,717,650.25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1,190,044.88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2,954,772.00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3,084,556.35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307,886,301.36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2,789,690,051.51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2,675,761,140.56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11,025,166.91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25,825,763.92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12,985,166.91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25,825,763.92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2,802,675,218.42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2,701,586,904.48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1,592,129,636.41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1,575,140,334.41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52,106,148.01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146,345,995.56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122,224,842.91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111,659,473.19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810,019,862.40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825,668,583.07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3,232,269,575.73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3,314,603,472.23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43,500,817.06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46,673,298.56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3,275,770,392.79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3,361,276,770.79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6,078,445,611.21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6,062,863,675.27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法定代表人：章建强</w:t>
        <w:tab/>
        <w:t>主管会计工作负责人：钱小鸿</w:t>
        <w:tab/>
        <w:t>会计机构负责人：任刚要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597,191,759.44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994,136,286.82</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243,449,494.50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1,316,400,405.43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1,026,412,430.84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10,821,606.81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1,305,578,798.62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1,010,362,430.84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178,231,121.74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205,872,609.10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665,913,614.36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718,034,297.93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1,630,017,674.92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1,516,784,244.31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452,205.58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57,368.22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4,388,206,781.47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4,704,746,731.72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325,697,350.60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416,379,759.48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72,858,496.72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926,659,541.03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701,830,870.05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275,004,689.18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191,142,909.40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165,394,901.29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86,084,403.64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70,028,872.77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23,186,845.43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19,543,688.07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319,995.55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1,074,713.36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101,221,392.57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71,270,221.69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15,238,095.24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2,017,413,719.36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1,583,670,272.18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6,405,620,500.83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6,288,417,003.90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1,061,808,007.75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1,013,305,498.58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137,136,636.41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198,051,021.51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14,557,960.04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12,431,720.35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225,959,423.93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130,408,329.51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517,055,483.14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411,986,750.88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1,190,044.88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3,084,556.35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307,886,301.36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3,056,517,511.27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2,921,069,622.19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9,195,202.59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25,825,763.92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10,995,202.59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25,825,763.92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3,067,512,713.86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2,946,895,386.11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655,789,086.00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1,592,168,577.57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1,575,179,275.57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52,106,148.01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146,345,995.56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122,224,842.91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111,659,473.19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915,819,132.48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852,547,787.47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3,338,107,786.97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3,341,521,617.79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6,405,620,500.83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6,288,417,003.90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2,413,277,806.75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1,942,221,214.28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2,413,277,806.75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1,942,221,214.28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2,464,226,227.82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1,839,407,473.61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1,826,570,741.26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1,421,238,000.04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16,047,582.63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13,434,346.51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56,229,028.07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53,674,378.70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160,842,931.73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159,270,787.53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83,470,067.15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61,989,409.17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52,226,196.61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28,335,502.00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62,331,951.92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48,566,769.06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11,194,318.98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20,910,942.98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268,839,680.37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101,465,049.66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93,196,542.45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48,091,279.47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-22,614,988.49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-11,889,386.78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-4,696.21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-13,983.36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42,243,425.17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150,891,036.78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2,811,389.44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8,526,550.23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291,090.33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844,665.99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44,763,724.28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158,572,921.02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21,692,110.08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22,867,277.68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23,071,614.20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135,705,643.34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23,071,614.20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135,705,643.34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26,444,095.70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138,654,236.34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-3,372,481.50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-2,948,593.00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-71,168,233.35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110,217,911.84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-67,795,751.85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113,166,504.84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-3,372,481.50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-2,948,593.00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法定代表人：章建强</w:t>
        <w:tab/>
        <w:t>主管会计工作负责人：钱小鸿</w:t>
        <w:tab/>
        <w:t>会计机构负责人：任刚要</w:t>
      </w:r>
    </w:p>
    <w:p>
      <w:pPr>
        <w:pStyle w:val="Heading3"/>
        <w:spacing w:line="240" w:lineRule="auto" w:before="63"/>
        <w:ind w:right="0"/>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2,382,213,055.06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1,868,011,092.08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1,784,581,653.10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1,385,688,334.69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14,939,186.96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12,810,151.75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51,575,656.96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45,172,269.84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95,155,396.15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82,259,298.41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103,084,670.05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83,533,855.51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51,588,189.57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29,083,934.51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60,831,647.33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48,433,616.56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10,312,293.61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19,959,379.88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229,039,032.42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91,852,604.48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76,447,973.44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-13,068,570.04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-24,562,031.02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-12,840,137.69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-4,696.21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-9,449.23</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128,692,547.08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124,532,623.62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1,905,810.19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5,696,532.11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755,597.88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130,513,437.64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129,473,557.85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24,859,740.40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15,048,741.34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105,653,697.24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114,424,816.51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105,653,697.24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114,424,816.51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-94,239,847.55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-25,487,731.50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11,413,849.69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88,937,085.01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2,318,108,837.40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2,036,455,042.08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278,482.53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200,654.90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333,857,111.19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329,025,574.56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2,652,244,431.12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2,365,681,271.54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2,027,226,106.41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2,023,716,499.50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123,168,416.01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118,466,862.62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69,503,624.63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80,027,115.81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419,053,187.71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358,843,018.85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2,638,951,334.76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2,581,053,496.78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13,293,096.36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-215,372,225.24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62,448,104.25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586,615.92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879,923.88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99,808.25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178,998,050.29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131,048,802.66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233,418,842.96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222,476,639.04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402,999,940.93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28,943,302.75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278,291,700.00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681,291,640.93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158,903,302.75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-447,872,797.97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63,573,336.29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1,285,950,000.00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78,752,162.21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130,139,179.63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1,364,902,162.21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1,486,239,179.63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1,045,517,440.00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101,088,310.21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78,413,927.92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71,636,524.58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69,335,904.57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1,454,724,834.79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1,193,267,272.49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-89,822,672.58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292,971,907.14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59,861.05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-524,342,513.14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141,173,018.19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1,128,651,737.06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987,478,718.87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604,309,223.92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1,128,651,737.06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2,300,381,110.86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2,034,111,302.19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278,482.53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152,142.94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302,677,342.01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301,988,496.65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2,603,336,935.40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2,336,251,941.78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2,043,149,280.56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1,956,738,645.78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64,974,161.30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59,608,472.91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58,095,700.65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75,621,059.43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399,221,193.49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337,329,927.13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2,565,440,336.00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2,429,298,105.25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37,896,599.40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-93,046,163.47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586,615.92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879,923.88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97,558.25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234,950,792.67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169,857,482.13</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351,993,063.40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22,618,086.36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334,444,849.32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259,343,000.00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686,437,912.72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281,961,086.36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-451,487,120.05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-112,103,604.23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441,840,320.02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208,267,668.11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1,676,840,320.02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1,524,667,668.11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99,588,005.62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77,856,622.92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266,459,606.12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224,154,622.91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1,648,047,611.74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1,312,011,245.83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28,792,708.28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212,656,422.28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-384,797,812.37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7,506,654.58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916,390,180.47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908,883,525.89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531,592,368.10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916,390,180.47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,995.56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3"/>
                <w:sz w:val="18"/>
              </w:rPr>
              <w:t>111,659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,473.19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825,668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,583.07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298.56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,995.56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3"/>
                <w:sz w:val="18"/>
              </w:rPr>
              <w:t>111,659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,473.19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825,668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,583.07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298.56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-94,239,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847.55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369.72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-15,648,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720.67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-3,172,4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-85,506,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378.00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-94,239,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847.55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26,444,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095.70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-3,372,4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-71,168,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233.35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17,189,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302.00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369.72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-42,092,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369.72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446.65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655,78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1,592,1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52,106,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122,224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810,019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43,500,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3,275,7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29,636.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148.01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,842.91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,862.40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817.06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70,392.</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,991.54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729,984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,275.03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29,596,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001.57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32,572.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,991.54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729,984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,275.03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29,596,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001.57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32,572.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5,027,8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-25,487,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95,684,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308.04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17,077,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296.99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103,744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,198.06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-25,487,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138,654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,236.34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-2,948,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593.00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110,217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,911.84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22,025,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195.32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27,044,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761.82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35,200,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35,200,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66.50</w:t>
            </w: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-13,174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,804.68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-13,174,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804.68</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-42,969,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928.30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481.65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446.65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305.33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-1,991,0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28.95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111,659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,473.19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825,668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,583.07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298.56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15"/>
        <w:gridCol w:w="653"/>
        <w:gridCol w:w="665"/>
        <w:gridCol w:w="654"/>
        <w:gridCol w:w="809"/>
        <w:gridCol w:w="797"/>
        <w:gridCol w:w="798"/>
        <w:gridCol w:w="798"/>
        <w:gridCol w:w="796"/>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655,789,</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1,575,179</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45" w:right="0"/>
              <w:jc w:val="left"/>
              <w:rPr>
                <w:rFonts w:ascii="Times New Roman" w:hAnsi="Times New Roman" w:cs="Times New Roman" w:eastAsia="Times New Roman" w:hint="default"/>
                <w:sz w:val="18"/>
                <w:szCs w:val="18"/>
              </w:rPr>
            </w:pPr>
            <w:r>
              <w:rPr>
                <w:rFonts w:ascii="Times New Roman"/>
                <w:sz w:val="18"/>
              </w:rPr>
              <w:t>146,345,9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111,659,4</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852,547</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3,341,521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,275.57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95.56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73.19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,787.47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,617.79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1,575,179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111,659,4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852,547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3,341,521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,617.79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16,989,30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-94,239,8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10,565,36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63,271,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345.01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-3,413,83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0.82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-94,239,8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105,653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,697.24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11,413,84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16,989,30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16,989,30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16,989,30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16,989,30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10,565,36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-42,092,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816.37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10,565,36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369.72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446.65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-289,53</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-289,535.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1,592,168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,577.57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52,106,14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122,224,8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42.91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915,819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,132.48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3,338,107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,786.97</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1,570,159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,709.07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100,216,9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779,488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,058.57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3,277,487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,572.24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1,570,159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,709.07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100,216,9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779,488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,058.57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3,277,487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,572.24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-25,487,7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73,059,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64,034,04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5.55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-25,487,7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114,424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,816.51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88,937,08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-42,969,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928.30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481.65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446.65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1,604,8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1,575,179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111,659,4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852,547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3,341,521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,617.79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72"/>
      <w:bookmarkEnd w:id="17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jc w:val="left"/>
      </w:pPr>
      <w:r>
        <w:rPr/>
        <w:t>银江股份有限公司（以下简称“公司”或“本公司”）系在原杭州银江电子有限公司基础上整体变更设立的股份有限公司， </w:t>
      </w:r>
      <w:r>
        <w:rPr>
          <w:spacing w:val="-4"/>
        </w:rPr>
        <w:t>由银江科技集团有限公司和自然人张岩、柴志涛、王毅、杨富金、钱小鸿、樊锦祥、刘健、钱英、柳展、王剑伟作为发起人，</w:t>
      </w:r>
      <w:r>
        <w:rPr>
          <w:spacing w:val="-50"/>
        </w:rPr>
        <w:t> </w:t>
      </w:r>
      <w:r>
        <w:rPr>
          <w:spacing w:val="-50"/>
        </w:rPr>
      </w:r>
      <w:r>
        <w:rPr>
          <w:spacing w:val="17"/>
        </w:rPr>
        <w:t>注册资本为人民币</w:t>
      </w:r>
      <w:r>
        <w:rPr>
          <w:spacing w:val="-70"/>
        </w:rPr>
        <w:t> </w:t>
      </w:r>
      <w:r>
        <w:rPr>
          <w:rFonts w:ascii="宋体" w:hAnsi="宋体" w:cs="宋体" w:eastAsia="宋体" w:hint="default"/>
        </w:rPr>
        <w:t>4,000</w:t>
      </w:r>
      <w:r>
        <w:rPr>
          <w:rFonts w:ascii="宋体" w:hAnsi="宋体" w:cs="宋体" w:eastAsia="宋体" w:hint="default"/>
          <w:spacing w:val="-70"/>
        </w:rPr>
        <w:t> </w:t>
      </w:r>
      <w:r>
        <w:rPr>
          <w:spacing w:val="13"/>
        </w:rPr>
        <w:t>万元（</w:t>
      </w:r>
      <w:r>
        <w:rPr>
          <w:spacing w:val="-71"/>
        </w:rPr>
        <w:t> </w:t>
      </w:r>
      <w:r>
        <w:rPr>
          <w:spacing w:val="16"/>
        </w:rPr>
        <w:t>每股面值人民币</w:t>
      </w:r>
      <w:r>
        <w:rPr>
          <w:spacing w:val="-68"/>
        </w:rPr>
        <w:t> </w:t>
      </w:r>
      <w:r>
        <w:rPr>
          <w:rFonts w:ascii="宋体" w:hAnsi="宋体" w:cs="宋体" w:eastAsia="宋体" w:hint="default"/>
        </w:rPr>
        <w:t>1</w:t>
      </w:r>
      <w:r>
        <w:rPr>
          <w:rFonts w:ascii="宋体" w:hAnsi="宋体" w:cs="宋体" w:eastAsia="宋体" w:hint="default"/>
          <w:spacing w:val="-71"/>
        </w:rPr>
        <w:t> </w:t>
      </w:r>
      <w:r>
        <w:rPr>
          <w:spacing w:val="13"/>
        </w:rPr>
        <w:t>元）。</w:t>
      </w:r>
      <w:r>
        <w:rPr>
          <w:spacing w:val="-71"/>
        </w:rPr>
        <w:t> </w:t>
      </w:r>
      <w:r>
        <w:rPr>
          <w:spacing w:val="13"/>
        </w:rPr>
        <w:t>公司于</w:t>
      </w:r>
      <w:r>
        <w:rPr>
          <w:spacing w:val="-70"/>
        </w:rPr>
        <w:t> </w:t>
      </w:r>
      <w:r>
        <w:rPr>
          <w:rFonts w:ascii="宋体" w:hAnsi="宋体" w:cs="宋体" w:eastAsia="宋体" w:hint="default"/>
        </w:rPr>
        <w:t>2007</w:t>
      </w:r>
      <w:r>
        <w:rPr>
          <w:rFonts w:ascii="宋体" w:hAnsi="宋体" w:cs="宋体" w:eastAsia="宋体" w:hint="default"/>
          <w:spacing w:val="-70"/>
        </w:rPr>
        <w:t> </w:t>
      </w:r>
      <w:r>
        <w:rPr/>
        <w:t>年</w:t>
      </w:r>
      <w:r>
        <w:rPr>
          <w:spacing w:val="-71"/>
        </w:rPr>
        <w:t> </w:t>
      </w:r>
      <w:r>
        <w:rPr>
          <w:rFonts w:ascii="宋体" w:hAnsi="宋体" w:cs="宋体" w:eastAsia="宋体" w:hint="default"/>
        </w:rPr>
        <w:t>9</w:t>
      </w:r>
      <w:r>
        <w:rPr>
          <w:rFonts w:ascii="宋体" w:hAnsi="宋体" w:cs="宋体" w:eastAsia="宋体" w:hint="default"/>
          <w:spacing w:val="-71"/>
        </w:rPr>
        <w:t> </w:t>
      </w:r>
      <w:r>
        <w:rPr/>
        <w:t>月</w:t>
      </w:r>
      <w:r>
        <w:rPr>
          <w:spacing w:val="-71"/>
        </w:rPr>
        <w:t> </w:t>
      </w:r>
      <w:r>
        <w:rPr>
          <w:rFonts w:ascii="宋体" w:hAnsi="宋体" w:cs="宋体" w:eastAsia="宋体" w:hint="default"/>
        </w:rPr>
        <w:t>30</w:t>
      </w:r>
      <w:r>
        <w:rPr>
          <w:rFonts w:ascii="宋体" w:hAnsi="宋体" w:cs="宋体" w:eastAsia="宋体" w:hint="default"/>
          <w:spacing w:val="-71"/>
        </w:rPr>
        <w:t> </w:t>
      </w:r>
      <w:r>
        <w:rPr>
          <w:spacing w:val="18"/>
        </w:rPr>
        <w:t>日取得杭州市工商行政管理局核发的</w:t>
      </w:r>
      <w:r>
        <w:rPr>
          <w:spacing w:val="-87"/>
        </w:rPr>
        <w:t> </w:t>
      </w:r>
      <w:r>
        <w:rPr>
          <w:spacing w:val="-87"/>
        </w:rPr>
      </w:r>
      <w:r>
        <w:rPr>
          <w:rFonts w:ascii="宋体" w:hAnsi="宋体" w:cs="宋体" w:eastAsia="宋体" w:hint="default"/>
        </w:rPr>
        <w:t>330100000003403</w:t>
      </w:r>
      <w:r>
        <w:rPr/>
        <w:t>号《企业法人营业执照》。</w:t>
      </w:r>
    </w:p>
    <w:p>
      <w:pPr>
        <w:pStyle w:val="BodyText"/>
        <w:spacing w:line="316" w:lineRule="auto" w:before="19"/>
        <w:ind w:right="1032"/>
        <w:jc w:val="left"/>
      </w:pP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月，公司申请新增注册资本</w:t>
      </w:r>
      <w:r>
        <w:rPr>
          <w:rFonts w:ascii="宋体" w:hAnsi="宋体" w:cs="宋体" w:eastAsia="宋体" w:hint="default"/>
          <w:spacing w:val="-2"/>
        </w:rPr>
        <w:t>1,200</w:t>
      </w:r>
      <w:r>
        <w:rPr>
          <w:spacing w:val="-2"/>
        </w:rPr>
        <w:t>万元，由新增法人股东浙江蓝山投资有限公司出资</w:t>
      </w:r>
      <w:r>
        <w:rPr>
          <w:rFonts w:ascii="宋体" w:hAnsi="宋体" w:cs="宋体" w:eastAsia="宋体" w:hint="default"/>
          <w:spacing w:val="-2"/>
        </w:rPr>
        <w:t>500</w:t>
      </w:r>
      <w:r>
        <w:rPr>
          <w:spacing w:val="-2"/>
        </w:rPr>
        <w:t>万元，新增自然人股东杨增</w:t>
      </w:r>
      <w:r>
        <w:rPr>
          <w:spacing w:val="-53"/>
        </w:rPr>
        <w:t> </w:t>
      </w:r>
      <w:r>
        <w:rPr>
          <w:spacing w:val="-53"/>
        </w:rPr>
      </w:r>
      <w:r>
        <w:rPr>
          <w:spacing w:val="-3"/>
        </w:rPr>
        <w:t>荣出资</w:t>
      </w:r>
      <w:r>
        <w:rPr>
          <w:rFonts w:ascii="宋体" w:hAnsi="宋体" w:cs="宋体" w:eastAsia="宋体" w:hint="default"/>
          <w:spacing w:val="-3"/>
        </w:rPr>
        <w:t>282</w:t>
      </w:r>
      <w:r>
        <w:rPr>
          <w:spacing w:val="-3"/>
        </w:rPr>
        <w:t>万元，新增自然人股东李涛出资</w:t>
      </w:r>
      <w:r>
        <w:rPr>
          <w:rFonts w:ascii="宋体" w:hAnsi="宋体" w:cs="宋体" w:eastAsia="宋体" w:hint="default"/>
          <w:spacing w:val="-3"/>
        </w:rPr>
        <w:t>278</w:t>
      </w:r>
      <w:r>
        <w:rPr>
          <w:spacing w:val="-3"/>
        </w:rPr>
        <w:t>万元，新增自然人股东章笠中出资</w:t>
      </w:r>
      <w:r>
        <w:rPr>
          <w:rFonts w:ascii="宋体" w:hAnsi="宋体" w:cs="宋体" w:eastAsia="宋体" w:hint="default"/>
          <w:spacing w:val="-3"/>
        </w:rPr>
        <w:t>60</w:t>
      </w:r>
      <w:r>
        <w:rPr>
          <w:spacing w:val="-3"/>
        </w:rPr>
        <w:t>万元，新增自然人股东乐秀夫出资</w:t>
      </w:r>
      <w:r>
        <w:rPr>
          <w:rFonts w:ascii="宋体" w:hAnsi="宋体" w:cs="宋体" w:eastAsia="宋体" w:hint="default"/>
          <w:spacing w:val="-3"/>
        </w:rPr>
        <w:t>80</w:t>
      </w:r>
      <w:r>
        <w:rPr>
          <w:spacing w:val="-3"/>
        </w:rPr>
        <w:t>万元，</w:t>
      </w:r>
      <w:r>
        <w:rPr>
          <w:spacing w:val="-84"/>
        </w:rPr>
        <w:t> </w:t>
      </w:r>
      <w:r>
        <w:rPr/>
        <w:t>变更后的注册资本为</w:t>
      </w:r>
      <w:r>
        <w:rPr>
          <w:rFonts w:ascii="宋体" w:hAnsi="宋体" w:cs="宋体" w:eastAsia="宋体" w:hint="default"/>
        </w:rPr>
        <w:t>5,200</w:t>
      </w:r>
      <w:r>
        <w:rPr/>
        <w:t>万元。 </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月，钱英将其所持公司股份中的</w:t>
      </w:r>
      <w:r>
        <w:rPr>
          <w:rFonts w:ascii="宋体" w:hAnsi="宋体" w:cs="宋体" w:eastAsia="宋体" w:hint="default"/>
          <w:spacing w:val="-2"/>
        </w:rPr>
        <w:t>10</w:t>
      </w:r>
      <w:r>
        <w:rPr>
          <w:spacing w:val="-2"/>
        </w:rPr>
        <w:t>万股转让给李正大、</w:t>
      </w:r>
      <w:r>
        <w:rPr>
          <w:rFonts w:ascii="宋体" w:hAnsi="宋体" w:cs="宋体" w:eastAsia="宋体" w:hint="default"/>
          <w:spacing w:val="-2"/>
        </w:rPr>
        <w:t>10</w:t>
      </w:r>
      <w:r>
        <w:rPr>
          <w:spacing w:val="-2"/>
        </w:rPr>
        <w:t>万股转让给胡志宏，杨富金将其所持公司股份中的</w:t>
      </w:r>
      <w:r>
        <w:rPr>
          <w:rFonts w:ascii="宋体" w:hAnsi="宋体" w:cs="宋体" w:eastAsia="宋体" w:hint="default"/>
          <w:spacing w:val="-2"/>
        </w:rPr>
        <w:t>20</w:t>
      </w:r>
      <w:r>
        <w:rPr>
          <w:spacing w:val="-2"/>
        </w:rPr>
        <w:t>万股</w:t>
      </w:r>
      <w:r>
        <w:rPr>
          <w:spacing w:val="-55"/>
        </w:rPr>
        <w:t> </w:t>
      </w:r>
      <w:r>
        <w:rPr/>
        <w:t>转让给胡志宏；另外公司申请新增注册资本</w:t>
      </w:r>
      <w:r>
        <w:rPr>
          <w:rFonts w:ascii="宋体" w:hAnsi="宋体" w:cs="宋体" w:eastAsia="宋体" w:hint="default"/>
        </w:rPr>
        <w:t>800</w:t>
      </w:r>
      <w:r>
        <w:rPr/>
        <w:t>万元，其中银江科技集团有限公司增资</w:t>
      </w:r>
      <w:r>
        <w:rPr>
          <w:rFonts w:ascii="宋体" w:hAnsi="宋体" w:cs="宋体" w:eastAsia="宋体" w:hint="default"/>
        </w:rPr>
        <w:t>50</w:t>
      </w:r>
      <w:r>
        <w:rPr/>
        <w:t>万元，英特尔产品（成都）有限公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t>司投资</w:t>
      </w:r>
      <w:r>
        <w:rPr>
          <w:rFonts w:ascii="宋体" w:hAnsi="宋体" w:cs="宋体" w:eastAsia="宋体" w:hint="default"/>
        </w:rPr>
        <w:t>500</w:t>
      </w:r>
      <w:r>
        <w:rPr/>
        <w:t>万元，浙江省科技风险投资有限公司投资</w:t>
      </w:r>
      <w:r>
        <w:rPr>
          <w:rFonts w:ascii="宋体" w:hAnsi="宋体" w:cs="宋体" w:eastAsia="宋体" w:hint="default"/>
        </w:rPr>
        <w:t>150</w:t>
      </w:r>
      <w:r>
        <w:rPr/>
        <w:t>万元，杭州青岛实业投资有限公司投资</w:t>
      </w:r>
      <w:r>
        <w:rPr>
          <w:rFonts w:ascii="宋体" w:hAnsi="宋体" w:cs="宋体" w:eastAsia="宋体" w:hint="default"/>
        </w:rPr>
        <w:t>100</w:t>
      </w:r>
      <w:r>
        <w:rPr/>
        <w:t>万元，变更后的注册资本</w:t>
      </w:r>
      <w:r>
        <w:rPr>
          <w:spacing w:val="-83"/>
        </w:rPr>
        <w:t> </w:t>
      </w:r>
      <w:r>
        <w:rPr>
          <w:spacing w:val="-83"/>
        </w:rPr>
      </w:r>
      <w:r>
        <w:rPr/>
        <w:t>为</w:t>
      </w:r>
      <w:r>
        <w:rPr>
          <w:rFonts w:ascii="宋体" w:hAnsi="宋体" w:cs="宋体" w:eastAsia="宋体" w:hint="default"/>
        </w:rPr>
        <w:t>6,000</w:t>
      </w:r>
      <w:r>
        <w:rPr/>
        <w:t>万元。</w:t>
      </w:r>
    </w:p>
    <w:p>
      <w:pPr>
        <w:pStyle w:val="BodyText"/>
        <w:spacing w:line="316" w:lineRule="auto" w:before="19"/>
        <w:ind w:right="0"/>
        <w:jc w:val="left"/>
      </w:pPr>
      <w:r>
        <w:rPr>
          <w:rFonts w:ascii="宋体" w:hAnsi="宋体" w:cs="宋体" w:eastAsia="宋体" w:hint="default"/>
        </w:rPr>
        <w:t>2009</w:t>
      </w:r>
      <w:r>
        <w:rPr/>
        <w:t>年</w:t>
      </w:r>
      <w:r>
        <w:rPr>
          <w:rFonts w:ascii="宋体" w:hAnsi="宋体" w:cs="宋体" w:eastAsia="宋体" w:hint="default"/>
        </w:rPr>
        <w:t>3</w:t>
      </w:r>
      <w:r>
        <w:rPr/>
        <w:t>月，杨增荣、张岩分别将其持有的</w:t>
      </w:r>
      <w:r>
        <w:rPr>
          <w:rFonts w:ascii="宋体" w:hAnsi="宋体" w:cs="宋体" w:eastAsia="宋体" w:hint="default"/>
        </w:rPr>
        <w:t>75</w:t>
      </w:r>
      <w:r>
        <w:rPr/>
        <w:t>万股股份转让给海通开元投资有限公司。 </w:t>
      </w:r>
      <w:r>
        <w:rPr>
          <w:spacing w:val="-2"/>
        </w:rPr>
        <w:t>根据</w:t>
      </w:r>
      <w:r>
        <w:rPr>
          <w:rFonts w:ascii="宋体" w:hAnsi="宋体" w:cs="宋体" w:eastAsia="宋体" w:hint="default"/>
          <w:spacing w:val="-2"/>
        </w:rPr>
        <w:t>2009</w:t>
      </w:r>
      <w:r>
        <w:rPr>
          <w:spacing w:val="-2"/>
        </w:rPr>
        <w:t>年度第一次临时股东大会决议，并经中国证券监督管理委员会证监许可【</w:t>
      </w:r>
      <w:r>
        <w:rPr>
          <w:rFonts w:ascii="宋体" w:hAnsi="宋体" w:cs="宋体" w:eastAsia="宋体" w:hint="default"/>
          <w:spacing w:val="-2"/>
        </w:rPr>
        <w:t>2009</w:t>
      </w:r>
      <w:r>
        <w:rPr>
          <w:spacing w:val="-2"/>
        </w:rPr>
        <w:t>】</w:t>
      </w:r>
      <w:r>
        <w:rPr>
          <w:rFonts w:ascii="宋体" w:hAnsi="宋体" w:cs="宋体" w:eastAsia="宋体" w:hint="default"/>
          <w:spacing w:val="-2"/>
        </w:rPr>
        <w:t>1032</w:t>
      </w:r>
      <w:r>
        <w:rPr>
          <w:spacing w:val="-2"/>
        </w:rPr>
        <w:t>号文核准，公司向社会公开发</w:t>
      </w:r>
      <w:r>
        <w:rPr>
          <w:spacing w:val="-54"/>
        </w:rPr>
        <w:t> </w:t>
      </w:r>
      <w:r>
        <w:rPr>
          <w:spacing w:val="-54"/>
        </w:rPr>
      </w:r>
      <w:r>
        <w:rPr>
          <w:spacing w:val="-2"/>
        </w:rPr>
        <w:t>行人民币普通股（</w:t>
      </w:r>
      <w:r>
        <w:rPr>
          <w:rFonts w:ascii="宋体" w:hAnsi="宋体" w:cs="宋体" w:eastAsia="宋体" w:hint="default"/>
          <w:spacing w:val="-2"/>
        </w:rPr>
        <w:t>A</w:t>
      </w:r>
      <w:r>
        <w:rPr>
          <w:spacing w:val="-2"/>
        </w:rPr>
        <w:t>股）</w:t>
      </w:r>
      <w:r>
        <w:rPr>
          <w:rFonts w:ascii="宋体" w:hAnsi="宋体" w:cs="宋体" w:eastAsia="宋体" w:hint="default"/>
          <w:spacing w:val="-2"/>
        </w:rPr>
        <w:t>2,000</w:t>
      </w:r>
      <w:r>
        <w:rPr>
          <w:spacing w:val="-2"/>
        </w:rPr>
        <w:t>万股（每股面值人民币</w:t>
      </w:r>
      <w:r>
        <w:rPr>
          <w:rFonts w:ascii="宋体" w:hAnsi="宋体" w:cs="宋体" w:eastAsia="宋体" w:hint="default"/>
          <w:spacing w:val="-2"/>
        </w:rPr>
        <w:t>1</w:t>
      </w:r>
      <w:r>
        <w:rPr>
          <w:spacing w:val="-2"/>
        </w:rPr>
        <w:t>元），变更后的注册资本为人民币</w:t>
      </w:r>
      <w:r>
        <w:rPr>
          <w:rFonts w:ascii="宋体" w:hAnsi="宋体" w:cs="宋体" w:eastAsia="宋体" w:hint="default"/>
          <w:spacing w:val="-2"/>
        </w:rPr>
        <w:t>8,000</w:t>
      </w:r>
      <w:r>
        <w:rPr>
          <w:spacing w:val="-2"/>
        </w:rPr>
        <w:t>万元，已于</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日在</w:t>
      </w:r>
      <w:r>
        <w:rPr>
          <w:spacing w:val="-50"/>
        </w:rPr>
        <w:t> </w:t>
      </w:r>
      <w:r>
        <w:rPr/>
        <w:t>深圳证券交易所创业板上市。 </w:t>
      </w:r>
      <w:r>
        <w:rPr>
          <w:spacing w:val="-2"/>
        </w:rPr>
        <w:t>根据</w:t>
      </w:r>
      <w:r>
        <w:rPr>
          <w:rFonts w:ascii="宋体" w:hAnsi="宋体" w:cs="宋体" w:eastAsia="宋体" w:hint="default"/>
          <w:spacing w:val="-2"/>
        </w:rPr>
        <w:t>2009</w:t>
      </w:r>
      <w:r>
        <w:rPr>
          <w:spacing w:val="-2"/>
        </w:rPr>
        <w:t>年度股东大会决议，公司以首次公开发行股票并上市后的总股本</w:t>
      </w:r>
      <w:r>
        <w:rPr>
          <w:rFonts w:ascii="宋体" w:hAnsi="宋体" w:cs="宋体" w:eastAsia="宋体" w:hint="default"/>
          <w:spacing w:val="-2"/>
        </w:rPr>
        <w:t>8,000</w:t>
      </w:r>
      <w:r>
        <w:rPr>
          <w:spacing w:val="-2"/>
        </w:rPr>
        <w:t>万股为基数，按每</w:t>
      </w:r>
      <w:r>
        <w:rPr>
          <w:rFonts w:ascii="宋体" w:hAnsi="宋体" w:cs="宋体" w:eastAsia="宋体" w:hint="default"/>
          <w:spacing w:val="-2"/>
        </w:rPr>
        <w:t>10</w:t>
      </w:r>
      <w:r>
        <w:rPr>
          <w:spacing w:val="-2"/>
        </w:rPr>
        <w:t>股由资本公积转增</w:t>
      </w:r>
      <w:r>
        <w:rPr>
          <w:rFonts w:ascii="宋体" w:hAnsi="宋体" w:cs="宋体" w:eastAsia="宋体" w:hint="default"/>
          <w:spacing w:val="-2"/>
        </w:rPr>
        <w:t>10</w:t>
      </w:r>
      <w:r>
        <w:rPr>
          <w:spacing w:val="-2"/>
        </w:rPr>
        <w:t>股，</w:t>
      </w:r>
      <w:r>
        <w:rPr>
          <w:spacing w:val="-50"/>
        </w:rPr>
        <w:t> </w:t>
      </w:r>
      <w:r>
        <w:rPr/>
        <w:t>共计转增</w:t>
      </w:r>
      <w:r>
        <w:rPr>
          <w:rFonts w:ascii="宋体" w:hAnsi="宋体" w:cs="宋体" w:eastAsia="宋体" w:hint="default"/>
        </w:rPr>
        <w:t>8,000</w:t>
      </w:r>
      <w:r>
        <w:rPr/>
        <w:t>万股。变更后的注册资本为</w:t>
      </w:r>
      <w:r>
        <w:rPr>
          <w:rFonts w:ascii="宋体" w:hAnsi="宋体" w:cs="宋体" w:eastAsia="宋体" w:hint="default"/>
        </w:rPr>
        <w:t>1.6</w:t>
      </w:r>
      <w:r>
        <w:rPr/>
        <w:t>亿元。 根据</w:t>
      </w:r>
      <w:r>
        <w:rPr>
          <w:rFonts w:ascii="宋体" w:hAnsi="宋体" w:cs="宋体" w:eastAsia="宋体" w:hint="default"/>
        </w:rPr>
        <w:t>2010</w:t>
      </w:r>
      <w:r>
        <w:rPr/>
        <w:t>年度股东大会决议，公司以总股本数</w:t>
      </w:r>
      <w:r>
        <w:rPr>
          <w:rFonts w:ascii="宋体" w:hAnsi="宋体" w:cs="宋体" w:eastAsia="宋体" w:hint="default"/>
        </w:rPr>
        <w:t>1.6</w:t>
      </w:r>
      <w:r>
        <w:rPr/>
        <w:t>亿股为基数，按每</w:t>
      </w:r>
      <w:r>
        <w:rPr>
          <w:rFonts w:ascii="宋体" w:hAnsi="宋体" w:cs="宋体" w:eastAsia="宋体" w:hint="default"/>
        </w:rPr>
        <w:t>10</w:t>
      </w:r>
      <w:r>
        <w:rPr/>
        <w:t>股由资本公积转增</w:t>
      </w:r>
      <w:r>
        <w:rPr>
          <w:rFonts w:ascii="宋体" w:hAnsi="宋体" w:cs="宋体" w:eastAsia="宋体" w:hint="default"/>
        </w:rPr>
        <w:t>5</w:t>
      </w:r>
      <w:r>
        <w:rPr/>
        <w:t>股，共计转增</w:t>
      </w:r>
      <w:r>
        <w:rPr>
          <w:rFonts w:ascii="宋体" w:hAnsi="宋体" w:cs="宋体" w:eastAsia="宋体" w:hint="default"/>
        </w:rPr>
        <w:t>8,000</w:t>
      </w:r>
      <w:r>
        <w:rPr/>
        <w:t>万股，变更后</w:t>
      </w:r>
      <w:r>
        <w:rPr>
          <w:spacing w:val="-83"/>
        </w:rPr>
        <w:t> </w:t>
      </w:r>
      <w:r>
        <w:rPr>
          <w:spacing w:val="-83"/>
        </w:rPr>
      </w:r>
      <w:r>
        <w:rPr/>
        <w:t>的注册资本</w:t>
      </w:r>
      <w:r>
        <w:rPr>
          <w:rFonts w:ascii="宋体" w:hAnsi="宋体" w:cs="宋体" w:eastAsia="宋体" w:hint="default"/>
        </w:rPr>
        <w:t>2.4</w:t>
      </w:r>
      <w:r>
        <w:rPr/>
        <w:t>亿元。 根据</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10</w:t>
      </w:r>
      <w:r>
        <w:rPr/>
        <w:t>日召开的</w:t>
      </w:r>
      <w:r>
        <w:rPr>
          <w:rFonts w:ascii="宋体" w:hAnsi="宋体" w:cs="宋体" w:eastAsia="宋体" w:hint="default"/>
        </w:rPr>
        <w:t>2012</w:t>
      </w:r>
      <w:r>
        <w:rPr/>
        <w:t>年第一次临时股东大会决议审议通过的《公司股票期权激励计划（草案修订稿）》，公司向</w:t>
      </w:r>
      <w:r>
        <w:rPr>
          <w:spacing w:val="-83"/>
        </w:rPr>
        <w:t> </w:t>
      </w:r>
      <w:r>
        <w:rPr>
          <w:spacing w:val="-83"/>
        </w:rPr>
      </w:r>
      <w:r>
        <w:rPr/>
        <w:t>股票期权激励对象定向发行股票。截止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日，公司累计已向股票激励对象发行股票</w:t>
      </w:r>
      <w:r>
        <w:rPr>
          <w:rFonts w:ascii="宋体" w:hAnsi="宋体" w:cs="宋体" w:eastAsia="宋体" w:hint="default"/>
        </w:rPr>
        <w:t>5,113,600</w:t>
      </w:r>
      <w:r>
        <w:rPr/>
        <w:t>股。 根据公司</w:t>
      </w:r>
      <w:r>
        <w:rPr>
          <w:rFonts w:ascii="宋体" w:hAnsi="宋体" w:cs="宋体" w:eastAsia="宋体" w:hint="default"/>
        </w:rPr>
        <w:t>2013</w:t>
      </w:r>
      <w:r>
        <w:rPr/>
        <w:t>年第一次临时股东大会决议、第二届董事会第二十八次会议决议，并经中国证券监督管理委员会“证监许可</w:t>
      </w:r>
      <w:r>
        <w:rPr>
          <w:spacing w:val="3"/>
        </w:rPr>
        <w:t> </w:t>
      </w:r>
      <w:r>
        <w:rPr>
          <w:spacing w:val="3"/>
        </w:rPr>
      </w:r>
      <w:r>
        <w:rPr>
          <w:rFonts w:ascii="宋体" w:hAnsi="宋体" w:cs="宋体" w:eastAsia="宋体" w:hint="default"/>
        </w:rPr>
        <w:t>[2013]1633</w:t>
      </w:r>
      <w:r>
        <w:rPr/>
        <w:t>号”核准，公司向李欣发行</w:t>
      </w:r>
      <w:r>
        <w:rPr>
          <w:rFonts w:ascii="宋体" w:hAnsi="宋体" w:cs="宋体" w:eastAsia="宋体" w:hint="default"/>
        </w:rPr>
        <w:t>17,587,245</w:t>
      </w:r>
      <w:r>
        <w:rPr/>
        <w:t>股股份、向昆山中科昆开创业投资有限公司发行</w:t>
      </w:r>
      <w:r>
        <w:rPr>
          <w:rFonts w:ascii="宋体" w:hAnsi="宋体" w:cs="宋体" w:eastAsia="宋体" w:hint="default"/>
        </w:rPr>
        <w:t>1,362,518</w:t>
      </w:r>
      <w:r>
        <w:rPr/>
        <w:t>股股份、向兰</w:t>
      </w:r>
      <w:r>
        <w:rPr>
          <w:spacing w:val="-85"/>
        </w:rPr>
        <w:t> </w:t>
      </w:r>
      <w:r>
        <w:rPr/>
        <w:t>馨成长（天津）股权投资基金合伙企业（有限合伙）发行</w:t>
      </w:r>
      <w:r>
        <w:rPr>
          <w:rFonts w:ascii="宋体" w:hAnsi="宋体" w:cs="宋体" w:eastAsia="宋体" w:hint="default"/>
        </w:rPr>
        <w:t>1,362,518</w:t>
      </w:r>
      <w:r>
        <w:rPr/>
        <w:t>股股份、向杭州众赢成长投资合伙企业（有限合伙）发</w:t>
      </w:r>
      <w:r>
        <w:rPr>
          <w:spacing w:val="-83"/>
        </w:rPr>
        <w:t> </w:t>
      </w:r>
      <w:r>
        <w:rPr>
          <w:spacing w:val="-83"/>
        </w:rPr>
      </w:r>
      <w:r>
        <w:rPr/>
        <w:t>行</w:t>
      </w:r>
      <w:r>
        <w:rPr>
          <w:rFonts w:ascii="宋体" w:hAnsi="宋体" w:cs="宋体" w:eastAsia="宋体" w:hint="default"/>
        </w:rPr>
        <w:t>1,167,792</w:t>
      </w:r>
      <w:r>
        <w:rPr/>
        <w:t>股股份、向江阴长泾中科长赢创业投资有限公司发行</w:t>
      </w:r>
      <w:r>
        <w:rPr>
          <w:rFonts w:ascii="宋体" w:hAnsi="宋体" w:cs="宋体" w:eastAsia="宋体" w:hint="default"/>
        </w:rPr>
        <w:t>973,254</w:t>
      </w:r>
      <w:r>
        <w:rPr/>
        <w:t>股股份、向陈兴华发行</w:t>
      </w:r>
      <w:r>
        <w:rPr>
          <w:rFonts w:ascii="宋体" w:hAnsi="宋体" w:cs="宋体" w:eastAsia="宋体" w:hint="default"/>
        </w:rPr>
        <w:t>762,143</w:t>
      </w:r>
      <w:r>
        <w:rPr/>
        <w:t>股股份、向颜廷健</w:t>
      </w:r>
      <w:r>
        <w:rPr>
          <w:spacing w:val="-84"/>
        </w:rPr>
        <w:t> </w:t>
      </w:r>
      <w:r>
        <w:rPr>
          <w:spacing w:val="-84"/>
        </w:rPr>
      </w:r>
      <w:r>
        <w:rPr>
          <w:spacing w:val="-4"/>
        </w:rPr>
        <w:t>发行</w:t>
      </w:r>
      <w:r>
        <w:rPr>
          <w:rFonts w:ascii="宋体" w:hAnsi="宋体" w:cs="宋体" w:eastAsia="宋体" w:hint="default"/>
          <w:spacing w:val="-4"/>
        </w:rPr>
        <w:t>58,626</w:t>
      </w:r>
      <w:r>
        <w:rPr>
          <w:spacing w:val="-4"/>
        </w:rPr>
        <w:t>股股份、向于海燕发行</w:t>
      </w:r>
      <w:r>
        <w:rPr>
          <w:rFonts w:ascii="宋体" w:hAnsi="宋体" w:cs="宋体" w:eastAsia="宋体" w:hint="default"/>
          <w:spacing w:val="-4"/>
        </w:rPr>
        <w:t>49,836</w:t>
      </w:r>
      <w:r>
        <w:rPr>
          <w:spacing w:val="-4"/>
        </w:rPr>
        <w:t>股股份、向罗明发行</w:t>
      </w:r>
      <w:r>
        <w:rPr>
          <w:rFonts w:ascii="宋体" w:hAnsi="宋体" w:cs="宋体" w:eastAsia="宋体" w:hint="default"/>
          <w:spacing w:val="-4"/>
        </w:rPr>
        <w:t>43,976</w:t>
      </w:r>
      <w:r>
        <w:rPr>
          <w:spacing w:val="-4"/>
        </w:rPr>
        <w:t>股股份、向张晔发行</w:t>
      </w:r>
      <w:r>
        <w:rPr>
          <w:rFonts w:ascii="宋体" w:hAnsi="宋体" w:cs="宋体" w:eastAsia="宋体" w:hint="default"/>
          <w:spacing w:val="-4"/>
        </w:rPr>
        <w:t>29,301</w:t>
      </w:r>
      <w:r>
        <w:rPr>
          <w:spacing w:val="-4"/>
        </w:rPr>
        <w:t>股股份、向侯世勇发行</w:t>
      </w:r>
      <w:r>
        <w:rPr>
          <w:rFonts w:ascii="宋体" w:hAnsi="宋体" w:cs="宋体" w:eastAsia="宋体" w:hint="default"/>
          <w:spacing w:val="-4"/>
        </w:rPr>
        <w:t>14,651</w:t>
      </w:r>
      <w:r>
        <w:rPr>
          <w:rFonts w:ascii="宋体" w:hAnsi="宋体" w:cs="宋体" w:eastAsia="宋体" w:hint="default"/>
          <w:spacing w:val="-77"/>
        </w:rPr>
        <w:t> </w:t>
      </w:r>
      <w:r>
        <w:rPr>
          <w:rFonts w:ascii="宋体" w:hAnsi="宋体" w:cs="宋体" w:eastAsia="宋体" w:hint="default"/>
          <w:spacing w:val="-77"/>
        </w:rPr>
      </w:r>
      <w:r>
        <w:rPr>
          <w:spacing w:val="-2"/>
        </w:rPr>
        <w:t>股股份、向金鑫发行</w:t>
      </w:r>
      <w:r>
        <w:rPr>
          <w:rFonts w:ascii="宋体" w:hAnsi="宋体" w:cs="宋体" w:eastAsia="宋体" w:hint="default"/>
          <w:spacing w:val="-2"/>
        </w:rPr>
        <w:t>14,651</w:t>
      </w:r>
      <w:r>
        <w:rPr>
          <w:spacing w:val="-2"/>
        </w:rPr>
        <w:t>股股份、向张蓓发行</w:t>
      </w:r>
      <w:r>
        <w:rPr>
          <w:rFonts w:ascii="宋体" w:hAnsi="宋体" w:cs="宋体" w:eastAsia="宋体" w:hint="default"/>
          <w:spacing w:val="-2"/>
        </w:rPr>
        <w:t>14,651</w:t>
      </w:r>
      <w:r>
        <w:rPr>
          <w:spacing w:val="-2"/>
        </w:rPr>
        <w:t>股股份，以购买北京亚太安讯科技股份有限公司</w:t>
      </w:r>
      <w:r>
        <w:rPr>
          <w:rFonts w:ascii="宋体" w:hAnsi="宋体" w:cs="宋体" w:eastAsia="宋体" w:hint="default"/>
          <w:spacing w:val="-2"/>
        </w:rPr>
        <w:t>83.3333%</w:t>
      </w:r>
      <w:r>
        <w:rPr>
          <w:spacing w:val="-2"/>
        </w:rPr>
        <w:t>的股权；同</w:t>
      </w:r>
      <w:r>
        <w:rPr>
          <w:spacing w:val="-46"/>
        </w:rPr>
        <w:t> </w:t>
      </w:r>
      <w:r>
        <w:rPr>
          <w:spacing w:val="-46"/>
        </w:rPr>
      </w:r>
      <w:r>
        <w:rPr/>
        <w:t>时向华安基金管理有限公司、常州投资集团有限公司和国泰基金管理有限公司以</w:t>
      </w:r>
      <w:r>
        <w:rPr>
          <w:rFonts w:ascii="宋体" w:hAnsi="宋体" w:cs="宋体" w:eastAsia="宋体" w:hint="default"/>
        </w:rPr>
        <w:t>24</w:t>
      </w:r>
      <w:r>
        <w:rPr/>
        <w:t>元</w:t>
      </w:r>
      <w:r>
        <w:rPr>
          <w:rFonts w:ascii="宋体" w:hAnsi="宋体" w:cs="宋体" w:eastAsia="宋体" w:hint="default"/>
        </w:rPr>
        <w:t>/</w:t>
      </w:r>
      <w:r>
        <w:rPr/>
        <w:t>股的发行价格非公开发行</w:t>
      </w:r>
      <w:r>
        <w:rPr>
          <w:rFonts w:ascii="宋体" w:hAnsi="宋体" w:cs="宋体" w:eastAsia="宋体" w:hint="default"/>
        </w:rPr>
        <w:t>8,333,333 </w:t>
      </w:r>
      <w:r>
        <w:rPr/>
        <w:t>股（每股面值</w:t>
      </w:r>
      <w:r>
        <w:rPr>
          <w:rFonts w:ascii="宋体" w:hAnsi="宋体" w:cs="宋体" w:eastAsia="宋体" w:hint="default"/>
        </w:rPr>
        <w:t>1</w:t>
      </w:r>
      <w:r>
        <w:rPr/>
        <w:t>元）人民币普通股，本次定向增发股份共计新增公司股本</w:t>
      </w:r>
      <w:r>
        <w:rPr>
          <w:rFonts w:ascii="宋体" w:hAnsi="宋体" w:cs="宋体" w:eastAsia="宋体" w:hint="default"/>
        </w:rPr>
        <w:t>31,774,495</w:t>
      </w:r>
      <w:r>
        <w:rPr/>
        <w:t>股（每股面值</w:t>
      </w:r>
      <w:r>
        <w:rPr>
          <w:rFonts w:ascii="宋体" w:hAnsi="宋体" w:cs="宋体" w:eastAsia="宋体" w:hint="default"/>
        </w:rPr>
        <w:t>1</w:t>
      </w:r>
      <w:r>
        <w:rPr/>
        <w:t>元）。 </w:t>
      </w:r>
      <w:r>
        <w:rPr>
          <w:spacing w:val="-2"/>
        </w:rPr>
        <w:t>公司首期股权激励计划第二个行权期采用自主行权模式，行权期限为</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日，行权期内公司股票期</w:t>
      </w:r>
      <w:r>
        <w:rPr>
          <w:spacing w:val="-50"/>
        </w:rPr>
        <w:t> </w:t>
      </w:r>
      <w:r>
        <w:rPr>
          <w:spacing w:val="-50"/>
        </w:rPr>
      </w:r>
      <w:r>
        <w:rPr/>
        <w:t>权激励计划首次授予股票期权第二个行权期累计共行权</w:t>
      </w:r>
      <w:r>
        <w:rPr>
          <w:rFonts w:ascii="宋体" w:hAnsi="宋体" w:cs="宋体" w:eastAsia="宋体" w:hint="default"/>
        </w:rPr>
        <w:t>2,655,000</w:t>
      </w:r>
      <w:r>
        <w:rPr/>
        <w:t>股。 </w:t>
      </w:r>
      <w:r>
        <w:rPr>
          <w:rFonts w:ascii="宋体" w:hAnsi="宋体" w:cs="宋体" w:eastAsia="宋体" w:hint="default"/>
          <w:spacing w:val="7"/>
        </w:rPr>
        <w:t>2015</w:t>
      </w:r>
      <w:r>
        <w:rPr>
          <w:spacing w:val="7"/>
        </w:rPr>
        <w:t>年</w:t>
      </w:r>
      <w:r>
        <w:rPr>
          <w:rFonts w:ascii="宋体" w:hAnsi="宋体" w:cs="宋体" w:eastAsia="宋体" w:hint="default"/>
          <w:spacing w:val="7"/>
        </w:rPr>
        <w:t>5</w:t>
      </w:r>
      <w:r>
        <w:rPr>
          <w:spacing w:val="7"/>
        </w:rPr>
        <w:t>月</w:t>
      </w:r>
      <w:r>
        <w:rPr>
          <w:rFonts w:ascii="宋体" w:hAnsi="宋体" w:cs="宋体" w:eastAsia="宋体" w:hint="default"/>
          <w:spacing w:val="7"/>
        </w:rPr>
        <w:t>15</w:t>
      </w:r>
      <w:r>
        <w:rPr>
          <w:spacing w:val="7"/>
        </w:rPr>
        <w:t>日，公司召开的</w:t>
      </w:r>
      <w:r>
        <w:rPr>
          <w:rFonts w:ascii="宋体" w:hAnsi="宋体" w:cs="宋体" w:eastAsia="宋体" w:hint="default"/>
          <w:spacing w:val="7"/>
        </w:rPr>
        <w:t>2014</w:t>
      </w:r>
      <w:r>
        <w:rPr>
          <w:spacing w:val="7"/>
        </w:rPr>
        <w:t>年度股东大会审议通过《</w:t>
      </w:r>
      <w:r>
        <w:rPr>
          <w:rFonts w:ascii="宋体" w:hAnsi="宋体" w:cs="宋体" w:eastAsia="宋体" w:hint="default"/>
          <w:spacing w:val="7"/>
        </w:rPr>
        <w:t>2014</w:t>
      </w:r>
      <w:r>
        <w:rPr>
          <w:spacing w:val="7"/>
        </w:rPr>
        <w:t>年度利润分配预案》，以</w:t>
      </w:r>
      <w:r>
        <w:rPr>
          <w:rFonts w:ascii="宋体" w:hAnsi="宋体" w:cs="宋体" w:eastAsia="宋体" w:hint="default"/>
          <w:spacing w:val="7"/>
        </w:rPr>
        <w:t>2015</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28</w:t>
      </w:r>
      <w:r>
        <w:rPr>
          <w:spacing w:val="7"/>
        </w:rPr>
        <w:t>日的公司总股本</w:t>
      </w:r>
    </w:p>
    <w:p>
      <w:pPr>
        <w:pStyle w:val="BodyText"/>
        <w:spacing w:line="316" w:lineRule="auto" w:before="19"/>
        <w:ind w:right="1032"/>
        <w:jc w:val="left"/>
      </w:pPr>
      <w:r>
        <w:rPr>
          <w:rFonts w:ascii="宋体" w:hAnsi="宋体" w:cs="宋体" w:eastAsia="宋体" w:hint="default"/>
        </w:rPr>
        <w:t>277,243,495</w:t>
      </w:r>
      <w:r>
        <w:rPr/>
        <w:t>股为基数，向全体股东每</w:t>
      </w:r>
      <w:r>
        <w:rPr>
          <w:rFonts w:ascii="宋体" w:hAnsi="宋体" w:cs="宋体" w:eastAsia="宋体" w:hint="default"/>
        </w:rPr>
        <w:t>10</w:t>
      </w:r>
      <w:r>
        <w:rPr/>
        <w:t>股派</w:t>
      </w:r>
      <w:r>
        <w:rPr>
          <w:rFonts w:ascii="宋体" w:hAnsi="宋体" w:cs="宋体" w:eastAsia="宋体" w:hint="default"/>
        </w:rPr>
        <w:t>1.00</w:t>
      </w:r>
      <w:r>
        <w:rPr/>
        <w:t>元现金；同时，以资本公积向全体股东每</w:t>
      </w:r>
      <w:r>
        <w:rPr>
          <w:rFonts w:ascii="宋体" w:hAnsi="宋体" w:cs="宋体" w:eastAsia="宋体" w:hint="default"/>
        </w:rPr>
        <w:t>10</w:t>
      </w:r>
      <w:r>
        <w:rPr/>
        <w:t>股转增</w:t>
      </w:r>
      <w:r>
        <w:rPr>
          <w:rFonts w:ascii="宋体" w:hAnsi="宋体" w:cs="宋体" w:eastAsia="宋体" w:hint="default"/>
        </w:rPr>
        <w:t>12</w:t>
      </w:r>
      <w:r>
        <w:rPr/>
        <w:t>股。公司分红前总股</w:t>
      </w:r>
      <w:r>
        <w:rPr>
          <w:spacing w:val="-84"/>
        </w:rPr>
        <w:t> </w:t>
      </w:r>
      <w:r>
        <w:rPr>
          <w:spacing w:val="-84"/>
        </w:rPr>
      </w:r>
      <w:r>
        <w:rPr/>
        <w:t>本为</w:t>
      </w:r>
      <w:r>
        <w:rPr>
          <w:rFonts w:ascii="宋体" w:hAnsi="宋体" w:cs="宋体" w:eastAsia="宋体" w:hint="default"/>
        </w:rPr>
        <w:t>277,243,495</w:t>
      </w:r>
      <w:r>
        <w:rPr/>
        <w:t>股，分红后总股本增至</w:t>
      </w:r>
      <w:r>
        <w:rPr>
          <w:rFonts w:ascii="宋体" w:hAnsi="宋体" w:cs="宋体" w:eastAsia="宋体" w:hint="default"/>
        </w:rPr>
        <w:t>609,935,689</w:t>
      </w:r>
      <w:r>
        <w:rPr/>
        <w:t>股。 </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日，公司取得中国证监会《关于核准银江股份有限公司非公开发行股票的批复》（证监许可</w:t>
      </w:r>
      <w:r>
        <w:rPr>
          <w:rFonts w:ascii="宋体" w:hAnsi="宋体" w:cs="宋体" w:eastAsia="宋体" w:hint="default"/>
          <w:spacing w:val="-2"/>
        </w:rPr>
        <w:t>[2015]845</w:t>
      </w:r>
      <w:r>
        <w:rPr>
          <w:spacing w:val="-2"/>
        </w:rPr>
        <w:t>号），核</w:t>
      </w:r>
      <w:r>
        <w:rPr>
          <w:spacing w:val="-51"/>
        </w:rPr>
        <w:t> </w:t>
      </w:r>
      <w:r>
        <w:rPr>
          <w:spacing w:val="-51"/>
        </w:rPr>
      </w:r>
      <w:r>
        <w:rPr/>
        <w:t>准公司非公开发行不超过</w:t>
      </w:r>
      <w:r>
        <w:rPr>
          <w:rFonts w:ascii="宋体" w:hAnsi="宋体" w:cs="宋体" w:eastAsia="宋体" w:hint="default"/>
        </w:rPr>
        <w:t>5,000</w:t>
      </w:r>
      <w:r>
        <w:rPr/>
        <w:t>万股股票。由于公司于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日实施了以资本公积每</w:t>
      </w:r>
      <w:r>
        <w:rPr>
          <w:rFonts w:ascii="宋体" w:hAnsi="宋体" w:cs="宋体" w:eastAsia="宋体" w:hint="default"/>
        </w:rPr>
        <w:t>10</w:t>
      </w:r>
      <w:r>
        <w:rPr/>
        <w:t>股转增</w:t>
      </w:r>
      <w:r>
        <w:rPr>
          <w:rFonts w:ascii="宋体" w:hAnsi="宋体" w:cs="宋体" w:eastAsia="宋体" w:hint="default"/>
        </w:rPr>
        <w:t>12</w:t>
      </w:r>
      <w:r>
        <w:rPr/>
        <w:t>股的利润分配方案，本</w:t>
      </w:r>
      <w:r>
        <w:rPr>
          <w:spacing w:val="-83"/>
        </w:rPr>
        <w:t> </w:t>
      </w:r>
      <w:r>
        <w:rPr>
          <w:spacing w:val="-83"/>
        </w:rPr>
      </w:r>
      <w:r>
        <w:rPr>
          <w:spacing w:val="-4"/>
        </w:rPr>
        <w:t>次非公开发行股票数量调整为不超过</w:t>
      </w:r>
      <w:r>
        <w:rPr>
          <w:rFonts w:ascii="宋体" w:hAnsi="宋体" w:cs="宋体" w:eastAsia="宋体" w:hint="default"/>
          <w:spacing w:val="-4"/>
        </w:rPr>
        <w:t>11,000</w:t>
      </w:r>
      <w:r>
        <w:rPr>
          <w:spacing w:val="-4"/>
        </w:rPr>
        <w:t>万股（含）。该调整事项已经履行了会后事项程序。根据发行对象申购报价情况，</w:t>
      </w:r>
      <w:r>
        <w:rPr>
          <w:spacing w:val="-34"/>
        </w:rPr>
        <w:t> </w:t>
      </w:r>
      <w:r>
        <w:rPr>
          <w:spacing w:val="-34"/>
        </w:rPr>
      </w:r>
      <w:r>
        <w:rPr>
          <w:spacing w:val="-2"/>
        </w:rPr>
        <w:t>本次非公开发行向财通基金管理有限公司、华安未来资产管理（上海）有限公司、上海基金管理有限公司和云南惠潮投资合</w:t>
      </w:r>
      <w:r>
        <w:rPr>
          <w:spacing w:val="-66"/>
        </w:rPr>
        <w:t> </w:t>
      </w:r>
      <w:r>
        <w:rPr>
          <w:spacing w:val="-66"/>
        </w:rPr>
      </w:r>
      <w:r>
        <w:rPr>
          <w:spacing w:val="-2"/>
        </w:rPr>
        <w:t>伙企业（有限合伙）以</w:t>
      </w:r>
      <w:r>
        <w:rPr>
          <w:rFonts w:ascii="宋体" w:hAnsi="宋体" w:cs="宋体" w:eastAsia="宋体" w:hint="default"/>
          <w:spacing w:val="-2"/>
        </w:rPr>
        <w:t>23</w:t>
      </w:r>
      <w:r>
        <w:rPr>
          <w:spacing w:val="-2"/>
        </w:rPr>
        <w:t>元</w:t>
      </w:r>
      <w:r>
        <w:rPr>
          <w:rFonts w:ascii="宋体" w:hAnsi="宋体" w:cs="宋体" w:eastAsia="宋体" w:hint="default"/>
          <w:spacing w:val="-2"/>
        </w:rPr>
        <w:t>/</w:t>
      </w:r>
      <w:r>
        <w:rPr>
          <w:spacing w:val="-2"/>
        </w:rPr>
        <w:t>股的的发行价格非公开发行</w:t>
      </w:r>
      <w:r>
        <w:rPr>
          <w:rFonts w:ascii="宋体" w:hAnsi="宋体" w:cs="宋体" w:eastAsia="宋体" w:hint="default"/>
          <w:spacing w:val="-2"/>
        </w:rPr>
        <w:t>43,391,304</w:t>
      </w:r>
      <w:r>
        <w:rPr>
          <w:spacing w:val="-2"/>
        </w:rPr>
        <w:t>股（每股面值</w:t>
      </w:r>
      <w:r>
        <w:rPr>
          <w:rFonts w:ascii="宋体" w:hAnsi="宋体" w:cs="宋体" w:eastAsia="宋体" w:hint="default"/>
          <w:spacing w:val="-2"/>
        </w:rPr>
        <w:t>1</w:t>
      </w:r>
      <w:r>
        <w:rPr>
          <w:spacing w:val="-2"/>
        </w:rPr>
        <w:t>元）人民币普通股，本次定向增发股份共</w:t>
      </w:r>
      <w:r>
        <w:rPr>
          <w:spacing w:val="-53"/>
        </w:rPr>
        <w:t> </w:t>
      </w:r>
      <w:r>
        <w:rPr>
          <w:spacing w:val="-53"/>
        </w:rPr>
      </w:r>
      <w:r>
        <w:rPr/>
        <w:t>计新增公司股本</w:t>
      </w:r>
      <w:r>
        <w:rPr>
          <w:rFonts w:ascii="宋体" w:hAnsi="宋体" w:cs="宋体" w:eastAsia="宋体" w:hint="default"/>
        </w:rPr>
        <w:t>43,391,304</w:t>
      </w:r>
      <w:r>
        <w:rPr/>
        <w:t>股（每股面值</w:t>
      </w:r>
      <w:r>
        <w:rPr>
          <w:rFonts w:ascii="宋体" w:hAnsi="宋体" w:cs="宋体" w:eastAsia="宋体" w:hint="default"/>
        </w:rPr>
        <w:t>1</w:t>
      </w:r>
      <w:r>
        <w:rPr/>
        <w:t>元）。 由于亚太安讯未能完成</w:t>
      </w:r>
      <w:r>
        <w:rPr>
          <w:rFonts w:ascii="宋体" w:hAnsi="宋体" w:cs="宋体" w:eastAsia="宋体" w:hint="default"/>
        </w:rPr>
        <w:t>2014</w:t>
      </w:r>
      <w:r>
        <w:rPr/>
        <w:t>年度的承诺业绩，根据公司与其签订的《盈利预测补偿协议》，公司于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日在中国证</w:t>
      </w:r>
      <w:r>
        <w:rPr>
          <w:spacing w:val="-82"/>
        </w:rPr>
        <w:t> </w:t>
      </w:r>
      <w:r>
        <w:rPr>
          <w:spacing w:val="2"/>
        </w:rPr>
        <w:t>券登记结算有限责任公司深圳分公司办理完毕原亚太安讯实际控制人李欣所持有的银江股份</w:t>
      </w:r>
      <w:r>
        <w:rPr>
          <w:rFonts w:ascii="宋体" w:hAnsi="宋体" w:cs="宋体" w:eastAsia="宋体" w:hint="default"/>
          <w:spacing w:val="2"/>
        </w:rPr>
        <w:t>5,074,307</w:t>
      </w:r>
      <w:r>
        <w:rPr>
          <w:spacing w:val="2"/>
        </w:rPr>
        <w:t>股回购股份注销手</w:t>
      </w:r>
      <w:r>
        <w:rPr>
          <w:spacing w:val="-40"/>
        </w:rPr>
        <w:t> </w:t>
      </w:r>
      <w:r>
        <w:rPr>
          <w:spacing w:val="-40"/>
        </w:rPr>
      </w:r>
      <w:r>
        <w:rPr/>
        <w:t>续。 </w:t>
      </w:r>
      <w:r>
        <w:rPr>
          <w:spacing w:val="-2"/>
        </w:rPr>
        <w:t>公司首期股权激励计划第三个行权期采用自主行权模式，行权期限为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日起至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日，行权期内公司股票</w:t>
      </w:r>
      <w:r>
        <w:rPr>
          <w:spacing w:val="-50"/>
        </w:rPr>
        <w:t> </w:t>
      </w:r>
      <w:r>
        <w:rPr>
          <w:spacing w:val="-50"/>
        </w:rPr>
      </w:r>
      <w:r>
        <w:rPr/>
        <w:t>期权激励计划首次授予股票期权第二个行权期累计共行权</w:t>
      </w:r>
      <w:r>
        <w:rPr>
          <w:rFonts w:ascii="宋体" w:hAnsi="宋体" w:cs="宋体" w:eastAsia="宋体" w:hint="default"/>
        </w:rPr>
        <w:t>7,536,400</w:t>
      </w:r>
      <w:r>
        <w:rPr/>
        <w:t>股。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日，本公司股本</w:t>
      </w:r>
      <w:r>
        <w:rPr>
          <w:rFonts w:ascii="宋体" w:hAnsi="宋体" w:cs="宋体" w:eastAsia="宋体" w:hint="default"/>
        </w:rPr>
        <w:t>655,789,086</w:t>
      </w:r>
      <w:r>
        <w:rPr/>
        <w:t>元，累计发行股票</w:t>
      </w:r>
      <w:r>
        <w:rPr>
          <w:rFonts w:ascii="宋体" w:hAnsi="宋体" w:cs="宋体" w:eastAsia="宋体" w:hint="default"/>
        </w:rPr>
        <w:t>655,789,086</w:t>
      </w:r>
      <w:r>
        <w:rPr/>
        <w:t>股。 公司注册地址为浙江省杭州市益乐路</w:t>
      </w:r>
      <w:r>
        <w:rPr>
          <w:rFonts w:ascii="宋体" w:hAnsi="宋体" w:cs="宋体" w:eastAsia="宋体" w:hint="default"/>
        </w:rPr>
        <w:t>223</w:t>
      </w:r>
      <w:r>
        <w:rPr/>
        <w:t>号</w:t>
      </w:r>
      <w:r>
        <w:rPr>
          <w:rFonts w:ascii="宋体" w:hAnsi="宋体" w:cs="宋体" w:eastAsia="宋体" w:hint="default"/>
        </w:rPr>
        <w:t>1</w:t>
      </w:r>
      <w:r>
        <w:rPr/>
        <w:t>幢</w:t>
      </w:r>
      <w:r>
        <w:rPr>
          <w:rFonts w:ascii="宋体" w:hAnsi="宋体" w:cs="宋体" w:eastAsia="宋体" w:hint="default"/>
        </w:rPr>
        <w:t>1</w:t>
      </w:r>
      <w:r>
        <w:rPr/>
        <w:t>层；总部地址为浙江省杭州市西湖科技园西园八路</w:t>
      </w:r>
      <w:r>
        <w:rPr>
          <w:rFonts w:ascii="宋体" w:hAnsi="宋体" w:cs="宋体" w:eastAsia="宋体" w:hint="default"/>
        </w:rPr>
        <w:t>2</w:t>
      </w:r>
      <w:r>
        <w:rPr/>
        <w:t>号银江软件园。 本财务报表业经本公司董事会于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17</w:t>
      </w:r>
      <w:r>
        <w:rPr/>
        <w:t>日决议批准报出。</w:t>
      </w:r>
    </w:p>
    <w:p>
      <w:pPr>
        <w:spacing w:line="240" w:lineRule="auto" w:before="4"/>
        <w:rPr>
          <w:rFonts w:ascii="宋体" w:hAnsi="宋体" w:cs="宋体" w:eastAsia="宋体" w:hint="default"/>
          <w:sz w:val="25"/>
          <w:szCs w:val="25"/>
        </w:rPr>
      </w:pPr>
    </w:p>
    <w:p>
      <w:pPr>
        <w:pStyle w:val="BodyText"/>
        <w:spacing w:line="316" w:lineRule="auto"/>
        <w:ind w:right="0"/>
        <w:jc w:val="left"/>
      </w:pPr>
      <w:r>
        <w:rPr>
          <w:spacing w:val="-2"/>
        </w:rPr>
        <w:t>本公司</w:t>
      </w:r>
      <w:r>
        <w:rPr>
          <w:rFonts w:ascii="宋体" w:hAnsi="宋体" w:cs="宋体" w:eastAsia="宋体" w:hint="default"/>
          <w:spacing w:val="-2"/>
        </w:rPr>
        <w:t>2018</w:t>
      </w:r>
      <w:r>
        <w:rPr>
          <w:spacing w:val="-2"/>
        </w:rPr>
        <w:t>年度纳入合并范围的子公司共</w:t>
      </w:r>
      <w:r>
        <w:rPr>
          <w:rFonts w:ascii="宋体" w:hAnsi="宋体" w:cs="宋体" w:eastAsia="宋体" w:hint="default"/>
          <w:spacing w:val="-2"/>
        </w:rPr>
        <w:t>39</w:t>
      </w:r>
      <w:r>
        <w:rPr>
          <w:spacing w:val="-2"/>
        </w:rPr>
        <w:t>户，详见本附注八“在其他主体中的权益”。本公司本年度合并范围比上年度减</w:t>
      </w:r>
      <w:r>
        <w:rPr>
          <w:spacing w:val="-60"/>
        </w:rPr>
        <w:t> </w:t>
      </w:r>
      <w:r>
        <w:rPr>
          <w:spacing w:val="-60"/>
        </w:rPr>
      </w:r>
      <w:r>
        <w:rPr/>
        <w:t>少</w:t>
      </w:r>
      <w:r>
        <w:rPr>
          <w:rFonts w:ascii="宋体" w:hAnsi="宋体" w:cs="宋体" w:eastAsia="宋体" w:hint="default"/>
        </w:rPr>
        <w:t>2</w:t>
      </w:r>
      <w:r>
        <w:rPr/>
        <w:t>户，详见本附注七“合并范围的变更”。 </w:t>
      </w:r>
      <w:r>
        <w:rPr>
          <w:spacing w:val="-2"/>
        </w:rPr>
        <w:t>本公司经营范围：交通、医疗、建筑、环境、能源、教育智能化及信息化技术开发、技术服务、成果转让、设计，工业自动</w:t>
      </w:r>
      <w:r>
        <w:rPr>
          <w:spacing w:val="-71"/>
        </w:rPr>
        <w:t> </w:t>
      </w:r>
      <w:r>
        <w:rPr>
          <w:spacing w:val="-71"/>
        </w:rPr>
      </w:r>
      <w:r>
        <w:rPr>
          <w:spacing w:val="-2"/>
        </w:rPr>
        <w:t>化工程及产品、电力、电子工程及产品、机电工程及产品的设计、技术开发、技术服务、成果转让，停车服务，城市给排水</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系统设施的建设、运营、管理，城市地下综合管廊工程的施工、运营、管理，安全技术防范工程的设计、施工、维护，智慧</w:t>
      </w:r>
      <w:r>
        <w:rPr>
          <w:spacing w:val="-70"/>
        </w:rPr>
        <w:t> </w:t>
      </w:r>
      <w:r>
        <w:rPr>
          <w:spacing w:val="-70"/>
        </w:rPr>
      </w:r>
      <w:r>
        <w:rPr>
          <w:spacing w:val="-2"/>
        </w:rPr>
        <w:t>城市信息化的技术研发与咨询服务，计算机系统集成及技术服务，数据处理技术服务，软件开发，电子产品、计算机软硬件</w:t>
      </w:r>
      <w:r>
        <w:rPr>
          <w:spacing w:val="-66"/>
        </w:rPr>
        <w:t> </w:t>
      </w:r>
      <w:r>
        <w:rPr>
          <w:spacing w:val="-66"/>
        </w:rPr>
      </w:r>
      <w:r>
        <w:rPr/>
        <w:t>及设备的销售，从事进出口业务，实业投资。（依法须经批准的项目，经有关部门批准后方可开展经营活动） 本公司主要从事智慧城市、智慧交通和智慧医疗等领域工程项目的开发、实施和维护。</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jc w:val="both"/>
      </w:pPr>
      <w:r>
        <w:rPr>
          <w:spacing w:val="-2"/>
        </w:rPr>
        <w:t>根据企业会计准则的相关规定，本公司会计核算以权责发生制为基础。除某些金融工具外，本财务报表均以历史成本为计量</w:t>
      </w:r>
      <w:r>
        <w:rPr>
          <w:spacing w:val="-66"/>
        </w:rPr>
        <w:t> </w:t>
      </w:r>
      <w:r>
        <w:rPr>
          <w:spacing w:val="-66"/>
        </w:rPr>
      </w:r>
      <w:r>
        <w:rPr>
          <w:spacing w:val="-2"/>
        </w:rPr>
        <w:t>基础。资产如果发生减值，则按照相关规定计提相应的减值准备。本公司财务报表以持续经营假设为基础，根据实际发生的</w:t>
      </w:r>
      <w:r>
        <w:rPr>
          <w:spacing w:val="-66"/>
        </w:rPr>
        <w:t> </w:t>
      </w:r>
      <w:r>
        <w:rPr>
          <w:spacing w:val="-66"/>
        </w:rPr>
      </w:r>
      <w:r>
        <w:rPr/>
        <w:t>交易和事项，按照财政部发布的《企业会计准则——基本准则》（财政部令第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rFonts w:ascii="宋体" w:hAnsi="宋体" w:cs="宋体" w:eastAsia="宋体" w:hint="default"/>
          <w:spacing w:val="2"/>
        </w:rPr>
        <w:t> </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项具体会计准则、企业会计准则应用指南、企业会计准则解释及其他相关规定（以下合称</w:t>
      </w:r>
      <w:r>
        <w:rPr>
          <w:spacing w:val="-83"/>
        </w:rPr>
        <w:t> </w:t>
      </w:r>
      <w:r>
        <w:rPr>
          <w:spacing w:val="-83"/>
        </w:rPr>
      </w:r>
      <w:r>
        <w:rPr>
          <w:spacing w:val="-2"/>
        </w:rPr>
        <w:t>“企业会计准则”），以及中国证券监督管理委员会《公开发行证券的公司信息披露编报规则第</w:t>
      </w:r>
      <w:r>
        <w:rPr>
          <w:rFonts w:ascii="宋体" w:hAnsi="宋体" w:cs="宋体" w:eastAsia="宋体" w:hint="default"/>
          <w:spacing w:val="-2"/>
        </w:rPr>
        <w:t>15</w:t>
      </w:r>
      <w:r>
        <w:rPr>
          <w:spacing w:val="-2"/>
        </w:rPr>
        <w:t>号——财务报告的一般规</w:t>
      </w:r>
      <w:r>
        <w:rPr>
          <w:spacing w:val="-64"/>
        </w:rPr>
        <w:t> </w:t>
      </w:r>
      <w:r>
        <w:rPr/>
        <w:t>定》（</w:t>
      </w:r>
      <w:r>
        <w:rPr>
          <w:rFonts w:ascii="宋体" w:hAnsi="宋体" w:cs="宋体" w:eastAsia="宋体" w:hint="default"/>
        </w:rPr>
        <w:t>2014</w:t>
      </w:r>
      <w:r>
        <w:rPr/>
        <w:t>年修订）的披露规定编制。</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公司评价了自</w:t>
      </w:r>
      <w:r>
        <w:rPr>
          <w:rFonts w:ascii="Times New Roman" w:hAnsi="Times New Roman" w:cs="Times New Roman" w:eastAsia="Times New Roman" w:hint="default"/>
        </w:rPr>
        <w:t>2018</w:t>
      </w:r>
      <w:r>
        <w:rPr/>
        <w:t>年末起</w:t>
      </w:r>
      <w:r>
        <w:rPr>
          <w:rFonts w:ascii="Times New Roman" w:hAnsi="Times New Roman" w:cs="Times New Roman" w:eastAsia="Times New Roman" w:hint="default"/>
        </w:rPr>
        <w:t>12</w:t>
      </w:r>
      <w:r>
        <w:rPr/>
        <w:t>个月的持续经营能力，评价结果表明未对持续经营能力产生重大怀疑，能够持续经营。</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38" w:lineRule="auto" w:before="26"/>
        <w:ind w:right="0"/>
        <w:jc w:val="left"/>
      </w:pPr>
      <w:r>
        <w:rPr/>
        <w:t>具体会计政策和会计估计提示： </w:t>
      </w:r>
      <w:r>
        <w:rPr>
          <w:spacing w:val="-2"/>
        </w:rPr>
        <w:t>本公司及各子公司根据实际生产经营特点，依据相关企业会计准则的规定，对收入确认、建造合同完工百分比确定、研究开</w:t>
      </w:r>
      <w:r>
        <w:rPr>
          <w:spacing w:val="-66"/>
        </w:rPr>
        <w:t> </w:t>
      </w:r>
      <w:r>
        <w:rPr>
          <w:spacing w:val="-66"/>
        </w:rPr>
      </w:r>
      <w:r>
        <w:rPr>
          <w:spacing w:val="-4"/>
        </w:rPr>
        <w:t>发支出等交易和事项制定了若干项具体会计政策和会计估计，详见本附注四、</w:t>
      </w:r>
      <w:r>
        <w:rPr>
          <w:rFonts w:ascii="宋体" w:hAnsi="宋体" w:cs="宋体" w:eastAsia="宋体" w:hint="default"/>
          <w:spacing w:val="-4"/>
        </w:rPr>
        <w:t>23</w:t>
      </w:r>
      <w:r>
        <w:rPr>
          <w:spacing w:val="-4"/>
        </w:rPr>
        <w:t>“收入”、附注四</w:t>
      </w:r>
      <w:r>
        <w:rPr>
          <w:rFonts w:ascii="宋体" w:hAnsi="宋体" w:cs="宋体" w:eastAsia="宋体" w:hint="default"/>
          <w:spacing w:val="-4"/>
        </w:rPr>
        <w:t>17</w:t>
      </w:r>
      <w:r>
        <w:rPr>
          <w:spacing w:val="-4"/>
        </w:rPr>
        <w:t>“无形资产”各项描述。</w:t>
      </w:r>
    </w:p>
    <w:p>
      <w:pPr>
        <w:pStyle w:val="BodyText"/>
        <w:spacing w:line="240" w:lineRule="auto" w:before="2"/>
        <w:ind w:right="0"/>
        <w:jc w:val="left"/>
      </w:pPr>
      <w:r>
        <w:rPr/>
        <w:t>关于管理层所作出的重大会计判断和估计的说明，请参阅附注四、</w:t>
      </w:r>
      <w:r>
        <w:rPr>
          <w:rFonts w:ascii="宋体" w:hAnsi="宋体" w:cs="宋体" w:eastAsia="宋体" w:hint="default"/>
        </w:rPr>
        <w:t>28</w:t>
      </w:r>
      <w:r>
        <w:rPr/>
        <w:t>“重大会计判断和估计”。</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77"/>
      <w:bookmarkEnd w:id="17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本公司编制的财务报表符合企业会计准则的要求，真实、完整地反映了本公司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2018</w:t>
      </w:r>
      <w:r>
        <w:rPr>
          <w:spacing w:val="-2"/>
        </w:rPr>
        <w:t>年度的经营</w:t>
      </w:r>
      <w:r>
        <w:rPr>
          <w:spacing w:val="-52"/>
        </w:rPr>
        <w:t> </w:t>
      </w:r>
      <w:r>
        <w:rPr>
          <w:spacing w:val="-2"/>
        </w:rPr>
        <w:t>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年修订的《公开发</w:t>
      </w:r>
      <w:r>
        <w:rPr>
          <w:spacing w:val="-61"/>
        </w:rPr>
        <w:t> </w:t>
      </w:r>
      <w:r>
        <w:rPr>
          <w:spacing w:val="-61"/>
        </w:rPr>
      </w:r>
      <w:r>
        <w:rPr/>
        <w:t>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78"/>
      <w:bookmarkEnd w:id="17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营业周期" w:id="179"/>
      <w:bookmarkEnd w:id="17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正常营业周期是指本公司从购买用于加工的资产起至实现现金或现金等价物的期间。本公司以</w:t>
      </w:r>
      <w:r>
        <w:rPr>
          <w:rFonts w:ascii="宋体" w:hAnsi="宋体" w:cs="宋体" w:eastAsia="宋体" w:hint="default"/>
        </w:rPr>
        <w:t>12</w:t>
      </w:r>
      <w:r>
        <w:rPr/>
        <w:t>个月作为一个营业周期，并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以其作为资产和负债的流动性划分标准。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80"/>
      <w:bookmarkEnd w:id="18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81"/>
      <w:bookmarkEnd w:id="18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0"/>
        <w:jc w:val="left"/>
      </w:pPr>
      <w:r>
        <w:rPr>
          <w:spacing w:val="-2"/>
        </w:rPr>
        <w:t>企业合并，是指将两个或两个以上单独的企业合并形成一个报告主体的交易或事项。企业合并分为同一控制下企业合并和非</w:t>
      </w:r>
      <w:r>
        <w:rPr>
          <w:spacing w:val="-66"/>
        </w:rPr>
        <w:t> </w:t>
      </w:r>
      <w:r>
        <w:rPr>
          <w:spacing w:val="-66"/>
        </w:rPr>
      </w:r>
      <w:r>
        <w:rPr/>
        <w:t>同一控制下企业合并。</w:t>
      </w:r>
    </w:p>
    <w:p>
      <w:pPr>
        <w:pStyle w:val="BodyText"/>
        <w:spacing w:line="316" w:lineRule="auto" w:before="19"/>
        <w:ind w:right="0"/>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1392"/>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6" w:lineRule="auto" w:before="19"/>
        <w:ind w:right="1032"/>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个月内出现对购买日已存在情况的新的或进一步证据</w:t>
      </w:r>
      <w:r>
        <w:rPr>
          <w:spacing w:val="-62"/>
        </w:rPr>
        <w:t> </w:t>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3"/>
        </w:rPr>
        <w:t> </w:t>
      </w:r>
      <w:r>
        <w:rPr>
          <w:spacing w:val="-63"/>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宋体" w:hAnsi="宋体" w:cs="宋体" w:eastAsia="宋体" w:hint="default"/>
          <w:spacing w:val="-4"/>
        </w:rPr>
        <w:t>12</w:t>
      </w:r>
      <w:r>
        <w:rPr>
          <w:spacing w:val="-4"/>
        </w:rPr>
        <w:t>个月内，</w:t>
      </w:r>
      <w:r>
        <w:rPr>
          <w:spacing w:val="-39"/>
        </w:rPr>
        <w:t> </w:t>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7"/>
        </w:rPr>
        <w:t> </w:t>
      </w:r>
      <w:r>
        <w:rPr>
          <w:spacing w:val="-67"/>
        </w:rPr>
      </w:r>
      <w:r>
        <w:rPr/>
        <w:t>认与企业合并相关的递延所得税资产的，计入当期损益。 通过多次交易分步实现的非同一控制下企业合并，根据《财政部关于印发企业会计准则解释第</w:t>
      </w:r>
      <w:r>
        <w:rPr>
          <w:rFonts w:ascii="宋体" w:hAnsi="宋体" w:cs="宋体" w:eastAsia="宋体" w:hint="default"/>
        </w:rPr>
        <w:t>5</w:t>
      </w:r>
      <w:r>
        <w:rPr/>
        <w:t>号的通知》（财会〔</w:t>
      </w:r>
      <w:r>
        <w:rPr>
          <w:rFonts w:ascii="宋体" w:hAnsi="宋体" w:cs="宋体" w:eastAsia="宋体" w:hint="default"/>
        </w:rPr>
        <w:t>2012</w:t>
      </w:r>
      <w:r>
        <w:rPr/>
        <w:t>〕</w:t>
      </w:r>
      <w:r>
        <w:rPr>
          <w:spacing w:val="-82"/>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号——合并财务报表》第五十一条关于“一揽子交易”的判断标准（参见本附注四、</w:t>
      </w:r>
      <w:r>
        <w:rPr>
          <w:rFonts w:ascii="宋体" w:hAnsi="宋体" w:cs="宋体" w:eastAsia="宋体" w:hint="default"/>
          <w:spacing w:val="-4"/>
        </w:rPr>
        <w:t>5</w:t>
      </w:r>
      <w:r>
        <w:rPr>
          <w:spacing w:val="-4"/>
        </w:rPr>
        <w:t>（</w:t>
      </w:r>
      <w:r>
        <w:rPr>
          <w:rFonts w:ascii="宋体" w:hAnsi="宋体" w:cs="宋体" w:eastAsia="宋体" w:hint="default"/>
          <w:spacing w:val="-4"/>
        </w:rPr>
        <w:t>2</w:t>
      </w:r>
      <w:r>
        <w:rPr>
          <w:spacing w:val="-4"/>
        </w:rPr>
        <w:t>）），</w:t>
      </w:r>
      <w:r>
        <w:rPr>
          <w:spacing w:val="-47"/>
        </w:rPr>
        <w:t> </w:t>
      </w:r>
      <w:r>
        <w:rPr>
          <w:spacing w:val="-2"/>
        </w:rPr>
        <w:t>判断该多次交易是否属于“一揽子交易”。属于“一揽子交易”的，参考本部分前面各段描述及本附注四、</w:t>
      </w:r>
      <w:r>
        <w:rPr>
          <w:rFonts w:ascii="宋体" w:hAnsi="宋体" w:cs="宋体" w:eastAsia="宋体" w:hint="default"/>
          <w:spacing w:val="-2"/>
        </w:rPr>
        <w:t>12</w:t>
      </w:r>
      <w:r>
        <w:rPr>
          <w:spacing w:val="-2"/>
        </w:rPr>
        <w:t>“长期股权投</w:t>
      </w:r>
      <w:r>
        <w:rPr>
          <w:spacing w:val="-65"/>
        </w:rPr>
        <w:t> </w:t>
      </w:r>
      <w:r>
        <w:rPr>
          <w:spacing w:val="-65"/>
        </w:rPr>
      </w:r>
      <w:r>
        <w:rPr/>
        <w:t>资”进行会计处理；不属于“一揽子交易”的，区分个别财务报表和合并财务报表进行相关会计处理：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3"/>
        </w:rPr>
        <w:t> </w:t>
      </w:r>
      <w:r>
        <w:rPr>
          <w:spacing w:val="-63"/>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t>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p>
    <w:p>
      <w:pPr>
        <w:spacing w:after="0" w:line="316" w:lineRule="auto"/>
        <w:jc w:val="left"/>
        <w:sectPr>
          <w:footerReference w:type="default" r:id="rId13"/>
          <w:pgSz w:w="11910" w:h="16840"/>
          <w:pgMar w:footer="1449" w:header="747" w:top="1060" w:bottom="1640" w:left="980" w:right="0"/>
          <w:pgNumType w:start="97"/>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益计划净负债或净资产导致的变动中的相应份额以外，其余转为购买日所属当期投资收益）。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22"/>
        <w:ind w:right="0"/>
        <w:jc w:val="left"/>
      </w:pPr>
      <w:r>
        <w:rPr/>
        <w:t>一旦相关事实和情况的变化导致上述控制定义涉及的相关要素发生了变化，本公司将进行重新评估。</w:t>
      </w:r>
    </w:p>
    <w:p>
      <w:pPr>
        <w:pStyle w:val="BodyText"/>
        <w:spacing w:line="316" w:lineRule="auto" w:before="76"/>
        <w:ind w:right="1122"/>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6"/>
        </w:rPr>
        <w:t> </w:t>
      </w:r>
      <w:r>
        <w:rPr>
          <w:spacing w:val="-66"/>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3"/>
        </w:rPr>
        <w:t> </w:t>
      </w:r>
      <w:r>
        <w:rPr>
          <w:spacing w:val="-63"/>
        </w:rPr>
      </w:r>
      <w:r>
        <w:rPr>
          <w:spacing w:val="-2"/>
        </w:rPr>
        <w:t>的子公司，其自合并当期期初至合并日的经营成果和现金流量已经适当地包括在合并利润表和合并现金流量表中，并且同时</w:t>
      </w:r>
      <w:r>
        <w:rPr>
          <w:spacing w:val="-64"/>
        </w:rPr>
        <w:t> </w:t>
      </w:r>
      <w:r>
        <w:rPr>
          <w:spacing w:val="-64"/>
        </w:rPr>
      </w:r>
      <w:r>
        <w:rPr/>
        <w:t>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2" w:lineRule="auto" w:before="19"/>
        <w:ind w:right="103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w:t>
      </w:r>
      <w:r>
        <w:rPr>
          <w:spacing w:val="-3"/>
        </w:rPr>
        <w:t> </w:t>
      </w:r>
      <w:r>
        <w:rPr>
          <w:spacing w:val="-3"/>
        </w:rPr>
      </w:r>
      <w:r>
        <w:rPr/>
        <w:t>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r>
        <w:rPr>
          <w:spacing w:val="-74"/>
        </w:rPr>
        <w:t> </w:t>
      </w:r>
      <w:r>
        <w:rPr>
          <w:spacing w:val="-74"/>
        </w:rPr>
      </w:r>
      <w:r>
        <w:rPr/>
        <w:t>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w:t>
      </w:r>
      <w:r>
        <w:rPr>
          <w:spacing w:val="-77"/>
        </w:rPr>
        <w:t> </w:t>
      </w:r>
      <w:r>
        <w:rPr>
          <w:spacing w:val="-77"/>
        </w:rPr>
      </w: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w:t>
      </w:r>
      <w:r>
        <w:rPr>
          <w:spacing w:val="-75"/>
        </w:rPr>
        <w:t> </w:t>
      </w:r>
      <w:r>
        <w:rPr>
          <w:spacing w:val="-75"/>
        </w:rPr>
      </w:r>
      <w:r>
        <w:rPr/>
        <w:t>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因处置部分股权投资或其他原因丧失了对原有子公司的控</w:t>
      </w:r>
      <w:r>
        <w:rPr>
          <w:spacing w:val="-68"/>
        </w:rPr>
        <w:t> </w:t>
      </w:r>
      <w:r>
        <w:rPr>
          <w:spacing w:val="-68"/>
        </w:rPr>
      </w:r>
      <w:r>
        <w:rPr/>
        <w:t>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（详见前段）适用的原则进行会计处理。处置对子公司股权投资直至丧失控制权的各项交易属于一揽子交易的，将各</w:t>
      </w:r>
      <w:r>
        <w:rPr>
          <w:spacing w:val="-77"/>
        </w:rPr>
        <w:t> </w:t>
      </w:r>
      <w:r>
        <w:rPr>
          <w:spacing w:val="-77"/>
        </w:rPr>
      </w:r>
      <w:r>
        <w:rPr>
          <w:spacing w:val="-2"/>
        </w:rPr>
        <w:t>项交易作为一项处置子公司并丧失控制权的交易进行会计处理；但是，在丧失控制权之前每一次处置价款与处置投资对应的</w:t>
      </w:r>
      <w:r>
        <w:rPr>
          <w:spacing w:val="-64"/>
        </w:rPr>
        <w:t> </w:t>
      </w:r>
      <w:r>
        <w:rPr>
          <w:spacing w:val="-64"/>
        </w:rPr>
      </w:r>
      <w:r>
        <w:rPr>
          <w:spacing w:val="-4"/>
        </w:rPr>
        <w:t>享有该子公司净资产份额的差额，在合并财务报表中确认为其他综合收益，在丧失控制权时一并转入丧失控制权当期的损益。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83"/>
      <w:bookmarkEnd w:id="18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p>
    <w:p>
      <w:pPr>
        <w:spacing w:after="0" w:line="316" w:lineRule="auto"/>
        <w:jc w:val="left"/>
        <w:sectPr>
          <w:footerReference w:type="default" r:id="rId14"/>
          <w:pgSz w:w="11910" w:h="16840"/>
          <w:pgMar w:footer="979" w:header="747" w:top="1060" w:bottom="1160" w:left="980" w:right="0"/>
          <w:pgNumType w:start="98"/>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t>是指本公司仅对该安排的净资产享有权利的合营安排。 本公司对合营企业的投资采用权益法核算，按照本附注四、</w:t>
      </w:r>
      <w:r>
        <w:rPr>
          <w:rFonts w:ascii="宋体" w:hAnsi="宋体" w:cs="宋体" w:eastAsia="宋体" w:hint="default"/>
        </w:rPr>
        <w:t>12</w:t>
      </w:r>
      <w:r>
        <w:rPr/>
        <w:t>（</w:t>
      </w:r>
      <w:r>
        <w:rPr>
          <w:rFonts w:ascii="宋体" w:hAnsi="宋体" w:cs="宋体" w:eastAsia="宋体" w:hint="default"/>
        </w:rPr>
        <w:t>2</w:t>
      </w:r>
      <w:r>
        <w:rPr/>
        <w:t>）②“权益法核算的长期股权投资”中所述的会计政策处 理。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3"/>
        </w:rPr>
        <w:t> </w:t>
      </w:r>
      <w:r>
        <w:rPr>
          <w:spacing w:val="-63"/>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宋体" w:hAnsi="宋体" w:cs="宋体" w:eastAsia="宋体" w:hint="default"/>
        </w:rPr>
        <w:t>8</w:t>
      </w:r>
      <w:r>
        <w:rPr/>
        <w:t>号——资产减值》等规定的资产减值损失的，对于由本公司向共同经营投出或出售资产的情况，本公司全额确认该损</w:t>
      </w:r>
      <w:r>
        <w:rPr>
          <w:spacing w:val="-83"/>
        </w:rPr>
        <w:t> </w:t>
      </w:r>
      <w:r>
        <w:rPr>
          <w:spacing w:val="-83"/>
        </w:rPr>
      </w:r>
      <w:r>
        <w:rPr/>
        <w:t>失；对于本公司自共同经营购买资产的情况，本公司按承担的份额确认该损失。</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84"/>
      <w:bookmarkEnd w:id="18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本公司现金及现金等价物包括库存现金、可以随时用于支付的存款以及本公司持有的期限短（一般为从购买日起三个月内到</w:t>
      </w:r>
      <w:r>
        <w:rPr>
          <w:spacing w:val="-64"/>
        </w:rPr>
        <w:t> </w:t>
      </w:r>
      <w:r>
        <w:rPr>
          <w:spacing w:val="-64"/>
        </w:rPr>
      </w:r>
      <w:r>
        <w:rPr/>
        <w:t>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85"/>
      <w:bookmarkEnd w:id="18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本公司发生的外币交易在初始确认时，按交易日的即期汇率折算为记账本位币金额，但公司发生的外币兑换业务或涉及外币</w:t>
      </w:r>
      <w:r>
        <w:rPr>
          <w:spacing w:val="-64"/>
        </w:rPr>
        <w:t> </w:t>
      </w:r>
      <w:r>
        <w:rPr>
          <w:spacing w:val="-64"/>
        </w:rPr>
      </w:r>
      <w:r>
        <w:rPr/>
        <w:t>兑换的交易事项，按照实际采用的汇率折算为记账本位币金额。</w:t>
      </w:r>
    </w:p>
    <w:p>
      <w:pPr>
        <w:pStyle w:val="BodyText"/>
        <w:spacing w:line="314" w:lineRule="auto" w:before="24"/>
        <w:ind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条件的资产相关的外币专门借款产生的汇兑差额按照借款费用资本化的原则处理；②以及可供出售的外币货币性项目除摊余</w:t>
      </w:r>
      <w:r>
        <w:rPr>
          <w:spacing w:val="-64"/>
        </w:rPr>
        <w:t> </w:t>
      </w:r>
      <w:r>
        <w:rPr>
          <w:spacing w:val="-64"/>
        </w:rPr>
      </w:r>
      <w:r>
        <w:rPr/>
        <w:t>成本之外的其他账面余额变动产生的汇兑差额计入其他综合收益之外，均计入当期损益。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w:t>
      </w:r>
    </w:p>
    <w:p>
      <w:pPr>
        <w:pStyle w:val="BodyText"/>
        <w:spacing w:line="314" w:lineRule="auto" w:before="20"/>
        <w:ind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44"/>
        </w:rPr>
        <w:t> </w:t>
      </w:r>
      <w:r>
        <w:rPr>
          <w:spacing w:val="-44"/>
        </w:rPr>
      </w:r>
      <w:r>
        <w:rPr>
          <w:spacing w:val="-2"/>
        </w:rPr>
        <w:t>发生日的即期汇率折算。年初未分配利润为上一年折算后的年末未分配利润；年末未分配利润按折算后的利润分配各项目计</w:t>
      </w:r>
      <w:r>
        <w:rPr>
          <w:spacing w:val="-64"/>
        </w:rPr>
        <w:t> </w:t>
      </w:r>
      <w:r>
        <w:rPr>
          <w:spacing w:val="-64"/>
        </w:rPr>
      </w:r>
      <w:r>
        <w:rPr/>
        <w:t>算列示；折算后资产类项目与负债类项目和股东权益类项目合计数的差额，作为外币报表折算差额，确认为其他综合收益。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 外币现金流量，采用现金流量发生日的即期汇率折算。汇率变动对现金的影响额作为调节项目，在现金流量表中单独列报。 年初数和上年实际数按照上年财务报表折算后的数额列示。 </w:t>
      </w: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after="0" w:line="31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金融工具" w:id="186"/>
      <w:bookmarkEnd w:id="18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6" w:lineRule="auto" w:before="17"/>
        <w:ind w:right="0"/>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16" w:lineRule="auto" w:before="19"/>
        <w:ind w:right="0"/>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6" w:lineRule="auto" w:before="19"/>
        <w:ind w:right="1032"/>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属于进行集中管</w:t>
      </w:r>
      <w:r>
        <w:rPr>
          <w:spacing w:val="-61"/>
        </w:rPr>
        <w:t> </w:t>
      </w:r>
      <w:r>
        <w:rPr/>
        <w:t>理的可辨认金融工具组合的一部分，且有客观证据表明本公司近期采用短期获利方式对该组合进行管理；</w:t>
      </w:r>
      <w:r>
        <w:rPr>
          <w:rFonts w:ascii="宋体" w:hAnsi="宋体" w:cs="宋体" w:eastAsia="宋体" w:hint="default"/>
        </w:rPr>
        <w:t>C.</w:t>
      </w:r>
      <w:r>
        <w:rPr/>
        <w:t>属于衍生工具， </w:t>
      </w: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该指定可以消</w:t>
      </w:r>
      <w:r>
        <w:rPr>
          <w:spacing w:val="-61"/>
        </w:rPr>
        <w:t> </w:t>
      </w:r>
      <w:r>
        <w:rPr>
          <w:spacing w:val="-2"/>
        </w:rPr>
        <w:t>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本公司风险管理</w:t>
      </w:r>
      <w:r>
        <w:rPr>
          <w:spacing w:val="-61"/>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19"/>
        <w:ind w:right="2652"/>
        <w:jc w:val="left"/>
      </w:pPr>
      <w:r>
        <w:rPr/>
        <w:t>②持有至到期投资 是指到期日固定、回收金额固定或可确定，且本公司有明确意图和能力持有至到期的非衍生金融资产。</w:t>
      </w:r>
    </w:p>
    <w:p>
      <w:pPr>
        <w:pStyle w:val="BodyText"/>
        <w:spacing w:line="316" w:lineRule="auto" w:before="19"/>
        <w:ind w:right="1122"/>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66"/>
        </w:rPr>
        <w:t> </w:t>
      </w:r>
      <w:r>
        <w:rPr>
          <w:spacing w:val="-66"/>
        </w:rPr>
      </w:r>
      <w:r>
        <w:rPr/>
        <w:t>或溢价等。</w:t>
      </w:r>
    </w:p>
    <w:p>
      <w:pPr>
        <w:pStyle w:val="BodyText"/>
        <w:spacing w:line="319" w:lineRule="auto" w:before="19"/>
        <w:ind w:right="1122"/>
        <w:jc w:val="left"/>
      </w:pPr>
      <w:r>
        <w:rPr/>
        <w:t>③贷款和应收款项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7"/>
        <w:ind w:right="0"/>
        <w:jc w:val="left"/>
      </w:pPr>
      <w:r>
        <w:rPr/>
        <w:t>④可供出售金融资产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w:t>
      </w:r>
    </w:p>
    <w:p>
      <w:pPr>
        <w:spacing w:after="0" w:line="316" w:lineRule="auto"/>
        <w:jc w:val="left"/>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6" w:lineRule="auto" w:before="19"/>
        <w:ind w:right="0"/>
        <w:jc w:val="left"/>
      </w:pPr>
      <w:r>
        <w:rPr/>
        <w:t>（</w:t>
      </w:r>
      <w:r>
        <w:rPr>
          <w:rFonts w:ascii="宋体" w:hAnsi="宋体" w:cs="宋体" w:eastAsia="宋体" w:hint="default"/>
        </w:rPr>
        <w:t>3</w:t>
      </w:r>
      <w:r>
        <w:rPr/>
        <w:t>）金融资产减值 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19"/>
        <w:ind w:right="1032"/>
        <w:jc w:val="left"/>
      </w:pPr>
      <w:r>
        <w:rPr/>
        <w:t>①持有至到期投资、贷款和应收款项减值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6"/>
        </w:rPr>
        <w:t> </w:t>
      </w:r>
      <w:r>
        <w:rPr>
          <w:spacing w:val="-66"/>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1122"/>
        <w:jc w:val="left"/>
      </w:pPr>
      <w:r>
        <w:rPr/>
        <w:t>②可供出售金融资产减值 当综合相关因素判断可供出售权益工具投资公允价值下跌是严重或非暂时性下跌时，表明该可供出售权益工具投资发生减 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个月，持 续下跌期间的确定依据为三年。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316" w:lineRule="auto" w:before="19"/>
        <w:ind w:right="0"/>
        <w:jc w:val="left"/>
      </w:pPr>
      <w:r>
        <w:rPr/>
        <w:t>（</w:t>
      </w:r>
      <w:r>
        <w:rPr>
          <w:rFonts w:ascii="宋体" w:hAnsi="宋体" w:cs="宋体" w:eastAsia="宋体" w:hint="default"/>
        </w:rPr>
        <w:t>4</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r>
        <w:rPr>
          <w:spacing w:val="-64"/>
        </w:rPr>
        <w:t> </w:t>
      </w:r>
      <w:r>
        <w:rPr>
          <w:spacing w:val="-64"/>
        </w:rPr>
      </w:r>
      <w:r>
        <w:rPr/>
        <w:t>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5"/>
        </w:rPr>
        <w:t> </w:t>
      </w:r>
      <w:r>
        <w:rPr>
          <w:spacing w:val="-65"/>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p>
    <w:p>
      <w:pPr>
        <w:spacing w:after="0" w:line="316" w:lineRule="auto"/>
        <w:jc w:val="left"/>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9" w:lineRule="auto" w:before="19"/>
        <w:ind w:right="0"/>
        <w:jc w:val="left"/>
      </w:pPr>
      <w:r>
        <w:rPr/>
        <w:t>（</w:t>
      </w:r>
      <w:r>
        <w:rPr>
          <w:rFonts w:ascii="宋体" w:hAnsi="宋体" w:cs="宋体" w:eastAsia="宋体"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16" w:lineRule="auto" w:before="17"/>
        <w:ind w:right="0"/>
        <w:jc w:val="left"/>
      </w:pPr>
      <w:r>
        <w:rPr/>
        <w:t>①以公允价值计量且其变动计入当期损益的金融负债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Heading4"/>
        <w:spacing w:line="302" w:lineRule="auto" w:before="19"/>
        <w:ind w:right="0"/>
        <w:jc w:val="left"/>
        <w:rPr>
          <w:i w:val="0"/>
        </w:rPr>
      </w:pPr>
      <w:r>
        <w:rPr>
          <w:rFonts w:ascii="宋体" w:hAnsi="宋体" w:cs="宋体" w:eastAsia="宋体" w:hint="default"/>
          <w:i w:val="0"/>
          <w:sz w:val="18"/>
          <w:szCs w:val="18"/>
        </w:rPr>
        <w:t>②其他金融负债 </w:t>
      </w:r>
      <w:r>
        <w:rPr>
          <w:spacing w:val="-2"/>
          <w:w w:val="95"/>
        </w:rPr>
        <w:t>与在活跃市场中没有报价、公允价值不能可靠计量的权益工具挂钩并须通过交付该权益工具结算的衍生金融负债，按照成本</w:t>
      </w:r>
      <w:r>
        <w:rPr>
          <w:w w:val="94"/>
        </w:rPr>
        <w:t> </w:t>
      </w:r>
      <w:r>
        <w:rPr>
          <w:spacing w:val="-4"/>
          <w:w w:val="95"/>
        </w:rPr>
        <w:t>进行后续计量。其他金融负债采用实际利率法，按摊余成本进行后续计量，终止确认或摊销产生的利得或损失计入当期损益。</w:t>
      </w:r>
      <w:r>
        <w:rPr>
          <w:i w:val="0"/>
          <w:spacing w:val="-4"/>
        </w:rPr>
      </w:r>
    </w:p>
    <w:p>
      <w:pPr>
        <w:pStyle w:val="BodyText"/>
        <w:spacing w:line="316" w:lineRule="auto" w:before="25"/>
        <w:ind w:right="0"/>
        <w:jc w:val="left"/>
      </w:pPr>
      <w:r>
        <w:rPr/>
        <w:t>③财务担保合同 </w:t>
      </w:r>
      <w:r>
        <w:rPr>
          <w:spacing w:val="-2"/>
        </w:rPr>
        <w:t>不属于指定为以公允价值计量且其变动计入当期损益的金融负债的财务担保合同，以公允价值进行初始确认，在初始确认后</w:t>
      </w:r>
      <w:r>
        <w:rPr>
          <w:spacing w:val="-64"/>
        </w:rPr>
        <w:t> </w:t>
      </w:r>
      <w:r>
        <w:rPr>
          <w:spacing w:val="-64"/>
        </w:rPr>
      </w:r>
      <w:r>
        <w:rPr>
          <w:spacing w:val="-2"/>
        </w:rPr>
        <w:t>按照《企业会计准则第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号——收入》的原则确</w:t>
      </w:r>
      <w:r>
        <w:rPr>
          <w:spacing w:val="-62"/>
        </w:rPr>
        <w:t> </w:t>
      </w:r>
      <w:r>
        <w:rPr>
          <w:spacing w:val="-62"/>
        </w:rPr>
      </w:r>
      <w:r>
        <w:rPr/>
        <w:t>定的累计摊销额后的余额之中的较高者进行后续计量。</w:t>
      </w:r>
    </w:p>
    <w:p>
      <w:pPr>
        <w:pStyle w:val="BodyText"/>
        <w:spacing w:line="316" w:lineRule="auto" w:before="19"/>
        <w:ind w:right="1032"/>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6" w:lineRule="auto" w:before="19"/>
        <w:ind w:right="0"/>
        <w:jc w:val="left"/>
      </w:pPr>
      <w:r>
        <w:rPr/>
        <w:t>（</w:t>
      </w:r>
      <w:r>
        <w:rPr>
          <w:rFonts w:ascii="宋体" w:hAnsi="宋体" w:cs="宋体" w:eastAsia="宋体"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 </w:t>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6" w:lineRule="auto" w:before="19"/>
        <w:ind w:right="0"/>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9" w:lineRule="auto" w:before="19"/>
        <w:ind w:right="1122"/>
        <w:jc w:val="left"/>
      </w:pPr>
      <w:r>
        <w:rPr/>
        <w:t>（</w:t>
      </w:r>
      <w:r>
        <w:rPr>
          <w:rFonts w:ascii="宋体" w:hAnsi="宋体" w:cs="宋体" w:eastAsia="宋体" w:hint="default"/>
        </w:rPr>
        <w:t>9</w:t>
      </w:r>
      <w:r>
        <w:rPr/>
        <w:t>）权益工具 </w:t>
      </w:r>
      <w:r>
        <w:rPr>
          <w:spacing w:val="-2"/>
        </w:rPr>
        <w:t>权益工具是指能证明拥有本公司在扣除所有负债后的资产中的剩余权益的合同。本公司发行（含再融资）、回购、出售或注</w:t>
      </w:r>
      <w:r>
        <w:rPr>
          <w:spacing w:val="-66"/>
        </w:rPr>
        <w:t> </w:t>
      </w:r>
      <w:r>
        <w:rPr>
          <w:spacing w:val="-66"/>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票据及应收账款" w:id="187"/>
      <w:bookmarkEnd w:id="18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本公司将应收款项余额前五的应收款项确认为单项金额重大的应收款项。</w:t>
            </w:r>
          </w:p>
        </w:tc>
      </w:tr>
      <w:tr>
        <w:trPr>
          <w:trHeight w:val="1338"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本公司对单项金额重大的应收款项单独进行减值测试，单独测试未发生减值的金融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资产，包括在具有类似信用风险特征的金融资产组合中进行减值测试。单项测试已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确认减值损失的应收款项，不再包括在具有类似信用风险特征的应收款项组合中进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低于其账面价值的差额，确认减值损失，计提坏账准备如： 应收关联方款项；与对方存在争议或涉及诉讼、仲裁的应收 款项；已有明显迹象表明债务人很可能无法履行还款义务的 应收款项等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91"/>
      <w:bookmarkEnd w:id="19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16" w:lineRule="auto" w:before="115"/>
        <w:ind w:right="4092"/>
        <w:jc w:val="left"/>
      </w:pPr>
      <w:r>
        <w:rPr/>
        <w:t>（</w:t>
      </w:r>
      <w:r>
        <w:rPr>
          <w:rFonts w:ascii="宋体" w:hAnsi="宋体" w:cs="宋体" w:eastAsia="宋体" w:hint="default"/>
        </w:rPr>
        <w:t>1</w:t>
      </w:r>
      <w:r>
        <w:rPr/>
        <w:t>）存货的分类 存货主要包括原材料、库存商品、发出商品、建造合同形成的已完工未结算资产等。</w:t>
      </w:r>
    </w:p>
    <w:p>
      <w:pPr>
        <w:pStyle w:val="BodyText"/>
        <w:spacing w:line="319" w:lineRule="auto" w:before="19"/>
        <w:ind w:right="1932"/>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存货在取得时按实际成本计价，存货成本包括采购成本、加工成本和其他成本。领用和发出时按个别认定法计价</w:t>
      </w:r>
    </w:p>
    <w:p>
      <w:pPr>
        <w:pStyle w:val="BodyText"/>
        <w:spacing w:line="316" w:lineRule="auto" w:before="17"/>
        <w:ind w:right="1032"/>
        <w:jc w:val="left"/>
      </w:pPr>
      <w:r>
        <w:rPr/>
        <w:t>（</w:t>
      </w:r>
      <w:r>
        <w:rPr>
          <w:rFonts w:ascii="宋体" w:hAnsi="宋体" w:cs="宋体" w:eastAsia="宋体"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在资产负债表日，存货按照成本与可变现净值孰低计量。当其可变现净值低于成本时，提取存货跌价准备。存货跌价准备通</w:t>
      </w:r>
      <w:r>
        <w:rPr>
          <w:spacing w:val="-66"/>
        </w:rPr>
        <w:t> </w:t>
      </w:r>
      <w:r>
        <w:rPr>
          <w:spacing w:val="-66"/>
        </w:rPr>
      </w:r>
      <w:r>
        <w:rPr>
          <w:spacing w:val="-2"/>
        </w:rPr>
        <w:t>常按单个存货项目的成本高于其可变现净值的差额提取。但对于数量繁多、单价较低的存货，按照存货类别计提存货跌价准</w:t>
      </w:r>
      <w:r>
        <w:rPr>
          <w:spacing w:val="-66"/>
        </w:rPr>
        <w:t> </w:t>
      </w:r>
      <w:r>
        <w:rPr>
          <w:spacing w:val="-66"/>
        </w:rPr>
      </w:r>
      <w:r>
        <w:rPr/>
        <w:t>备。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316" w:lineRule="auto" w:before="19"/>
        <w:ind w:right="9042"/>
        <w:jc w:val="left"/>
      </w:pPr>
      <w:r>
        <w:rPr/>
        <w:t>（</w:t>
      </w:r>
      <w:r>
        <w:rPr>
          <w:rFonts w:ascii="宋体" w:hAnsi="宋体" w:cs="宋体" w:eastAsia="宋体" w:hint="default"/>
        </w:rPr>
        <w:t>4</w:t>
      </w:r>
      <w:r>
        <w:rPr/>
        <w:t>）存货的盘存制度 采用永续盘存制。</w:t>
      </w:r>
    </w:p>
    <w:p>
      <w:pPr>
        <w:pStyle w:val="BodyText"/>
        <w:spacing w:line="316" w:lineRule="auto" w:before="19"/>
        <w:ind w:right="1122"/>
        <w:jc w:val="left"/>
      </w:pPr>
      <w:r>
        <w:rPr/>
        <w:t>（</w:t>
      </w:r>
      <w:r>
        <w:rPr>
          <w:rFonts w:ascii="宋体" w:hAnsi="宋体" w:cs="宋体" w:eastAsia="宋体" w:hint="default"/>
        </w:rPr>
        <w:t>5</w:t>
      </w:r>
      <w:r>
        <w:rPr/>
        <w:t>）建造合同 </w:t>
      </w:r>
      <w:r>
        <w:rPr>
          <w:spacing w:val="-2"/>
        </w:rPr>
        <w:t>建造合同按实际成本计量，包括从合同签订开始至合同完成止所发生的、与执行合同有关的直接费用和间接费用。为订立合</w:t>
      </w:r>
      <w:r>
        <w:rPr>
          <w:spacing w:val="-66"/>
        </w:rPr>
        <w:t> </w:t>
      </w:r>
      <w:r>
        <w:rPr>
          <w:spacing w:val="-66"/>
        </w:rPr>
      </w:r>
      <w:r>
        <w:rPr>
          <w:spacing w:val="-2"/>
        </w:rPr>
        <w:t>同而发生的差旅费、投标费等，能够单独区分和可靠计量且合同很可能订立的，在取得合同时计入合同成本；未满足上述条</w:t>
      </w:r>
      <w:r>
        <w:rPr>
          <w:spacing w:val="-66"/>
        </w:rPr>
        <w:t> </w:t>
      </w:r>
      <w:r>
        <w:rPr>
          <w:spacing w:val="-66"/>
        </w:rPr>
      </w:r>
      <w:r>
        <w:rPr/>
        <w:t>件的，则计入当期损益。 </w:t>
      </w:r>
      <w:r>
        <w:rPr>
          <w:spacing w:val="-2"/>
        </w:rPr>
        <w:t>在建合同累计已发生的成本和累计已确认的毛利（亏损）与已结算的价款在资产负债表中以抵销后的净额列示。在建合同累</w:t>
      </w:r>
      <w:r>
        <w:rPr>
          <w:spacing w:val="-66"/>
        </w:rPr>
        <w:t> </w:t>
      </w:r>
      <w:r>
        <w:rPr>
          <w:spacing w:val="-66"/>
        </w:rPr>
      </w:r>
      <w:r>
        <w:rPr>
          <w:spacing w:val="-2"/>
        </w:rPr>
        <w:t>计已发生的成本和累计已确认的毛利（亏损）之和超过已结算价款的部分作为存货列示；在建合同已结算的价款超过累计已</w:t>
      </w:r>
      <w:r>
        <w:rPr>
          <w:spacing w:val="-66"/>
        </w:rPr>
        <w:t> </w:t>
      </w:r>
      <w:r>
        <w:rPr>
          <w:spacing w:val="-66"/>
        </w:rPr>
      </w:r>
      <w:r>
        <w:rPr/>
        <w:t>发生的成本与累计已确认的毛利（亏损）之和的部分作为预收款项列示。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3、持有待售资产" w:id="192"/>
      <w:bookmarkEnd w:id="19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93"/>
      <w:bookmarkEnd w:id="19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宋体" w:hAnsi="宋体" w:cs="宋体" w:eastAsia="宋体" w:hint="default"/>
        </w:rPr>
        <w:t>9</w:t>
      </w:r>
      <w:r>
        <w:rPr/>
        <w:t>“金融工具”。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5"/>
        </w:rPr>
        <w:t> </w:t>
      </w:r>
      <w:r>
        <w:rPr>
          <w:spacing w:val="-65"/>
        </w:rPr>
      </w:r>
      <w:r>
        <w:rPr/>
        <w:t>起共同控制这些政策的制定。</w:t>
      </w:r>
    </w:p>
    <w:p>
      <w:pPr>
        <w:pStyle w:val="BodyText"/>
        <w:spacing w:line="316" w:lineRule="auto" w:before="19"/>
        <w:ind w:right="1032"/>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spacing w:val="-2"/>
        </w:rPr>
        <w:t>整留存收益。通过多次交易分步取得同一控制下被合并方的股权，最终形成同一控制下企业合并的，应分别是否属于“一揽</w:t>
      </w:r>
      <w:r>
        <w:rPr>
          <w:spacing w:val="-65"/>
        </w:rPr>
        <w:t> </w:t>
      </w:r>
      <w:r>
        <w:rPr>
          <w:spacing w:val="-65"/>
        </w:rPr>
      </w:r>
      <w:r>
        <w:rPr/>
        <w:t>子交易”进行处理：属于“一揽子交易”的，将各项交易作为一项取得控制权的交易进行会计处理。不属于“一揽子交易”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3"/>
        </w:rPr>
        <w:t> </w:t>
      </w:r>
      <w:r>
        <w:rPr>
          <w:spacing w:val="-63"/>
        </w:rPr>
      </w:r>
      <w:r>
        <w:rPr>
          <w:spacing w:val="-2"/>
        </w:rPr>
        <w:t>和的差额，调整资本公积；资本公积不足冲减的，调整留存收益。合并日之前持有的股权投资因采用权益法核算或为可供出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售金融资产而确认的其他综合收益，暂不进行会计处理。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6"/>
        </w:rPr>
        <w:t> </w:t>
      </w:r>
      <w:r>
        <w:rPr>
          <w:spacing w:val="-66"/>
        </w:rPr>
      </w:r>
      <w:r>
        <w:rPr>
          <w:spacing w:val="-2"/>
        </w:rPr>
        <w:t>终形成非同一控制下的企业合并的，应分别是否属于“一揽子交易”进行处理：属于“一揽子交易”的，将各项交易作为一</w:t>
      </w:r>
      <w:r>
        <w:rPr>
          <w:spacing w:val="-68"/>
        </w:rPr>
        <w:t> </w:t>
      </w:r>
      <w:r>
        <w:rPr>
          <w:spacing w:val="-68"/>
        </w:rPr>
      </w:r>
      <w:r>
        <w:rPr>
          <w:spacing w:val="-2"/>
        </w:rPr>
        <w:t>项取得控制权的交易进行会计处理。不属于“一揽子交易”的，按照原持有被购买方的股权投资账面价值加上新增投资成本</w:t>
      </w:r>
      <w:r>
        <w:rPr>
          <w:spacing w:val="-66"/>
        </w:rPr>
        <w:t> </w:t>
      </w:r>
      <w:r>
        <w:rPr>
          <w:spacing w:val="-66"/>
        </w:rPr>
      </w:r>
      <w:r>
        <w:rPr>
          <w:spacing w:val="-2"/>
        </w:rPr>
        <w:t>之和，作为改按成本法核算的长期股权投资的初始投资成本。原持有的股权采用权益法核算的，相关其他综合收益暂不进行</w:t>
      </w:r>
      <w:r>
        <w:rPr>
          <w:spacing w:val="-66"/>
        </w:rPr>
        <w:t> </w:t>
      </w:r>
      <w:r>
        <w:rPr>
          <w:spacing w:val="-66"/>
        </w:rPr>
      </w:r>
      <w:r>
        <w:rPr>
          <w:spacing w:val="-2"/>
        </w:rPr>
        <w:t>会计处理。原持有股权投资为可供出售金融资产的，其公允价值与账面价值之间的差额，以及原计入其他综合收益的累计公</w:t>
      </w:r>
      <w:r>
        <w:rPr>
          <w:spacing w:val="-66"/>
        </w:rPr>
        <w:t> </w:t>
      </w:r>
      <w:r>
        <w:rPr>
          <w:spacing w:val="-66"/>
        </w:rPr>
      </w:r>
      <w:r>
        <w:rPr/>
        <w:t>允价值变动转入当期损益。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r>
        <w:rPr>
          <w:spacing w:val="-66"/>
        </w:rPr>
        <w:t> </w:t>
      </w:r>
      <w:r>
        <w:rPr>
          <w:spacing w:val="-66"/>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号——金融工具确认和计量》确定的原持有股权投资的公允价值加上新增</w:t>
      </w:r>
      <w:r>
        <w:rPr>
          <w:spacing w:val="-64"/>
        </w:rPr>
        <w:t> </w:t>
      </w:r>
      <w:r>
        <w:rPr>
          <w:spacing w:val="-64"/>
        </w:rPr>
      </w:r>
      <w:r>
        <w:rPr/>
        <w:t>投资成本之和。</w:t>
      </w:r>
    </w:p>
    <w:p>
      <w:pPr>
        <w:pStyle w:val="BodyText"/>
        <w:spacing w:line="316" w:lineRule="auto" w:before="19"/>
        <w:ind w:right="0"/>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6" w:lineRule="auto" w:before="19"/>
        <w:ind w:right="1122"/>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9"/>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6"/>
        </w:rPr>
        <w:t> </w:t>
      </w:r>
      <w:r>
        <w:rPr>
          <w:spacing w:val="-66"/>
        </w:rPr>
      </w:r>
      <w:r>
        <w:rPr>
          <w:spacing w:val="-2"/>
        </w:rPr>
        <w:t>权投资的账面价值；对于被投资单位除净损益、其他综合收益和利润分配以外所有者权益的其他变动，调整长期股权投资的</w:t>
      </w:r>
      <w:r>
        <w:rPr>
          <w:spacing w:val="-65"/>
        </w:rPr>
        <w:t> </w:t>
      </w:r>
      <w:r>
        <w:rPr>
          <w:spacing w:val="-65"/>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spacing w:val="-2"/>
        </w:rPr>
        <w:t>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号——企业合并》的规定进行会计处理，全额确认与交易相</w:t>
      </w:r>
      <w:r>
        <w:rPr>
          <w:spacing w:val="-64"/>
        </w:rPr>
        <w:t> </w:t>
      </w:r>
      <w:r>
        <w:rPr>
          <w:spacing w:val="-64"/>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 </w:t>
      </w:r>
      <w:r>
        <w:rPr>
          <w:spacing w:val="-2"/>
        </w:rPr>
        <w:t>对于本公司首次执行新会计准则之前已经持有的对联营企业和合营企业的长期股权投资，如存在与该投资相关的股权投资借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1032"/>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t>四、</w:t>
      </w:r>
      <w:r>
        <w:rPr>
          <w:rFonts w:ascii="宋体" w:hAnsi="宋体" w:cs="宋体" w:eastAsia="宋体" w:hint="default"/>
        </w:rPr>
        <w:t>5</w:t>
      </w:r>
      <w:r>
        <w:rPr/>
        <w:t>（</w:t>
      </w:r>
      <w:r>
        <w:rPr>
          <w:rFonts w:ascii="宋体" w:hAnsi="宋体" w:cs="宋体" w:eastAsia="宋体" w:hint="default"/>
        </w:rPr>
        <w:t>2</w:t>
      </w:r>
      <w:r>
        <w:rPr/>
        <w:t>）“合并财务报表编制的方法”中所述的相关会计政策处理。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3"/>
        </w:rPr>
        <w:t> </w:t>
      </w:r>
      <w:r>
        <w:rPr>
          <w:spacing w:val="-63"/>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 </w:t>
      </w: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的土地使用权、已出租的建筑物等。此外，对于本公司持有以备经营出租的空置建筑物，若董事会（或类似机构）作出书面</w:t>
      </w:r>
      <w:r>
        <w:rPr>
          <w:spacing w:val="-68"/>
        </w:rPr>
        <w:t> </w:t>
      </w:r>
      <w:r>
        <w:rPr>
          <w:spacing w:val="-68"/>
        </w:rPr>
      </w:r>
      <w:r>
        <w:rPr/>
        <w:t>决议，明确表示将其用于经营出租且持有意图短期内不再发生变化的，也作为投资性房地产列报。 </w:t>
      </w: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投资性房地产的减值测试方法和减值准备计提方法详见附注四、</w:t>
      </w:r>
      <w:r>
        <w:rPr>
          <w:rFonts w:ascii="宋体" w:hAnsi="宋体" w:cs="宋体" w:eastAsia="宋体" w:hint="default"/>
        </w:rPr>
        <w:t>19</w:t>
      </w:r>
      <w:r>
        <w:rPr/>
        <w:t>“长期资产减值”。 自用房地产或存货转换为投资性房地产或投资性房地产转换为自用房地产时，按转换前的账面价值作为转换后的入账价值。 </w:t>
      </w:r>
      <w:r>
        <w:rPr>
          <w:spacing w:val="-2"/>
        </w:rPr>
        <w:t>投资性房地产的用途改变为自用时，自改变之日起，将该投资性房地产转换为固定资产或无形资产。自用房地产的用途改变</w:t>
      </w:r>
      <w:r>
        <w:rPr>
          <w:spacing w:val="-66"/>
        </w:rPr>
        <w:t> </w:t>
      </w:r>
      <w:r>
        <w:rPr>
          <w:spacing w:val="-66"/>
        </w:rPr>
      </w:r>
      <w:r>
        <w:rPr>
          <w:spacing w:val="-2"/>
        </w:rPr>
        <w:t>为赚取租金或资本增值时，自改变之日起，将固定资产或无形资产转换为投资性房地产。发生转换时，转换为采用成本模式</w:t>
      </w:r>
      <w:r>
        <w:rPr>
          <w:spacing w:val="-66"/>
        </w:rPr>
        <w:t> </w:t>
      </w:r>
      <w:r>
        <w:rPr>
          <w:spacing w:val="-66"/>
        </w:rPr>
      </w:r>
      <w:r>
        <w:rPr>
          <w:spacing w:val="-2"/>
        </w:rPr>
        <w:t>计量的投资性房地产的，以转换前的账面价值作为转换后的入账价值；转换为以公允价值模式计量的投资性房地产的，以转</w:t>
      </w:r>
      <w:r>
        <w:rPr>
          <w:spacing w:val="-66"/>
        </w:rPr>
        <w:t> </w:t>
      </w:r>
      <w:r>
        <w:rPr>
          <w:spacing w:val="-66"/>
        </w:rPr>
      </w:r>
      <w:r>
        <w:rPr/>
        <w:t>换日的公允价值作为转换后的入账价值。</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94"/>
      <w:bookmarkEnd w:id="19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032"/>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的土地使用权、已出租的建筑物等。此外，对于本公司持有以备经营出租的空置建筑物，若董事会（或类似机构）作出书面</w:t>
      </w:r>
      <w:r>
        <w:rPr>
          <w:spacing w:val="-68"/>
        </w:rPr>
        <w:t> </w:t>
      </w:r>
      <w:r>
        <w:rPr>
          <w:spacing w:val="-68"/>
        </w:rPr>
      </w:r>
      <w:r>
        <w:rPr/>
        <w:t>决议，明确表示将其用于经营出租且持有意图短期内不再发生变化的，也作为投资性房地产列报。 </w:t>
      </w: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自用房地产或存货转换为投资性房地产或投资性房地产转换为自用房地产时，按转换前的账面价值作为转换后的入账价值。 </w:t>
      </w:r>
      <w:r>
        <w:rPr>
          <w:spacing w:val="-2"/>
        </w:rPr>
        <w:t>投资性房地产的用途改变为自用时，自改变之日起，将该投资性房地产转换为固定资产或无形资产。自用房地产的用途改变</w:t>
      </w:r>
      <w:r>
        <w:rPr>
          <w:spacing w:val="-65"/>
        </w:rPr>
        <w:t> </w:t>
      </w:r>
      <w:r>
        <w:rPr>
          <w:spacing w:val="-65"/>
        </w:rPr>
      </w:r>
      <w:r>
        <w:rPr>
          <w:spacing w:val="-2"/>
        </w:rPr>
        <w:t>为赚取租金或资本增值时，自改变之日起，将固定资产或无形资产转换为投资性房地产。发生转换时，转换为采用成本模式</w:t>
      </w:r>
      <w:r>
        <w:rPr>
          <w:spacing w:val="-66"/>
        </w:rPr>
        <w:t> </w:t>
      </w:r>
      <w:r>
        <w:rPr>
          <w:spacing w:val="-66"/>
        </w:rPr>
      </w:r>
      <w:r>
        <w:rPr>
          <w:spacing w:val="-2"/>
        </w:rPr>
        <w:t>计量的投资性房地产的，以转换前的账面价值作为转换后的入账价值；转换为以公允价值模式计量的投资性房地产的，以转</w:t>
      </w:r>
      <w:r>
        <w:rPr>
          <w:spacing w:val="-66"/>
        </w:rPr>
        <w:t> </w:t>
      </w:r>
      <w:r>
        <w:rPr>
          <w:spacing w:val="-66"/>
        </w:rPr>
      </w:r>
      <w:r>
        <w:rPr/>
        <w:t>换日的公允价值作为转换后的入账价值。 </w:t>
      </w: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固定资产" w:id="195"/>
      <w:bookmarkEnd w:id="19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中较短的期间内计提折旧。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在建工程" w:id="199"/>
      <w:bookmarkEnd w:id="19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0"/>
        <w:jc w:val="left"/>
      </w:pPr>
      <w:r>
        <w:rPr>
          <w:spacing w:val="-2"/>
        </w:rPr>
        <w:t>在建工程成本按实际工程支出确定，包括在建期间发生的各项工程支出、工程达到预定可使用状态前的资本化的借款费用以</w:t>
      </w:r>
      <w:r>
        <w:rPr>
          <w:spacing w:val="-63"/>
        </w:rPr>
        <w:t> </w:t>
      </w:r>
      <w:r>
        <w:rPr>
          <w:spacing w:val="-63"/>
        </w:rPr>
      </w:r>
      <w:r>
        <w:rPr/>
        <w:t>及其他相关费用等。在建工程在达到预定可使用状态后结转为固定资产。 在建工程的减值测试方法和减值准备计提方法详见附注四、</w:t>
      </w:r>
      <w:r>
        <w:rPr>
          <w:rFonts w:ascii="宋体" w:hAnsi="宋体" w:cs="宋体" w:eastAsia="宋体" w:hint="default"/>
        </w:rPr>
        <w:t>19</w:t>
      </w:r>
      <w:r>
        <w:rPr/>
        <w:t>“长期资产减值”。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200"/>
      <w:bookmarkEnd w:id="20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3"/>
        </w:rPr>
        <w:t> </w:t>
      </w:r>
      <w:r>
        <w:rPr>
          <w:spacing w:val="-63"/>
        </w:rPr>
      </w:r>
      <w:r>
        <w:rPr/>
        <w:t>地产和存货等资产。 </w:t>
      </w:r>
      <w:r>
        <w:rPr>
          <w:spacing w:val="-2"/>
        </w:rPr>
        <w:t>如果符合资本化条件的资产在购建或生产过程中发生非正常中断、并且中断时间连续超过</w:t>
      </w:r>
      <w:r>
        <w:rPr>
          <w:rFonts w:ascii="宋体" w:hAnsi="宋体" w:cs="宋体" w:eastAsia="宋体" w:hint="default"/>
          <w:spacing w:val="-2"/>
        </w:rPr>
        <w:t>3</w:t>
      </w:r>
      <w:r>
        <w:rPr>
          <w:spacing w:val="-2"/>
        </w:rPr>
        <w:t>个月的，暂停借款费用的资本化，</w:t>
      </w:r>
      <w:r>
        <w:rPr>
          <w:spacing w:val="-62"/>
        </w:rPr>
        <w:t> </w:t>
      </w:r>
      <w:r>
        <w:rPr>
          <w:spacing w:val="-62"/>
        </w:rPr>
      </w:r>
      <w:r>
        <w:rPr/>
        <w:t>直至资产的购建或生产活动重新开始。</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9、生物资产" w:id="201"/>
      <w:bookmarkEnd w:id="20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202"/>
      <w:bookmarkEnd w:id="20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203"/>
      <w:bookmarkEnd w:id="20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0"/>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 </w:t>
      </w:r>
      <w:r>
        <w:rPr>
          <w:spacing w:val="-2"/>
        </w:rPr>
        <w:t>期末，对使用寿命有限的无形资产的使用寿命和摊销方法进行复核，如发生变更则作为会计估计变更处理。此外，还对使用</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1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0"/>
        <w:jc w:val="left"/>
      </w:pPr>
      <w:r>
        <w:rPr/>
        <w:t>① 完成该无形资产以使其能够使用或出售在技术上具有可行性；</w:t>
      </w:r>
    </w:p>
    <w:p>
      <w:pPr>
        <w:pStyle w:val="BodyText"/>
        <w:spacing w:line="240" w:lineRule="auto" w:before="76"/>
        <w:ind w:right="0"/>
        <w:jc w:val="left"/>
      </w:pPr>
      <w:r>
        <w:rPr/>
        <w:t>② 具有完成该无形资产并使用或出售的意图；</w:t>
      </w:r>
    </w:p>
    <w:p>
      <w:pPr>
        <w:pStyle w:val="BodyText"/>
        <w:spacing w:line="316" w:lineRule="auto" w:before="76"/>
        <w:ind w:right="1122"/>
        <w:jc w:val="left"/>
      </w:pPr>
      <w:r>
        <w:rPr/>
        <w:t>③ 无形资产产生经济利益的方式，包括能够证明运用该无形资产生产的产品存在市场或无形资产自身存在市场，无形资产 将在内部使用的，能够证明其有用性；</w:t>
      </w:r>
    </w:p>
    <w:p>
      <w:pPr>
        <w:pStyle w:val="BodyText"/>
        <w:spacing w:line="240" w:lineRule="auto" w:before="19"/>
        <w:ind w:right="0"/>
        <w:jc w:val="left"/>
      </w:pPr>
      <w:r>
        <w:rPr/>
        <w:t>④ 有足够的技术、财务资源和其他资源支持，以完成该无形资产的开发，并有能力使用或出售该无形资产；</w:t>
      </w:r>
    </w:p>
    <w:p>
      <w:pPr>
        <w:pStyle w:val="BodyText"/>
        <w:spacing w:line="316" w:lineRule="auto" w:before="76"/>
        <w:ind w:right="4272"/>
        <w:jc w:val="left"/>
      </w:pPr>
      <w:r>
        <w:rPr/>
        <w:t>⑤ 归属于该无形资产开发阶段的支出能够可靠地计量。 无法区分研究阶段支出和开发阶段支出的，将发生的研发支出全部计入当期损益。</w:t>
      </w:r>
    </w:p>
    <w:p>
      <w:pPr>
        <w:pStyle w:val="BodyText"/>
        <w:spacing w:line="316" w:lineRule="auto" w:before="19"/>
        <w:ind w:right="4182"/>
        <w:jc w:val="left"/>
      </w:pPr>
      <w:r>
        <w:rPr/>
        <w:t>（</w:t>
      </w:r>
      <w:r>
        <w:rPr>
          <w:rFonts w:ascii="宋体" w:hAnsi="宋体" w:cs="宋体" w:eastAsia="宋体" w:hint="default"/>
        </w:rPr>
        <w:t>3</w:t>
      </w:r>
      <w:r>
        <w:rPr/>
        <w:t>）无形资产的减值测试方法及减值准备计提方法 无形资产的减值测试方法和减值准备计提方法详见附注四、</w:t>
      </w:r>
      <w:r>
        <w:rPr>
          <w:rFonts w:ascii="宋体" w:hAnsi="宋体" w:cs="宋体" w:eastAsia="宋体" w:hint="default"/>
        </w:rPr>
        <w:t>19 </w:t>
      </w:r>
      <w:r>
        <w:rPr/>
        <w:t>“长期资产减值”。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长期资产减值" w:id="206"/>
      <w:bookmarkEnd w:id="20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207"/>
      <w:bookmarkEnd w:id="20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装修费等。长期待摊费用在预计受益期间按直线法摊销。</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职工薪酬" w:id="208"/>
      <w:bookmarkEnd w:id="20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9"/>
      <w:bookmarkEnd w:id="20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10"/>
      <w:bookmarkEnd w:id="21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离职后福利主要包括设定提存计划及设定受益计划。其中设定提存计划主要包括基本养老保险、失业保险以及年金等，相应</w:t>
      </w:r>
      <w:r>
        <w:rPr>
          <w:spacing w:val="-66"/>
        </w:rPr>
        <w:t> </w:t>
      </w:r>
      <w:r>
        <w:rPr>
          <w:spacing w:val="-66"/>
        </w:rPr>
      </w:r>
      <w:r>
        <w:rPr>
          <w:spacing w:val="-2"/>
        </w:rPr>
        <w:t>的应缴存金额于发生时计入相关资产成本或当期损益。本公司的设定受益计划，具体为根据预期累计福利单位法确定的公式</w:t>
      </w:r>
      <w:r>
        <w:rPr>
          <w:spacing w:val="-64"/>
        </w:rPr>
        <w:t> </w:t>
      </w:r>
      <w:r>
        <w:rPr>
          <w:spacing w:val="-64"/>
        </w:rPr>
      </w:r>
      <w:r>
        <w:rPr>
          <w:spacing w:val="-2"/>
        </w:rPr>
        <w:t>将设定受益计划产生的福利义务归属于职工提供服务的期间，并计入当期损益或相关资产成本。设定受益计划义务现值减去</w:t>
      </w:r>
      <w:r>
        <w:rPr>
          <w:spacing w:val="-64"/>
        </w:rPr>
        <w:t> </w:t>
      </w:r>
      <w:r>
        <w:rPr>
          <w:spacing w:val="-64"/>
        </w:rPr>
      </w:r>
      <w:r>
        <w:rPr>
          <w:spacing w:val="-2"/>
        </w:rPr>
        <w:t>设定受益计划资产公允价值所形成的赤字或盈余确认为一项设定受益计划净负债或净资产。设定受益计划存在盈余的，本公</w:t>
      </w:r>
      <w:r>
        <w:rPr>
          <w:spacing w:val="-64"/>
        </w:rPr>
        <w:t> </w:t>
      </w:r>
      <w:r>
        <w:rPr>
          <w:spacing w:val="-64"/>
        </w:rPr>
      </w:r>
      <w:r>
        <w:rPr/>
        <w:t>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t>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11"/>
      <w:bookmarkEnd w:id="21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w:t>
      </w:r>
      <w:r>
        <w:rPr>
          <w:spacing w:val="-9"/>
        </w:rPr>
        <w:t> </w:t>
      </w:r>
      <w:r>
        <w:rPr>
          <w:spacing w:val="-9"/>
        </w:rPr>
      </w:r>
      <w:r>
        <w:rPr/>
        <w:t>日，确认辞退福利产生的职工薪酬负债，并计入当期损益。但辞退福利预期在年度报告期结束后十二个月不能完全支付的， 按照其他长期职工薪酬处理。 </w:t>
      </w:r>
      <w:r>
        <w:rPr>
          <w:spacing w:val="-2"/>
        </w:rPr>
        <w:t>职工内部退休计划采用与上述辞退福利相同的原则处理。本公司将自职工停止提供服务日至正常退休日的期间拟支付的内退</w:t>
      </w:r>
      <w:r>
        <w:rPr>
          <w:spacing w:val="-63"/>
        </w:rPr>
        <w:t> </w:t>
      </w:r>
      <w:r>
        <w:rPr>
          <w:spacing w:val="-63"/>
        </w:rPr>
      </w:r>
      <w:r>
        <w:rPr/>
        <w:t>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12"/>
      <w:bookmarkEnd w:id="21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本公司向职工提供的其他长期职工福利，符合设定提存计划的，按照设定提存计划进行会计处理，除此之外按照设定受益计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213"/>
      <w:bookmarkEnd w:id="21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）该义务是本公司承担的现时义务；（</w:t>
      </w:r>
      <w:r>
        <w:rPr>
          <w:rFonts w:ascii="宋体" w:hAnsi="宋体" w:cs="宋体" w:eastAsia="宋体" w:hint="default"/>
          <w:spacing w:val="-2"/>
        </w:rPr>
        <w:t>2</w:t>
      </w:r>
      <w:r>
        <w:rPr>
          <w:spacing w:val="-2"/>
        </w:rPr>
        <w:t>）履行该义务很</w:t>
      </w:r>
      <w:r>
        <w:rPr>
          <w:spacing w:val="-64"/>
        </w:rPr>
        <w:t> </w:t>
      </w:r>
      <w:r>
        <w:rPr>
          <w:spacing w:val="-64"/>
        </w:rPr>
      </w:r>
      <w:r>
        <w:rPr/>
        <w:t>可能导致经济利益流出；（</w:t>
      </w:r>
      <w:r>
        <w:rPr>
          <w:rFonts w:ascii="宋体" w:hAnsi="宋体" w:cs="宋体" w:eastAsia="宋体"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16" w:lineRule="auto" w:before="19"/>
        <w:ind w:right="1122"/>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亏损合同是履行合同义务不可避免会发生的成本超过预期经济利益的合同。待执行合同变成亏损合同，且该亏损合同产生的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9" w:lineRule="auto" w:before="19"/>
        <w:ind w:right="1122"/>
        <w:jc w:val="left"/>
      </w:pPr>
      <w:r>
        <w:rPr/>
        <w:t>（</w:t>
      </w:r>
      <w:r>
        <w:rPr>
          <w:rFonts w:ascii="宋体" w:hAnsi="宋体" w:cs="宋体" w:eastAsia="宋体"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t>定预计负债金额。</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6、股份支付" w:id="214"/>
      <w:bookmarkEnd w:id="21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w:t>
      </w: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19"/>
        <w:ind w:right="0"/>
        <w:jc w:val="left"/>
      </w:pPr>
      <w:r>
        <w:rPr/>
        <w:t>① 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3"/>
        </w:rPr>
        <w:t> </w:t>
      </w:r>
      <w:r>
        <w:rPr>
          <w:spacing w:val="-63"/>
        </w:rPr>
      </w:r>
      <w:r>
        <w:rPr/>
        <w:t>计算计入相关成本或费用</w:t>
      </w:r>
      <w:r>
        <w:rPr>
          <w:rFonts w:ascii="宋体" w:hAnsi="宋体" w:cs="宋体" w:eastAsia="宋体"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16" w:lineRule="auto" w:before="19"/>
        <w:ind w:right="1032"/>
        <w:jc w:val="left"/>
      </w:pPr>
      <w:r>
        <w:rPr/>
        <w:t>② 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16" w:lineRule="auto" w:before="19"/>
        <w:ind w:right="0"/>
        <w:jc w:val="left"/>
      </w:pPr>
      <w:r>
        <w:rPr/>
        <w:t>（</w:t>
      </w:r>
      <w:r>
        <w:rPr>
          <w:rFonts w:ascii="宋体" w:hAnsi="宋体" w:cs="宋体" w:eastAsia="宋体"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5"/>
        </w:rPr>
        <w:t> </w:t>
      </w:r>
      <w:r>
        <w:rPr>
          <w:spacing w:val="-65"/>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15"/>
      <w:bookmarkEnd w:id="21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6"/>
      <w:bookmarkEnd w:id="21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0"/>
        <w:jc w:val="left"/>
      </w:pPr>
      <w:r>
        <w:rPr/>
        <w:t>（</w:t>
      </w:r>
      <w:r>
        <w:rPr>
          <w:rFonts w:ascii="宋体" w:hAnsi="宋体" w:cs="宋体" w:eastAsia="宋体" w:hint="default"/>
        </w:rPr>
        <w:t>1</w:t>
      </w:r>
      <w:r>
        <w:rPr/>
        <w:t>）商品销售收入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5532"/>
        <w:jc w:val="left"/>
      </w:pPr>
      <w:r>
        <w:rPr/>
        <w:t>确认商品销售收入的实现。 本公司按照销售商品收入确认方法，制定如下具体收入确认方法：</w:t>
      </w:r>
    </w:p>
    <w:p>
      <w:pPr>
        <w:pStyle w:val="BodyText"/>
        <w:spacing w:line="316" w:lineRule="auto" w:before="19"/>
        <w:ind w:right="0"/>
        <w:jc w:val="left"/>
      </w:pPr>
      <w:r>
        <w:rPr>
          <w:spacing w:val="-2"/>
        </w:rPr>
        <w:t>①系统集成销售收入确认原则：公司系统集成类产品的销售包括为客户提供方案设计、设备安装、调试及系统试运行等配套</w:t>
      </w:r>
      <w:r>
        <w:rPr>
          <w:spacing w:val="-66"/>
        </w:rPr>
        <w:t> </w:t>
      </w:r>
      <w:r>
        <w:rPr>
          <w:spacing w:val="-66"/>
        </w:rPr>
      </w:r>
      <w:r>
        <w:rPr/>
        <w:t>服务，经验收合格后确认销售收入。</w:t>
      </w:r>
    </w:p>
    <w:p>
      <w:pPr>
        <w:pStyle w:val="BodyText"/>
        <w:spacing w:line="240" w:lineRule="auto" w:before="19"/>
        <w:ind w:right="0"/>
        <w:jc w:val="left"/>
      </w:pPr>
      <w:r>
        <w:rPr/>
        <w:t>②其他一般销售商品收入，于发货经客户签收时确认收入。</w:t>
      </w:r>
    </w:p>
    <w:p>
      <w:pPr>
        <w:pStyle w:val="BodyText"/>
        <w:spacing w:line="316" w:lineRule="auto" w:before="76"/>
        <w:ind w:right="0"/>
        <w:jc w:val="left"/>
      </w:pPr>
      <w:r>
        <w:rPr/>
        <w:t>（</w:t>
      </w:r>
      <w:r>
        <w:rPr>
          <w:rFonts w:ascii="宋体" w:hAnsi="宋体" w:cs="宋体" w:eastAsia="宋体" w:hint="default"/>
        </w:rPr>
        <w:t>2</w:t>
      </w:r>
      <w:r>
        <w:rPr/>
        <w:t>）提供劳务收入 </w:t>
      </w:r>
      <w:r>
        <w:rPr>
          <w:spacing w:val="-2"/>
        </w:rPr>
        <w:t>在资产负债表日提供劳务交易的结果能够可靠估计的，采用完工百分比法确认提供劳务收入。提供劳务交易的完工进度，按</w:t>
      </w:r>
      <w:r>
        <w:rPr>
          <w:spacing w:val="-66"/>
        </w:rPr>
        <w:t> </w:t>
      </w:r>
      <w:r>
        <w:rPr>
          <w:spacing w:val="-66"/>
        </w:rPr>
      </w:r>
      <w:r>
        <w:rPr/>
        <w:t>照累计实际发生的合同成本占合同预计总成本的比例确定。 </w:t>
      </w:r>
      <w:r>
        <w:rPr>
          <w:spacing w:val="-2"/>
        </w:rPr>
        <w:t>按照已收或应收的合同或协议价款确定提供劳务收入总额，但已收或应收的合同或协议价款不公允的除外。资产负债表日按</w:t>
      </w:r>
      <w:r>
        <w:rPr>
          <w:spacing w:val="-63"/>
        </w:rPr>
        <w:t> </w:t>
      </w:r>
      <w:r>
        <w:rPr>
          <w:spacing w:val="-63"/>
        </w:rPr>
      </w: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240" w:lineRule="auto" w:before="19"/>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316" w:lineRule="auto" w:before="76"/>
        <w:ind w:right="1032"/>
        <w:jc w:val="left"/>
      </w:pPr>
      <w:r>
        <w:rPr/>
        <w:t>②已经发生的劳务成本预计不能够得到补偿的，将已经发生的劳务成本计入当期损益，不确认提供劳务收入。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spacing w:line="307" w:lineRule="auto" w:before="19"/>
        <w:ind w:left="154" w:right="11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）建造合同收入 </w:t>
      </w:r>
      <w:r>
        <w:rPr>
          <w:rFonts w:ascii="宋体" w:hAnsi="宋体" w:cs="宋体" w:eastAsia="宋体" w:hint="default"/>
          <w:i/>
          <w:spacing w:val="-2"/>
          <w:w w:val="95"/>
          <w:sz w:val="19"/>
          <w:szCs w:val="19"/>
        </w:rPr>
        <w:t>在建造合同的结果能够可靠估计的情况下，于资产负债表日按照完工百分比法确认合同收入和合同费用。合同完工进度按累</w:t>
      </w:r>
      <w:r>
        <w:rPr>
          <w:rFonts w:ascii="宋体" w:hAnsi="宋体" w:cs="宋体" w:eastAsia="宋体" w:hint="default"/>
          <w:i/>
          <w:w w:val="94"/>
          <w:sz w:val="19"/>
          <w:szCs w:val="19"/>
        </w:rPr>
        <w:t> </w:t>
      </w:r>
      <w:r>
        <w:rPr>
          <w:rFonts w:ascii="宋体" w:hAnsi="宋体" w:cs="宋体" w:eastAsia="宋体" w:hint="default"/>
          <w:i/>
          <w:sz w:val="19"/>
          <w:szCs w:val="19"/>
        </w:rPr>
        <w:t>计实际发生的合同成本占合同预计总成本的比例确定。</w:t>
      </w:r>
      <w:r>
        <w:rPr>
          <w:rFonts w:ascii="宋体" w:hAnsi="宋体" w:cs="宋体" w:eastAsia="宋体" w:hint="default"/>
          <w:i/>
          <w:w w:val="94"/>
          <w:sz w:val="19"/>
          <w:szCs w:val="19"/>
        </w:rPr>
        <w:t> </w:t>
      </w:r>
      <w:r>
        <w:rPr>
          <w:rFonts w:ascii="宋体" w:hAnsi="宋体" w:cs="宋体" w:eastAsia="宋体" w:hint="default"/>
          <w:i/>
          <w:spacing w:val="-2"/>
          <w:w w:val="95"/>
          <w:sz w:val="19"/>
          <w:szCs w:val="19"/>
        </w:rPr>
        <w:t>建造合同的结果能够可靠估计是指同时满足：①合同总收入能够可靠地计量；②与合同相关的经济利益很可能流入企业；③</w:t>
      </w:r>
      <w:r>
        <w:rPr>
          <w:rFonts w:ascii="宋体" w:hAnsi="宋体" w:cs="宋体" w:eastAsia="宋体" w:hint="default"/>
          <w:i/>
          <w:w w:val="94"/>
          <w:sz w:val="19"/>
          <w:szCs w:val="19"/>
        </w:rPr>
        <w:t> </w:t>
      </w:r>
      <w:r>
        <w:rPr>
          <w:rFonts w:ascii="宋体" w:hAnsi="宋体" w:cs="宋体" w:eastAsia="宋体" w:hint="default"/>
          <w:i/>
          <w:w w:val="95"/>
          <w:sz w:val="19"/>
          <w:szCs w:val="19"/>
        </w:rPr>
        <w:t>实际发生的合同成本能够清楚地区分和可靠地计量；④合同完工进度和为完成合同尚需发生的成本能够可靠地确定。</w:t>
      </w:r>
      <w:r>
        <w:rPr>
          <w:rFonts w:ascii="宋体" w:hAnsi="宋体" w:cs="宋体" w:eastAsia="宋体" w:hint="default"/>
          <w:i/>
          <w:w w:val="94"/>
          <w:sz w:val="19"/>
          <w:szCs w:val="19"/>
        </w:rPr>
        <w:t> </w:t>
      </w:r>
      <w:r>
        <w:rPr>
          <w:rFonts w:ascii="宋体" w:hAnsi="宋体" w:cs="宋体" w:eastAsia="宋体" w:hint="default"/>
          <w:i/>
          <w:spacing w:val="-2"/>
          <w:w w:val="95"/>
          <w:sz w:val="19"/>
          <w:szCs w:val="19"/>
        </w:rPr>
        <w:t>如建造合同的结果不能可靠地估计，但合同成本能够收回的，合同收入根据能够收回的实际合同成本予以确认，合同成本在</w:t>
      </w:r>
      <w:r>
        <w:rPr>
          <w:rFonts w:ascii="宋体" w:hAnsi="宋体" w:cs="宋体" w:eastAsia="宋体" w:hint="default"/>
          <w:i/>
          <w:w w:val="94"/>
          <w:sz w:val="19"/>
          <w:szCs w:val="19"/>
        </w:rPr>
        <w:t> </w:t>
      </w:r>
      <w:r>
        <w:rPr>
          <w:rFonts w:ascii="宋体" w:hAnsi="宋体" w:cs="宋体" w:eastAsia="宋体" w:hint="default"/>
          <w:i/>
          <w:spacing w:val="-2"/>
          <w:w w:val="95"/>
          <w:sz w:val="19"/>
          <w:szCs w:val="19"/>
        </w:rPr>
        <w:t>其发生的当期确认为合同费用；合同成本不可能收回的，在发生时立即确认为合同费用，不确认合同收入。使建造合同的结</w:t>
      </w:r>
      <w:r>
        <w:rPr>
          <w:rFonts w:ascii="宋体" w:hAnsi="宋体" w:cs="宋体" w:eastAsia="宋体" w:hint="default"/>
          <w:i/>
          <w:w w:val="94"/>
          <w:sz w:val="19"/>
          <w:szCs w:val="19"/>
        </w:rPr>
        <w:t> </w:t>
      </w:r>
      <w:r>
        <w:rPr>
          <w:rFonts w:ascii="宋体" w:hAnsi="宋体" w:cs="宋体" w:eastAsia="宋体" w:hint="default"/>
          <w:i/>
          <w:sz w:val="19"/>
          <w:szCs w:val="19"/>
        </w:rPr>
        <w:t>果不能可靠估计的不确定因素不复存在的，按照完工百分比法确定与建造合同有关的收入和费用。</w:t>
      </w:r>
      <w:r>
        <w:rPr>
          <w:rFonts w:ascii="宋体" w:hAnsi="宋体" w:cs="宋体" w:eastAsia="宋体" w:hint="default"/>
          <w:i/>
          <w:w w:val="94"/>
          <w:sz w:val="19"/>
          <w:szCs w:val="19"/>
        </w:rPr>
        <w:t> </w:t>
      </w:r>
      <w:r>
        <w:rPr>
          <w:rFonts w:ascii="宋体" w:hAnsi="宋体" w:cs="宋体" w:eastAsia="宋体" w:hint="default"/>
          <w:sz w:val="18"/>
          <w:szCs w:val="18"/>
        </w:rPr>
        <w:t>合同预计总成本超过合同总收入的，将预计损失确认为当期费用。 </w:t>
      </w:r>
      <w:r>
        <w:rPr>
          <w:rFonts w:ascii="宋体" w:hAnsi="宋体" w:cs="宋体" w:eastAsia="宋体" w:hint="default"/>
          <w:spacing w:val="-2"/>
          <w:sz w:val="18"/>
          <w:szCs w:val="18"/>
        </w:rPr>
        <w:t>在建合同累计已发生的成本和累计已确认的毛利</w:t>
      </w:r>
      <w:r>
        <w:rPr>
          <w:rFonts w:ascii="宋体" w:hAnsi="宋体" w:cs="宋体" w:eastAsia="宋体" w:hint="default"/>
          <w:spacing w:val="-2"/>
          <w:sz w:val="18"/>
          <w:szCs w:val="18"/>
        </w:rPr>
        <w:t>(</w:t>
      </w:r>
      <w:r>
        <w:rPr>
          <w:rFonts w:ascii="宋体" w:hAnsi="宋体" w:cs="宋体" w:eastAsia="宋体" w:hint="default"/>
          <w:spacing w:val="-2"/>
          <w:sz w:val="18"/>
          <w:szCs w:val="18"/>
        </w:rPr>
        <w:t>亏损</w:t>
      </w:r>
      <w:r>
        <w:rPr>
          <w:rFonts w:ascii="宋体" w:hAnsi="宋体" w:cs="宋体" w:eastAsia="宋体" w:hint="default"/>
          <w:spacing w:val="-2"/>
          <w:sz w:val="18"/>
          <w:szCs w:val="18"/>
        </w:rPr>
        <w:t>)</w:t>
      </w:r>
      <w:r>
        <w:rPr>
          <w:rFonts w:ascii="宋体" w:hAnsi="宋体" w:cs="宋体" w:eastAsia="宋体" w:hint="default"/>
          <w:spacing w:val="-2"/>
          <w:sz w:val="18"/>
          <w:szCs w:val="18"/>
        </w:rPr>
        <w:t>与已结算的价款在资产负债表中以抵销后的净额列示。在建合同累计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已发生的成本和累计已确认的毛利</w:t>
      </w:r>
      <w:r>
        <w:rPr>
          <w:rFonts w:ascii="宋体" w:hAnsi="宋体" w:cs="宋体" w:eastAsia="宋体" w:hint="default"/>
          <w:spacing w:val="-2"/>
          <w:sz w:val="18"/>
          <w:szCs w:val="18"/>
        </w:rPr>
        <w:t>(</w:t>
      </w:r>
      <w:r>
        <w:rPr>
          <w:rFonts w:ascii="宋体" w:hAnsi="宋体" w:cs="宋体" w:eastAsia="宋体" w:hint="default"/>
          <w:spacing w:val="-2"/>
          <w:sz w:val="18"/>
          <w:szCs w:val="18"/>
        </w:rPr>
        <w:t>亏损</w:t>
      </w:r>
      <w:r>
        <w:rPr>
          <w:rFonts w:ascii="宋体" w:hAnsi="宋体" w:cs="宋体" w:eastAsia="宋体" w:hint="default"/>
          <w:spacing w:val="-2"/>
          <w:sz w:val="18"/>
          <w:szCs w:val="18"/>
        </w:rPr>
        <w:t>)</w:t>
      </w:r>
      <w:r>
        <w:rPr>
          <w:rFonts w:ascii="宋体" w:hAnsi="宋体" w:cs="宋体" w:eastAsia="宋体" w:hint="default"/>
          <w:spacing w:val="-2"/>
          <w:sz w:val="18"/>
          <w:szCs w:val="18"/>
        </w:rPr>
        <w:t>之和超过已结算价款的部分作为存货列示；在建合同已结算的价款超过累计已发生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的成本与累计已确认的毛利</w:t>
      </w:r>
      <w:r>
        <w:rPr>
          <w:rFonts w:ascii="宋体" w:hAnsi="宋体" w:cs="宋体" w:eastAsia="宋体" w:hint="default"/>
          <w:sz w:val="18"/>
          <w:szCs w:val="18"/>
        </w:rPr>
        <w:t>(</w:t>
      </w:r>
      <w:r>
        <w:rPr>
          <w:rFonts w:ascii="宋体" w:hAnsi="宋体" w:cs="宋体" w:eastAsia="宋体" w:hint="default"/>
          <w:sz w:val="18"/>
          <w:szCs w:val="18"/>
        </w:rPr>
        <w:t>亏损</w:t>
      </w:r>
      <w:r>
        <w:rPr>
          <w:rFonts w:ascii="宋体" w:hAnsi="宋体" w:cs="宋体" w:eastAsia="宋体" w:hint="default"/>
          <w:sz w:val="18"/>
          <w:szCs w:val="18"/>
        </w:rPr>
        <w:t>)</w:t>
      </w:r>
      <w:r>
        <w:rPr>
          <w:rFonts w:ascii="宋体" w:hAnsi="宋体" w:cs="宋体" w:eastAsia="宋体" w:hint="default"/>
          <w:sz w:val="18"/>
          <w:szCs w:val="18"/>
        </w:rPr>
        <w:t>之和的部分作为预收款项列示。</w:t>
      </w:r>
    </w:p>
    <w:p>
      <w:pPr>
        <w:pStyle w:val="BodyText"/>
        <w:spacing w:line="316" w:lineRule="auto" w:before="26"/>
        <w:ind w:right="1030"/>
        <w:jc w:val="left"/>
      </w:pPr>
      <w:r>
        <w:rPr>
          <w:spacing w:val="-2"/>
        </w:rPr>
        <w:t>公司</w:t>
      </w:r>
      <w:r>
        <w:rPr>
          <w:rFonts w:ascii="宋体" w:hAnsi="宋体" w:cs="宋体" w:eastAsia="宋体" w:hint="default"/>
          <w:spacing w:val="-2"/>
        </w:rPr>
        <w:t>BT</w:t>
      </w:r>
      <w:r>
        <w:rPr>
          <w:spacing w:val="-2"/>
        </w:rPr>
        <w:t>业务的按照《企业会计准</w:t>
      </w:r>
      <w:r>
        <w:rPr>
          <w:rFonts w:ascii="宋体" w:hAnsi="宋体" w:cs="宋体" w:eastAsia="宋体" w:hint="default"/>
          <w:spacing w:val="-2"/>
        </w:rPr>
        <w:t>15</w:t>
      </w:r>
      <w:r>
        <w:rPr>
          <w:rFonts w:ascii="宋体" w:hAnsi="宋体" w:cs="宋体" w:eastAsia="宋体" w:hint="default"/>
          <w:spacing w:val="24"/>
        </w:rPr>
        <w:t> </w:t>
      </w:r>
      <w:r>
        <w:rPr>
          <w:spacing w:val="-2"/>
        </w:rPr>
        <w:t>号——建造合同》确认相关的收入和成本，建造合同收入按应收取对价的公允价值计量，</w:t>
      </w:r>
      <w:r>
        <w:rPr>
          <w:spacing w:val="-88"/>
        </w:rPr>
        <w:t> </w:t>
      </w:r>
      <w:r>
        <w:rPr>
          <w:spacing w:val="-88"/>
        </w:rPr>
      </w:r>
      <w:r>
        <w:rPr>
          <w:spacing w:val="-4"/>
        </w:rPr>
        <w:t>同时确认长期应收款。长期应收款采用摊余成本计量并按期确认利息收入，实际利率在长期应收款存续期间内一般保持不变。</w:t>
      </w:r>
      <w:r>
        <w:rPr>
          <w:spacing w:val="-44"/>
        </w:rPr>
        <w:t> </w:t>
      </w:r>
      <w:r>
        <w:rPr>
          <w:spacing w:val="-44"/>
        </w:rPr>
      </w:r>
      <w:r>
        <w:rPr>
          <w:rFonts w:ascii="宋体" w:hAnsi="宋体" w:cs="宋体" w:eastAsia="宋体" w:hint="default"/>
        </w:rPr>
        <w:t>BT </w:t>
      </w:r>
      <w:r>
        <w:rPr/>
        <w:t>项目涉及的长期应收款原则上不计提坏账准备，如有确凿证据表明不能收回或收回可能性不大时，则按其不可收回金额 计提坏账准备。</w:t>
      </w:r>
    </w:p>
    <w:p>
      <w:pPr>
        <w:pStyle w:val="BodyText"/>
        <w:spacing w:line="240" w:lineRule="auto" w:before="19"/>
        <w:ind w:right="0"/>
        <w:jc w:val="left"/>
      </w:pPr>
      <w:r>
        <w:rPr/>
        <w:t>（</w:t>
      </w:r>
      <w:r>
        <w:rPr>
          <w:rFonts w:ascii="宋体" w:hAnsi="宋体" w:cs="宋体" w:eastAsia="宋体" w:hint="default"/>
        </w:rPr>
        <w:t>4</w:t>
      </w:r>
      <w:r>
        <w:rPr/>
        <w:t>）使用费收入</w:t>
      </w:r>
    </w:p>
    <w:p>
      <w:pPr>
        <w:pStyle w:val="Heading4"/>
        <w:spacing w:line="240" w:lineRule="auto"/>
        <w:ind w:right="0"/>
        <w:jc w:val="left"/>
        <w:rPr>
          <w:i w:val="0"/>
        </w:rPr>
      </w:pPr>
      <w:r>
        <w:rPr/>
        <w:t>根据有关合同或协议，按权责发生制确认收入。</w:t>
      </w:r>
      <w:r>
        <w:rPr>
          <w:i w:val="0"/>
        </w:rPr>
      </w:r>
    </w:p>
    <w:p>
      <w:pPr>
        <w:pStyle w:val="BodyText"/>
        <w:spacing w:line="240" w:lineRule="auto" w:before="75"/>
        <w:ind w:right="0"/>
        <w:jc w:val="left"/>
      </w:pPr>
      <w:r>
        <w:rPr/>
        <w:t>（</w:t>
      </w:r>
      <w:r>
        <w:rPr>
          <w:rFonts w:ascii="宋体" w:hAnsi="宋体" w:cs="宋体" w:eastAsia="宋体" w:hint="default"/>
        </w:rPr>
        <w:t>5</w:t>
      </w:r>
      <w:r>
        <w:rPr/>
        <w:t>）利息收入</w:t>
      </w:r>
    </w:p>
    <w:p>
      <w:pPr>
        <w:pStyle w:val="Heading4"/>
        <w:spacing w:line="240" w:lineRule="auto"/>
        <w:ind w:right="0"/>
        <w:jc w:val="left"/>
        <w:rPr>
          <w:i w:val="0"/>
        </w:rPr>
      </w:pPr>
      <w:r>
        <w:rPr/>
        <w:t>按照他人使用本公司货币资金的时间和实际利率计算确定。</w:t>
      </w:r>
      <w:r>
        <w:rPr>
          <w:i w:val="0"/>
        </w:rPr>
      </w:r>
    </w:p>
    <w:p>
      <w:pPr>
        <w:spacing w:line="240" w:lineRule="auto" w:before="11"/>
        <w:rPr>
          <w:rFonts w:ascii="宋体" w:hAnsi="宋体" w:cs="宋体" w:eastAsia="宋体" w:hint="default"/>
          <w:i/>
          <w:sz w:val="26"/>
          <w:szCs w:val="26"/>
        </w:rPr>
      </w:pPr>
    </w:p>
    <w:p>
      <w:pPr>
        <w:pStyle w:val="Heading3"/>
        <w:spacing w:line="240" w:lineRule="auto"/>
        <w:ind w:right="0"/>
        <w:jc w:val="left"/>
        <w:rPr>
          <w:b w:val="0"/>
          <w:bCs w:val="0"/>
        </w:rPr>
      </w:pPr>
      <w:bookmarkStart w:name="29、政府补助" w:id="217"/>
      <w:bookmarkEnd w:id="21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政府补助是指本公司从政府无偿取得货币性资产和非货币性资产，不包括政府以投资者身份并享有相应所有者权益而投入的</w:t>
      </w:r>
      <w:r>
        <w:rPr>
          <w:spacing w:val="-64"/>
        </w:rPr>
        <w:t> </w:t>
      </w:r>
      <w:r>
        <w:rPr>
          <w:spacing w:val="-64"/>
        </w:rPr>
      </w:r>
      <w:r>
        <w:rPr>
          <w:spacing w:val="-2"/>
        </w:rPr>
        <w:t>资本。政府补助分为与资产相关的政府补助和与收益相关的政府补助。本公司将所取得的用于构建或以其他方式形成长期资</w:t>
      </w:r>
      <w:r>
        <w:rPr>
          <w:spacing w:val="-64"/>
        </w:rPr>
        <w:t> </w:t>
      </w:r>
      <w:r>
        <w:rPr>
          <w:spacing w:val="-64"/>
        </w:rPr>
      </w:r>
      <w:r>
        <w:rPr>
          <w:spacing w:val="-4"/>
        </w:rPr>
        <w:t>产的政府补助界定为与资产相关的政府补助；其余政府补助界定为与收益相关的政府补助。若政府文件未明确规定补助对象，</w:t>
      </w:r>
      <w:r>
        <w:rPr>
          <w:spacing w:val="-44"/>
        </w:rPr>
        <w:t> </w:t>
      </w:r>
      <w:r>
        <w:rPr>
          <w:spacing w:val="-44"/>
        </w:rPr>
      </w:r>
      <w:r>
        <w:rPr/>
        <w:t>则采用以下方式将补助款划分为与资产相关的政府补助和与收益相关的政府补助：（</w:t>
      </w:r>
      <w:r>
        <w:rPr>
          <w:rFonts w:ascii="宋体" w:hAnsi="宋体" w:cs="宋体" w:eastAsia="宋体" w:hint="default"/>
        </w:rPr>
        <w:t>1</w:t>
      </w:r>
      <w:r>
        <w:rPr/>
        <w:t>）政府文件明确了补助所针对的特定</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目的，根据该特定项目的预算中将形成资产的支出金额和计入费用的支出金额的相对比例进行划分，对该划分比例需在每个</w:t>
      </w:r>
      <w:r>
        <w:rPr>
          <w:spacing w:val="-64"/>
        </w:rPr>
        <w:t> </w:t>
      </w:r>
      <w:r>
        <w:rPr>
          <w:spacing w:val="-64"/>
        </w:rPr>
      </w:r>
      <w:r>
        <w:rPr/>
        <w:t>资产负债表日进行复核，必要时进行变更；（</w:t>
      </w:r>
      <w:r>
        <w:rPr>
          <w:rFonts w:ascii="宋体" w:hAnsi="宋体" w:cs="宋体" w:eastAsia="宋体" w:hint="default"/>
        </w:rPr>
        <w:t>2</w:t>
      </w:r>
      <w:r>
        <w:rPr/>
        <w:t>）政府文件中对用途仅做一般性表述，没有指明特定项目的，作为与收益相 关的政府补助。政府补助为货币性资产的，按照收到或应收的金额计量。政府补助为非货币性资产的，按照公允价值计量； 公允价值不能够可靠取得的，按照名义金额计量。按照名义金额计量的政府补助，直接计入当期损益。 </w:t>
      </w:r>
      <w:r>
        <w:rPr>
          <w:spacing w:val="-2"/>
        </w:rPr>
        <w:t>本公司对于政府补助通常在实际收到时，按照实收金额予以确认和计量。但对于期末有确凿证据表明能够符合财政扶持政策</w:t>
      </w:r>
      <w:r>
        <w:rPr>
          <w:spacing w:val="-64"/>
        </w:rPr>
        <w:t> </w:t>
      </w:r>
      <w:r>
        <w:rPr>
          <w:spacing w:val="-64"/>
        </w:rPr>
      </w:r>
      <w:r>
        <w:rPr>
          <w:spacing w:val="-5"/>
        </w:rPr>
        <w:t>规定的相关条件预计能够收到财政扶持资金，按照应收的金额计量。按照应收金额计量的政府补助应同时符合以下条件：（</w:t>
      </w:r>
      <w:r>
        <w:rPr>
          <w:rFonts w:ascii="宋体" w:hAnsi="宋体" w:cs="宋体" w:eastAsia="宋体" w:hint="default"/>
          <w:spacing w:val="-5"/>
        </w:rPr>
        <w:t>1</w:t>
      </w:r>
      <w:r>
        <w:rPr>
          <w:spacing w:val="-5"/>
        </w:rPr>
        <w:t>）</w:t>
      </w:r>
      <w:r>
        <w:rPr>
          <w:spacing w:val="-75"/>
        </w:rPr>
        <w:t> </w:t>
      </w:r>
      <w:r>
        <w:rPr>
          <w:spacing w:val="-2"/>
        </w:rPr>
        <w:t>应收补助款的金额已经过有权政府部门发文确认，或者可根据正式发布的财政资金管理办法的有关规定自行合理测算，且预</w:t>
      </w:r>
      <w:r>
        <w:rPr>
          <w:spacing w:val="-64"/>
        </w:rPr>
        <w:t> </w:t>
      </w:r>
      <w:r>
        <w:rPr>
          <w:spacing w:val="-64"/>
        </w:rPr>
      </w:r>
      <w:r>
        <w:rPr/>
        <w:t>计其金额不存在重大不确定性；（</w:t>
      </w:r>
      <w:r>
        <w:rPr>
          <w:rFonts w:ascii="宋体" w:hAnsi="宋体" w:cs="宋体" w:eastAsia="宋体" w:hint="default"/>
        </w:rPr>
        <w:t>2</w:t>
      </w:r>
      <w:r>
        <w:rPr/>
        <w:t>）所依据的是当地财政部门正式发布并按照《政府信息公开条例》的规定予以主动公开 </w:t>
      </w:r>
      <w:r>
        <w:rPr>
          <w:spacing w:val="-2"/>
        </w:rPr>
        <w:t>的财政扶持项目及其财政资金管理办法，且该管理办法应当是普惠性的（任何符合规定条件的企业均可申请），而不是专门</w:t>
      </w:r>
      <w:r>
        <w:rPr>
          <w:spacing w:val="-66"/>
        </w:rPr>
        <w:t> </w:t>
      </w:r>
      <w:r>
        <w:rPr>
          <w:spacing w:val="-66"/>
        </w:rPr>
      </w:r>
      <w:r>
        <w:rPr/>
        <w:t>针对特定企业制定的；（</w:t>
      </w:r>
      <w:r>
        <w:rPr>
          <w:rFonts w:ascii="宋体" w:hAnsi="宋体" w:cs="宋体" w:eastAsia="宋体" w:hint="default"/>
        </w:rPr>
        <w:t>3</w:t>
      </w:r>
      <w:r>
        <w:rPr/>
        <w:t>）相关的补助款批文中已明确承诺了拨付期限，且该款项的拨付是有相应财政预算作为保障的， 因而可以合理保证其可在规定期限内收到；（</w:t>
      </w:r>
      <w:r>
        <w:rPr>
          <w:rFonts w:ascii="宋体" w:hAnsi="宋体" w:cs="宋体" w:eastAsia="宋体" w:hint="default"/>
        </w:rPr>
        <w:t>4</w:t>
      </w:r>
      <w:r>
        <w:rPr/>
        <w:t>）根据本公司和该补助事项的具体情况，应满足的其他相关条件（如有）。 </w:t>
      </w:r>
      <w:r>
        <w:rPr>
          <w:spacing w:val="-2"/>
        </w:rPr>
        <w:t>与资产相关的政府补助，确认为递延收益，并在相关资产的使用寿命内按照合理、系统的方法分期计入当期损益。与收益相</w:t>
      </w:r>
      <w:r>
        <w:rPr>
          <w:spacing w:val="-66"/>
        </w:rPr>
        <w:t> </w:t>
      </w:r>
      <w:r>
        <w:rPr>
          <w:spacing w:val="-66"/>
        </w:rPr>
      </w:r>
      <w:r>
        <w:rPr>
          <w:spacing w:val="-2"/>
        </w:rPr>
        <w:t>关的政府补助，用于补偿以后期间的相关成本费用或损失的，确认为递延收益，并在确认相关成本费用或损失的期间计入当</w:t>
      </w:r>
      <w:r>
        <w:rPr>
          <w:spacing w:val="-65"/>
        </w:rPr>
        <w:t> </w:t>
      </w:r>
      <w:r>
        <w:rPr>
          <w:spacing w:val="-65"/>
        </w:rPr>
      </w:r>
      <w:r>
        <w:rPr/>
        <w:t>期损益；用于补偿已经发生的相关成本费用或损失的，直接计入当期损益。 </w:t>
      </w:r>
      <w:r>
        <w:rPr>
          <w:spacing w:val="-2"/>
        </w:rPr>
        <w:t>同时包含与资产相关部分和与收益相关部分的政府补助，区分不同部分分别进行会计处理；难以区分的，将其整体归类为与</w:t>
      </w:r>
      <w:r>
        <w:rPr>
          <w:spacing w:val="-66"/>
        </w:rPr>
        <w:t> </w:t>
      </w:r>
      <w:r>
        <w:rPr>
          <w:spacing w:val="-66"/>
        </w:rPr>
      </w:r>
      <w:r>
        <w:rPr/>
        <w:t>收益相关的政府补助。 </w:t>
      </w:r>
      <w:r>
        <w:rPr>
          <w:spacing w:val="-4"/>
        </w:rPr>
        <w:t>与本公司日常活动相关的政府补助，按照经济业务的实质，计入其他收益或冲减相关成本费用；与日常活动无关的政府补助，</w:t>
      </w:r>
      <w:r>
        <w:rPr>
          <w:spacing w:val="-44"/>
        </w:rPr>
        <w:t> </w:t>
      </w:r>
      <w:r>
        <w:rPr>
          <w:spacing w:val="-44"/>
        </w:rPr>
      </w:r>
      <w:r>
        <w:rPr/>
        <w:t>计入营业外收支。 </w:t>
      </w:r>
      <w:r>
        <w:rPr>
          <w:spacing w:val="-2"/>
        </w:rPr>
        <w:t>已确认的政府补助需要退回时，存在相关递延收益余额的，冲减相关递延收益账面余额，超出部分计入当期损益或对初始确</w:t>
      </w:r>
      <w:r>
        <w:rPr>
          <w:spacing w:val="-66"/>
        </w:rPr>
        <w:t> </w:t>
      </w:r>
      <w:r>
        <w:rPr>
          <w:spacing w:val="-66"/>
        </w:rPr>
      </w:r>
      <w:r>
        <w:rPr/>
        <w:t>认时冲减相关资产账面价值的与资产相关的政府补助）调整资产账面价值；属于其他情况的，直接计入当期损益。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19"/>
        <w:ind w:right="1032"/>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 </w:t>
      </w: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19" w:lineRule="auto" w:before="19"/>
        <w:ind w:right="7332"/>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7"/>
        <w:ind w:right="0"/>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6" w:lineRule="auto" w:before="19"/>
        <w:ind w:right="0"/>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融资租赁为实质上转移了与资产所有权有关的全部风险和报酬的租赁，其所有权最终可能转移，也可能不转移。融资租赁以</w:t>
      </w:r>
      <w:r>
        <w:rPr>
          <w:spacing w:val="-66"/>
        </w:rPr>
        <w:t> </w:t>
      </w:r>
      <w:r>
        <w:rPr>
          <w:spacing w:val="-66"/>
        </w:rPr>
      </w:r>
      <w:r>
        <w:rPr/>
        <w:t>外的其他租赁为经营租赁。</w:t>
      </w:r>
    </w:p>
    <w:p>
      <w:pPr>
        <w:pStyle w:val="BodyText"/>
        <w:spacing w:line="319" w:lineRule="auto" w:before="19"/>
        <w:ind w:right="0"/>
        <w:jc w:val="left"/>
      </w:pPr>
      <w:r>
        <w:rPr/>
        <w:t>（</w:t>
      </w: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6" w:lineRule="auto" w:before="17"/>
        <w:ind w:right="1032"/>
        <w:jc w:val="left"/>
      </w:pPr>
      <w:r>
        <w:rPr/>
        <w:t>（</w:t>
      </w:r>
      <w:r>
        <w:rPr>
          <w:rFonts w:ascii="宋体" w:hAnsi="宋体" w:cs="宋体" w:eastAsia="宋体"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t>（</w:t>
      </w:r>
      <w:r>
        <w:rPr>
          <w:rFonts w:ascii="宋体" w:hAnsi="宋体" w:cs="宋体" w:eastAsia="宋体" w:hint="default"/>
        </w:rPr>
        <w:t>1</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9" w:lineRule="auto" w:before="19"/>
        <w:ind w:right="0"/>
        <w:jc w:val="left"/>
      </w:pPr>
      <w:r>
        <w:rPr/>
        <w:t>（</w:t>
      </w:r>
      <w:r>
        <w:rPr>
          <w:rFonts w:ascii="宋体" w:hAnsi="宋体" w:cs="宋体" w:eastAsia="宋体" w:hint="default"/>
        </w:rPr>
        <w:t>2</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其他重要的会计政策和会计估计" w:id="222"/>
      <w:bookmarkEnd w:id="22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t>（</w:t>
      </w:r>
      <w:r>
        <w:rPr>
          <w:rFonts w:ascii="宋体" w:hAnsi="宋体" w:cs="宋体" w:eastAsia="宋体" w:hint="default"/>
        </w:rPr>
        <w:t>1</w:t>
      </w:r>
      <w:r>
        <w:rPr/>
        <w:t>）会计政策变更 财政部于</w:t>
      </w:r>
      <w:r>
        <w:rPr>
          <w:rFonts w:ascii="宋体" w:hAnsi="宋体" w:cs="宋体" w:eastAsia="宋体" w:hint="default"/>
        </w:rPr>
        <w:t>2018</w:t>
      </w:r>
      <w:r>
        <w:rPr/>
        <w:t>年</w:t>
      </w:r>
      <w:r>
        <w:rPr>
          <w:rFonts w:ascii="宋体" w:hAnsi="宋体" w:cs="宋体" w:eastAsia="宋体" w:hint="default"/>
        </w:rPr>
        <w:t>6</w:t>
      </w:r>
      <w:r>
        <w:rPr/>
        <w:t>月发布了《关于修订印发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w:t>
      </w:r>
      <w:r>
        <w:rPr/>
        <w:t>】</w:t>
      </w:r>
      <w:r>
        <w:rPr>
          <w:rFonts w:ascii="宋体" w:hAnsi="宋体" w:cs="宋体" w:eastAsia="宋体" w:hint="default"/>
        </w:rPr>
        <w:t>15</w:t>
      </w:r>
      <w:r>
        <w:rPr/>
        <w:t>号）（以下简称“通 </w:t>
      </w:r>
      <w:r>
        <w:rPr>
          <w:spacing w:val="-4"/>
        </w:rPr>
        <w:t>知”），本公司根据相关要求按照一般企业财务报表格式（适用于尚未执行新金融准则和新收入准则的企业）编制财务报表：</w:t>
      </w:r>
    </w:p>
    <w:p>
      <w:pPr>
        <w:pStyle w:val="BodyText"/>
        <w:spacing w:line="316" w:lineRule="auto" w:before="17"/>
        <w:ind w:right="0"/>
        <w:jc w:val="left"/>
      </w:pPr>
      <w:r>
        <w:rPr>
          <w:spacing w:val="-2"/>
        </w:rPr>
        <w:t>①原“应收票据”和“应收账款”项目，合并为“应收票据和应收账款”项目；②原“应收利息”、“应收股利”项目并入</w:t>
      </w:r>
      <w:r>
        <w:rPr>
          <w:spacing w:val="-68"/>
        </w:rPr>
        <w:t> </w:t>
      </w:r>
      <w:r>
        <w:rPr>
          <w:spacing w:val="-68"/>
        </w:rPr>
      </w:r>
      <w:r>
        <w:rPr>
          <w:spacing w:val="-2"/>
        </w:rPr>
        <w:t>“其他应收款”项目列报；③原“固定资产清理”项目并入“固定资产”项目中列报；④原“工程物资”项目并入“在建工</w:t>
      </w:r>
      <w:r>
        <w:rPr>
          <w:spacing w:val="-70"/>
        </w:rPr>
        <w:t> </w:t>
      </w:r>
      <w:r>
        <w:rPr>
          <w:spacing w:val="-70"/>
        </w:rPr>
      </w:r>
      <w:r>
        <w:rPr>
          <w:spacing w:val="-2"/>
        </w:rPr>
        <w:t>程”项目中列报；⑤原“应付票据”和“应付账款”项目，合并为“应付票据及应付账款”项目；⑥原“应付利息”、“应</w:t>
      </w:r>
      <w:r>
        <w:rPr>
          <w:spacing w:val="-67"/>
        </w:rPr>
        <w:t> </w:t>
      </w:r>
      <w:r>
        <w:rPr>
          <w:spacing w:val="-67"/>
        </w:rPr>
      </w:r>
      <w:r>
        <w:rPr>
          <w:spacing w:val="-2"/>
        </w:rPr>
        <w:t>付股利”项目并入“其他应付款”项目列报；⑦原“专项应付款”项目并入“长期应付款”项目中列报；⑧进行研究与开发</w:t>
      </w:r>
      <w:r>
        <w:rPr>
          <w:spacing w:val="-69"/>
        </w:rPr>
        <w:t> </w:t>
      </w:r>
      <w:r>
        <w:rPr>
          <w:spacing w:val="-69"/>
        </w:rPr>
      </w:r>
      <w:r>
        <w:rPr>
          <w:spacing w:val="-4"/>
        </w:rPr>
        <w:t>过程中发生的费用化支出，列示于“研发费用”项目，不再列示于“管理费用”项目；⑨在财务费用项目下分拆“利息费用”</w:t>
      </w:r>
      <w:r>
        <w:rPr>
          <w:spacing w:val="-46"/>
        </w:rPr>
        <w:t> </w:t>
      </w:r>
      <w:r>
        <w:rPr>
          <w:spacing w:val="-46"/>
        </w:rPr>
      </w:r>
      <w:r>
        <w:rPr/>
        <w:t>和“利息收入”明细项目；⑩股东权益变动表中新增“设定收益计划变动额结转留存收益”项目。 本公司根据上述列报要求相应追溯重述了比较报表。 </w:t>
      </w:r>
      <w:r>
        <w:rPr>
          <w:spacing w:val="-2"/>
        </w:rPr>
        <w:t>由于上述要求，本期和比较期间财务报表的部分项目列报内容不同，但对本期和比较期间的本公司合并及归属于母公司净利</w:t>
      </w:r>
      <w:r>
        <w:rPr>
          <w:spacing w:val="-64"/>
        </w:rPr>
        <w:t> </w:t>
      </w:r>
      <w:r>
        <w:rPr>
          <w:spacing w:val="-64"/>
        </w:rPr>
      </w:r>
      <w:r>
        <w:rPr/>
        <w:t>润和合并及归属于母公司股东权益无影响。</w:t>
      </w:r>
    </w:p>
    <w:p>
      <w:pPr>
        <w:pStyle w:val="BodyText"/>
        <w:spacing w:line="316" w:lineRule="auto" w:before="19"/>
        <w:ind w:right="1032"/>
        <w:jc w:val="left"/>
      </w:pPr>
      <w:r>
        <w:rPr/>
        <w:t>（</w:t>
      </w:r>
      <w:r>
        <w:rPr>
          <w:rFonts w:ascii="宋体" w:hAnsi="宋体" w:cs="宋体" w:eastAsia="宋体" w:hint="default"/>
        </w:rPr>
        <w:t>2</w:t>
      </w:r>
      <w:r>
        <w:rPr/>
        <w:t>）本公司本年无会计估计变更。 </w:t>
      </w: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所导致的实际结果可能与本公司管理层当前的估计存在差异，进而造成对未来受影响的资产或负债的账面金额进行重大调</w:t>
      </w:r>
      <w:r>
        <w:rPr>
          <w:spacing w:val="-9"/>
        </w:rPr>
        <w:t> </w:t>
      </w:r>
      <w:r>
        <w:rPr>
          <w:spacing w:val="-9"/>
        </w:rPr>
      </w:r>
      <w:r>
        <w:rPr/>
        <w:t>整。 </w:t>
      </w:r>
      <w:r>
        <w:rPr>
          <w:spacing w:val="-2"/>
        </w:rPr>
        <w:t>本公司对前述判断、估计和假设在持续经营的基础上进行定期复核，会计估计的变更仅影响变更当期的，其影响数在变更当</w:t>
      </w:r>
      <w:r>
        <w:rPr>
          <w:spacing w:val="-66"/>
        </w:rPr>
        <w:t> </w:t>
      </w:r>
      <w:r>
        <w:rPr>
          <w:spacing w:val="-66"/>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6" w:lineRule="auto" w:before="19"/>
        <w:ind w:right="0"/>
        <w:jc w:val="left"/>
      </w:pPr>
      <w:r>
        <w:rPr/>
        <w:t>（</w:t>
      </w:r>
      <w:r>
        <w:rPr>
          <w:rFonts w:ascii="宋体" w:hAnsi="宋体" w:cs="宋体" w:eastAsia="宋体" w:hint="default"/>
        </w:rPr>
        <w:t>1</w:t>
      </w:r>
      <w:r>
        <w:rPr/>
        <w:t>）收入确认——建造合同 </w:t>
      </w:r>
      <w:r>
        <w:rPr>
          <w:spacing w:val="-2"/>
        </w:rPr>
        <w:t>在建造合同结果可以可靠估计时，本公司采用完工百分比法在资产负债表日确认合同收入。合同的完工百分比是依照本附注</w:t>
      </w:r>
      <w:r>
        <w:rPr>
          <w:spacing w:val="-64"/>
        </w:rPr>
        <w:t> </w:t>
      </w:r>
      <w:r>
        <w:rPr>
          <w:spacing w:val="-64"/>
        </w:rPr>
      </w:r>
      <w:r>
        <w:rPr/>
        <w:t>四、</w:t>
      </w:r>
      <w:r>
        <w:rPr>
          <w:rFonts w:ascii="宋体" w:hAnsi="宋体" w:cs="宋体" w:eastAsia="宋体" w:hint="default"/>
        </w:rPr>
        <w:t>23</w:t>
      </w:r>
      <w:r>
        <w:rPr/>
        <w:t>、“收入”所述方法进行确认的，在执行各该建造合同的各会计年度内累积计算。 </w:t>
      </w:r>
      <w:r>
        <w:rPr>
          <w:spacing w:val="-2"/>
        </w:rPr>
        <w:t>在确定完工百分比、已发生的合同成本、预计合同总收入和总成本，以及合同可回收性时，需要作出重大判断。项目管理层</w:t>
      </w:r>
      <w:r>
        <w:rPr>
          <w:spacing w:val="-66"/>
        </w:rPr>
        <w:t> </w:t>
      </w:r>
      <w:r>
        <w:rPr>
          <w:spacing w:val="-66"/>
        </w:rPr>
      </w:r>
      <w:r>
        <w:rPr>
          <w:spacing w:val="-2"/>
        </w:rPr>
        <w:t>主要依靠过去的经验和工作作出判断。预计合同总收入和总成本，以及合同执行结果的估计变更都可能对变更当期或以后期</w:t>
      </w:r>
      <w:r>
        <w:rPr>
          <w:spacing w:val="-64"/>
        </w:rPr>
        <w:t> </w:t>
      </w:r>
      <w:r>
        <w:rPr>
          <w:spacing w:val="-64"/>
        </w:rPr>
      </w:r>
      <w:r>
        <w:rPr/>
        <w:t>间的营业收入、营业成本，以及期间损益产生影响，且可能构成重大影响。</w:t>
      </w:r>
    </w:p>
    <w:p>
      <w:pPr>
        <w:pStyle w:val="BodyText"/>
        <w:spacing w:line="316" w:lineRule="auto" w:before="19"/>
        <w:ind w:right="0"/>
        <w:jc w:val="left"/>
      </w:pPr>
      <w:r>
        <w:rPr/>
        <w:t>（</w:t>
      </w:r>
      <w:r>
        <w:rPr>
          <w:rFonts w:ascii="宋体" w:hAnsi="宋体" w:cs="宋体" w:eastAsia="宋体" w:hint="default"/>
        </w:rPr>
        <w:t>2</w:t>
      </w:r>
      <w:r>
        <w:rPr/>
        <w:t>）租赁的归类 </w:t>
      </w:r>
      <w:r>
        <w:rPr>
          <w:spacing w:val="-2"/>
        </w:rPr>
        <w:t>本公司根据《企业会计准则第</w:t>
      </w:r>
      <w:r>
        <w:rPr>
          <w:rFonts w:ascii="宋体" w:hAnsi="宋体" w:cs="宋体" w:eastAsia="宋体" w:hint="default"/>
          <w:spacing w:val="-2"/>
        </w:rPr>
        <w:t>21</w:t>
      </w:r>
      <w:r>
        <w:rPr>
          <w:spacing w:val="-2"/>
        </w:rPr>
        <w:t>号——租赁》的规定，将租赁归类为经营租赁和融资租赁，在进行归类时，管理层需要对是</w:t>
      </w:r>
      <w:r>
        <w:rPr>
          <w:spacing w:val="-64"/>
        </w:rPr>
        <w:t> </w:t>
      </w:r>
      <w:r>
        <w:rPr>
          <w:spacing w:val="-64"/>
        </w:rPr>
      </w:r>
      <w:r>
        <w:rPr>
          <w:spacing w:val="-2"/>
        </w:rPr>
        <w:t>否已将与租出资产所有权有关的全部风险和报酬实质上转移给承租人，或者本公司是否已经实质上承担与租入资产所有权有</w:t>
      </w:r>
      <w:r>
        <w:rPr>
          <w:spacing w:val="-64"/>
        </w:rPr>
        <w:t> </w:t>
      </w:r>
      <w:r>
        <w:rPr>
          <w:spacing w:val="-64"/>
        </w:rPr>
      </w:r>
      <w:r>
        <w:rPr/>
        <w:t>关的全部风险和报酬，作出分析和判断。</w:t>
      </w:r>
    </w:p>
    <w:p>
      <w:pPr>
        <w:pStyle w:val="BodyText"/>
        <w:spacing w:line="316" w:lineRule="auto" w:before="19"/>
        <w:ind w:right="0"/>
        <w:jc w:val="left"/>
      </w:pPr>
      <w:r>
        <w:rPr/>
        <w:t>（</w:t>
      </w:r>
      <w:r>
        <w:rPr>
          <w:rFonts w:ascii="宋体" w:hAnsi="宋体" w:cs="宋体" w:eastAsia="宋体" w:hint="default"/>
        </w:rPr>
        <w:t>3</w:t>
      </w:r>
      <w:r>
        <w:rPr/>
        <w:t>）坏账准备计提 </w:t>
      </w:r>
      <w:r>
        <w:rPr>
          <w:spacing w:val="-2"/>
        </w:rPr>
        <w:t>本公司根据应收款项的会计政策，采用备抵法核算坏账损失。应收账款减值是基于评估应收账款的可收回性。鉴定应收账款</w:t>
      </w:r>
      <w:r>
        <w:rPr>
          <w:spacing w:val="-66"/>
        </w:rPr>
        <w:t> </w:t>
      </w:r>
      <w:r>
        <w:rPr>
          <w:spacing w:val="-66"/>
        </w:rPr>
      </w:r>
      <w:r>
        <w:rPr>
          <w:spacing w:val="-2"/>
        </w:rPr>
        <w:t>减值要求管理层的判断和估计。实际的结果与原先估计的差异将在估计被改变的期间影响应收账款的账面价值及应收账款坏</w:t>
      </w:r>
      <w:r>
        <w:rPr>
          <w:spacing w:val="-63"/>
        </w:rPr>
        <w:t> </w:t>
      </w:r>
      <w:r>
        <w:rPr>
          <w:spacing w:val="-63"/>
        </w:rPr>
      </w:r>
      <w:r>
        <w:rPr/>
        <w:t>账准备的计提或转回。</w:t>
      </w:r>
    </w:p>
    <w:p>
      <w:pPr>
        <w:pStyle w:val="BodyText"/>
        <w:spacing w:line="319" w:lineRule="auto" w:before="19"/>
        <w:ind w:right="0"/>
        <w:jc w:val="left"/>
      </w:pPr>
      <w:r>
        <w:rPr/>
        <w:t>（</w:t>
      </w:r>
      <w:r>
        <w:rPr>
          <w:rFonts w:ascii="宋体" w:hAnsi="宋体" w:cs="宋体" w:eastAsia="宋体" w:hint="default"/>
        </w:rPr>
        <w:t>4</w:t>
      </w:r>
      <w:r>
        <w:rPr/>
        <w:t>）存货跌价准备 </w:t>
      </w:r>
      <w:r>
        <w:rPr>
          <w:spacing w:val="-2"/>
        </w:rPr>
        <w:t>本公司根据存货会计政策，按照成本与可变现净值孰低计量，对成本高于可变现净值及陈旧和滞销的存货，计提存货跌价准</w:t>
      </w:r>
      <w:r>
        <w:rPr>
          <w:spacing w:val="-66"/>
        </w:rPr>
        <w:t> </w:t>
      </w:r>
      <w:r>
        <w:rPr>
          <w:spacing w:val="-66"/>
        </w:rPr>
      </w:r>
      <w:r>
        <w:rPr>
          <w:spacing w:val="-2"/>
        </w:rPr>
        <w:t>备。存货减值至可变现净值是基于评估存货的可售性及其可变现净值。鉴定存货减值要求管理层在取得确凿证据，并且考虑</w:t>
      </w:r>
      <w:r>
        <w:rPr>
          <w:spacing w:val="-66"/>
        </w:rPr>
        <w:t> </w:t>
      </w:r>
      <w:r>
        <w:rPr>
          <w:spacing w:val="-66"/>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6" w:lineRule="auto" w:before="17"/>
        <w:ind w:right="1032"/>
        <w:jc w:val="left"/>
      </w:pPr>
      <w:r>
        <w:rPr/>
        <w:t>（</w:t>
      </w:r>
      <w:r>
        <w:rPr>
          <w:rFonts w:ascii="宋体" w:hAnsi="宋体" w:cs="宋体" w:eastAsia="宋体" w:hint="default"/>
        </w:rPr>
        <w:t>5</w:t>
      </w:r>
      <w:r>
        <w:rPr/>
        <w:t>）金融工具公允价值 对不存在活跃交易市场的金融工具，本公司通过各种估值方法确定其公允价值。这些估值方法包括贴现现金流模型分析等。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估值时本公司需对未来现金流量、信用风险、市场波动率和相关性等方面进行估计，并选择适当的折现率。这些相关假设具</w:t>
      </w:r>
      <w:r>
        <w:rPr>
          <w:spacing w:val="-66"/>
        </w:rPr>
        <w:t> </w:t>
      </w:r>
      <w:r>
        <w:rPr>
          <w:spacing w:val="-66"/>
        </w:rPr>
      </w:r>
      <w:r>
        <w:rPr/>
        <w:t>有不确定性，其变化会对金融工具的公允价值产生影响。</w:t>
      </w:r>
    </w:p>
    <w:p>
      <w:pPr>
        <w:pStyle w:val="BodyText"/>
        <w:spacing w:line="319" w:lineRule="auto" w:before="19"/>
        <w:ind w:right="0"/>
        <w:jc w:val="left"/>
      </w:pPr>
      <w:r>
        <w:rPr/>
        <w:t>（</w:t>
      </w:r>
      <w:r>
        <w:rPr>
          <w:rFonts w:ascii="宋体" w:hAnsi="宋体" w:cs="宋体" w:eastAsia="宋体" w:hint="default"/>
        </w:rPr>
        <w:t>6</w:t>
      </w:r>
      <w:r>
        <w:rPr/>
        <w:t>）可供出售金融资产减值 </w:t>
      </w:r>
      <w:r>
        <w:rPr>
          <w:spacing w:val="-2"/>
        </w:rPr>
        <w:t>本公司确定可供出售金融资产是否减值在很大程度上依赖于管理层的判断和假设，以确定是否需要在利润表中确认其减值损</w:t>
      </w:r>
      <w:r>
        <w:rPr>
          <w:spacing w:val="-64"/>
        </w:rPr>
        <w:t> </w:t>
      </w:r>
      <w:r>
        <w:rPr>
          <w:spacing w:val="-64"/>
        </w:rPr>
      </w:r>
      <w:r>
        <w:rPr>
          <w:spacing w:val="-2"/>
        </w:rPr>
        <w:t>失。在进行判断和作出假设的过程中，本公司需评估该项投资的公允价值低于成本的程度和持续期间，以及被投资对象的财</w:t>
      </w:r>
      <w:r>
        <w:rPr>
          <w:spacing w:val="-66"/>
        </w:rPr>
        <w:t> </w:t>
      </w:r>
      <w:r>
        <w:rPr>
          <w:spacing w:val="-66"/>
        </w:rPr>
      </w:r>
      <w:r>
        <w:rPr/>
        <w:t>务状况和短期业务展望，包括行业状况、技术变革、信用评级、违约率和对手方的风险。</w:t>
      </w:r>
    </w:p>
    <w:p>
      <w:pPr>
        <w:pStyle w:val="BodyText"/>
        <w:spacing w:line="316" w:lineRule="auto" w:before="17"/>
        <w:ind w:right="1032"/>
        <w:jc w:val="left"/>
      </w:pPr>
      <w:r>
        <w:rPr/>
        <w:t>（</w:t>
      </w:r>
      <w:r>
        <w:rPr>
          <w:rFonts w:ascii="宋体" w:hAnsi="宋体" w:cs="宋体" w:eastAsia="宋体" w:hint="default"/>
        </w:rPr>
        <w:t>7</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6"/>
        </w:rPr>
        <w:t> </w:t>
      </w:r>
      <w:r>
        <w:rPr>
          <w:spacing w:val="-66"/>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3"/>
        </w:rPr>
        <w:t> </w:t>
      </w:r>
      <w:r>
        <w:rPr>
          <w:spacing w:val="-63"/>
        </w:rPr>
      </w:r>
      <w:r>
        <w:rPr/>
        <w:t>未来现金流量的现值。</w:t>
      </w:r>
    </w:p>
    <w:p>
      <w:pPr>
        <w:pStyle w:val="BodyText"/>
        <w:spacing w:line="319" w:lineRule="auto" w:before="19"/>
        <w:ind w:right="0"/>
        <w:jc w:val="left"/>
      </w:pPr>
      <w:r>
        <w:rPr/>
        <w:t>（</w:t>
      </w:r>
      <w:r>
        <w:rPr>
          <w:rFonts w:ascii="宋体" w:hAnsi="宋体" w:cs="宋体" w:eastAsia="宋体" w:hint="default"/>
        </w:rPr>
        <w:t>8</w:t>
      </w:r>
      <w:r>
        <w:rPr/>
        <w:t>）折旧和摊销 </w:t>
      </w:r>
      <w:r>
        <w:rPr>
          <w:spacing w:val="-2"/>
        </w:rPr>
        <w:t>本公司对投资性房地产、固定资产和无形资产在考虑其残值后，在使用寿命内按直线法计提折旧和摊销。本公司定期复核使</w:t>
      </w:r>
      <w:r>
        <w:rPr>
          <w:spacing w:val="-66"/>
        </w:rPr>
        <w:t> </w:t>
      </w:r>
      <w:r>
        <w:rPr>
          <w:spacing w:val="-66"/>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6" w:lineRule="auto" w:before="17"/>
        <w:ind w:right="1032"/>
        <w:jc w:val="left"/>
      </w:pPr>
      <w:r>
        <w:rPr/>
        <w:t>（</w:t>
      </w:r>
      <w:r>
        <w:rPr>
          <w:rFonts w:ascii="宋体" w:hAnsi="宋体" w:cs="宋体" w:eastAsia="宋体" w:hint="default"/>
        </w:rPr>
        <w:t>9</w:t>
      </w:r>
      <w:r>
        <w:rPr/>
        <w:t>）开发支出 确定资本化的金额时，本公司管理层需要作出有关资产的预计未来现金流量、适用的折现率以及预计受益期间的假设。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日，本公司自行开发的无形资产在资产负债表中的账面价值为人民币</w:t>
      </w:r>
      <w:r>
        <w:rPr>
          <w:rFonts w:ascii="宋体" w:hAnsi="宋体" w:cs="宋体" w:eastAsia="宋体" w:hint="default"/>
        </w:rPr>
        <w:t>87,345,148.99</w:t>
      </w:r>
      <w:r>
        <w:rPr/>
        <w:t>元。本公司管理层认</w:t>
      </w:r>
      <w:r>
        <w:rPr>
          <w:spacing w:val="-84"/>
        </w:rPr>
        <w:t> </w:t>
      </w:r>
      <w:r>
        <w:rPr>
          <w:spacing w:val="-84"/>
        </w:rPr>
      </w:r>
      <w:r>
        <w:rPr/>
        <w:t>为该业务的前景和目前的发展良好，市场对以该无形资产生产的产品的反应也证实了管理层之前对这一项目预期收入的估</w:t>
      </w:r>
      <w:r>
        <w:rPr>
          <w:spacing w:val="-9"/>
        </w:rPr>
        <w:t> </w:t>
      </w:r>
      <w:r>
        <w:rPr>
          <w:spacing w:val="-9"/>
        </w:rPr>
      </w:r>
      <w:r>
        <w:rPr>
          <w:spacing w:val="-2"/>
        </w:rPr>
        <w:t>计。但是日益增加的竞争也使得管理层重新考虑对市场份额和有关产品的预计毛利等方面的假设。经过全面的检视后，本公</w:t>
      </w:r>
      <w:r>
        <w:rPr>
          <w:spacing w:val="-66"/>
        </w:rPr>
        <w:t> </w:t>
      </w:r>
      <w:r>
        <w:rPr>
          <w:spacing w:val="-66"/>
        </w:rPr>
      </w:r>
      <w:r>
        <w:rPr/>
        <w:t>司管理层认为即使在产品回报率出现下调的情况下，仍可以全额收回无形资产账面价值。本公司将继续密切检视有关情况， 一旦有迹象表明需要调整相关会计估计的假设，本公司将在有关迹象发生的期间作出调整。</w:t>
      </w:r>
    </w:p>
    <w:p>
      <w:pPr>
        <w:pStyle w:val="BodyText"/>
        <w:spacing w:line="316" w:lineRule="auto" w:before="19"/>
        <w:ind w:right="1122"/>
        <w:jc w:val="left"/>
      </w:pPr>
      <w:r>
        <w:rPr/>
        <w:t>（</w:t>
      </w:r>
      <w:r>
        <w:rPr>
          <w:rFonts w:ascii="宋体" w:hAnsi="宋体" w:cs="宋体" w:eastAsia="宋体" w:hint="default"/>
        </w:rPr>
        <w:t>10</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6" w:lineRule="auto" w:before="19"/>
        <w:ind w:right="1122"/>
        <w:jc w:val="left"/>
      </w:pPr>
      <w:r>
        <w:rPr/>
        <w:t>（</w:t>
      </w:r>
      <w:r>
        <w:rPr>
          <w:rFonts w:ascii="宋体" w:hAnsi="宋体" w:cs="宋体" w:eastAsia="宋体" w:hint="default"/>
        </w:rPr>
        <w:t>11</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9" w:lineRule="auto" w:before="19"/>
        <w:ind w:right="0"/>
        <w:jc w:val="left"/>
      </w:pPr>
      <w:r>
        <w:rPr/>
        <w:t>（</w:t>
      </w:r>
      <w:r>
        <w:rPr>
          <w:rFonts w:ascii="宋体" w:hAnsi="宋体" w:cs="宋体" w:eastAsia="宋体" w:hint="default"/>
        </w:rPr>
        <w:t>12</w:t>
      </w:r>
      <w:r>
        <w:rPr/>
        <w:t>）预计负债 </w:t>
      </w:r>
      <w:r>
        <w:rPr>
          <w:spacing w:val="-2"/>
        </w:rPr>
        <w:t>本公司根据合约条款、现有知识及历史经验，对产品质量保证、预计合同亏损、延迟交货违约金等估计并计提相应准备。在</w:t>
      </w:r>
      <w:r>
        <w:rPr>
          <w:spacing w:val="-66"/>
        </w:rPr>
        <w:t> </w:t>
      </w:r>
      <w:r>
        <w:rPr>
          <w:spacing w:val="-66"/>
        </w:rPr>
      </w: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行判断过程中本公司需评估该等或有事项相关的风险、不确定性及货币时间价值等因素。</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其中，本公司会就出售、维修及改造所售商品向客户提供的售后质量维修承诺预计负债。预计负债时已考虑本公司近期的维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r>
        <w:rPr/>
        <w:pict>
          <v:shape style="position:absolute;margin-left:369.76001pt;margin-top:113.303673pt;width:165.2pt;height:23.4pt;mso-position-horizontal-relative:page;mso-position-vertical-relative:paragraph;z-index:-1156504" type="#_x0000_t202" filled="false" stroked="false">
            <v:textbox inset="0,0,0,0">
              <w:txbxContent>
                <w:p>
                  <w:pPr>
                    <w:pStyle w:val="BodyText"/>
                    <w:spacing w:line="240" w:lineRule="auto" w:before="51"/>
                    <w:ind w:left="0" w:right="0"/>
                    <w:jc w:val="left"/>
                  </w:pPr>
                  <w:r>
                    <w:rPr/>
                    <w:t>、</w:t>
                  </w:r>
                </w:p>
              </w:txbxContent>
            </v:textbox>
            <w10:wrap type="none"/>
          </v:shape>
        </w:pict>
      </w:r>
      <w:bookmarkStart w:name="34、其他" w:id="226"/>
      <w:bookmarkEnd w:id="22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7"/>
      <w:bookmarkEnd w:id="22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8"/>
      <w:bookmarkEnd w:id="22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17%</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10%</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6%</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的税率计算销项税，并按扣除当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期允许抵扣的进项税额后的差额计缴增 值税。详见注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计缴，核定征收。详见注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714"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按房产原值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计缴和按租金收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t>本公司</w:t>
      </w:r>
      <w:r>
        <w:rPr>
          <w:rFonts w:ascii="宋体" w:hAnsi="宋体" w:cs="宋体" w:eastAsia="宋体" w:hint="default"/>
        </w:rPr>
        <w:t>2017</w:t>
      </w:r>
      <w:r>
        <w:rPr/>
        <w:t>年度通过了国家高新技术企业复审，认定有效期为</w:t>
      </w:r>
      <w:r>
        <w:rPr>
          <w:rFonts w:ascii="宋体" w:hAnsi="宋体" w:cs="宋体" w:eastAsia="宋体" w:hint="default"/>
        </w:rPr>
        <w:t>3</w:t>
      </w:r>
      <w:r>
        <w:rPr/>
        <w:t>年（</w:t>
      </w:r>
      <w:r>
        <w:rPr>
          <w:rFonts w:ascii="宋体" w:hAnsi="宋体" w:cs="宋体" w:eastAsia="宋体" w:hint="default"/>
        </w:rPr>
        <w:t>2017</w:t>
      </w:r>
      <w:r>
        <w:rPr/>
        <w:t>年</w:t>
      </w:r>
      <w:r>
        <w:rPr>
          <w:rFonts w:ascii="宋体" w:hAnsi="宋体" w:cs="宋体" w:eastAsia="宋体" w:hint="default"/>
        </w:rPr>
        <w:t>-2019</w:t>
      </w:r>
      <w:r>
        <w:rPr/>
        <w:t>年），本报告期按照</w:t>
      </w:r>
      <w:r>
        <w:rPr>
          <w:rFonts w:ascii="宋体" w:hAnsi="宋体" w:cs="宋体" w:eastAsia="宋体" w:hint="default"/>
        </w:rPr>
        <w:t>15%</w:t>
      </w:r>
      <w:r>
        <w:rPr/>
        <w:t>的税率计缴企业所</w:t>
      </w:r>
      <w:r>
        <w:rPr>
          <w:spacing w:val="-83"/>
        </w:rPr>
        <w:t> </w:t>
      </w:r>
      <w:r>
        <w:rPr>
          <w:spacing w:val="-83"/>
        </w:rPr>
      </w:r>
      <w:r>
        <w:rPr/>
        <w:t>得税。</w:t>
      </w:r>
    </w:p>
    <w:p>
      <w:pPr>
        <w:pStyle w:val="BodyText"/>
        <w:spacing w:line="316" w:lineRule="auto" w:before="19"/>
        <w:ind w:right="1130"/>
        <w:jc w:val="left"/>
      </w:pPr>
      <w:r>
        <w:rPr>
          <w:spacing w:val="-2"/>
        </w:rPr>
        <w:t>子公司浙江银江智慧交通集团有限公司</w:t>
      </w:r>
      <w:r>
        <w:rPr>
          <w:rFonts w:ascii="宋体" w:hAnsi="宋体" w:cs="宋体" w:eastAsia="宋体" w:hint="default"/>
          <w:spacing w:val="-2"/>
        </w:rPr>
        <w:t>2017</w:t>
      </w:r>
      <w:r>
        <w:rPr>
          <w:spacing w:val="-2"/>
        </w:rPr>
        <w:t>年度通过了国家高新技术企业复审，认定有效期为</w:t>
      </w:r>
      <w:r>
        <w:rPr>
          <w:rFonts w:ascii="宋体" w:hAnsi="宋体" w:cs="宋体" w:eastAsia="宋体" w:hint="default"/>
          <w:spacing w:val="-2"/>
        </w:rPr>
        <w:t>3</w:t>
      </w:r>
      <w:r>
        <w:rPr>
          <w:spacing w:val="-2"/>
        </w:rPr>
        <w:t>年（</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年），本报</w:t>
      </w:r>
      <w:r>
        <w:rPr>
          <w:spacing w:val="-52"/>
        </w:rPr>
        <w:t> </w:t>
      </w:r>
      <w:r>
        <w:rPr>
          <w:spacing w:val="-52"/>
        </w:rPr>
      </w:r>
      <w:r>
        <w:rPr/>
        <w:t>告期按照</w:t>
      </w:r>
      <w:r>
        <w:rPr>
          <w:rFonts w:ascii="宋体" w:hAnsi="宋体" w:cs="宋体" w:eastAsia="宋体" w:hint="default"/>
        </w:rPr>
        <w:t>15%</w:t>
      </w:r>
      <w:r>
        <w:rPr/>
        <w:t>的税率计缴企业所得税。 </w:t>
      </w:r>
      <w:r>
        <w:rPr>
          <w:spacing w:val="-2"/>
        </w:rPr>
        <w:t>子公司浙江银江交通技术有限公司</w:t>
      </w:r>
      <w:r>
        <w:rPr>
          <w:rFonts w:ascii="宋体" w:hAnsi="宋体" w:cs="宋体" w:eastAsia="宋体" w:hint="default"/>
          <w:spacing w:val="-2"/>
        </w:rPr>
        <w:t>2017</w:t>
      </w:r>
      <w:r>
        <w:rPr>
          <w:spacing w:val="-2"/>
        </w:rPr>
        <w:t>年度通过了国家高新技术企业复审，认定有效期为</w:t>
      </w:r>
      <w:r>
        <w:rPr>
          <w:rFonts w:ascii="宋体" w:hAnsi="宋体" w:cs="宋体" w:eastAsia="宋体" w:hint="default"/>
          <w:spacing w:val="-2"/>
        </w:rPr>
        <w:t>3</w:t>
      </w:r>
      <w:r>
        <w:rPr>
          <w:spacing w:val="-2"/>
        </w:rPr>
        <w:t>年（</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年），本报告期</w:t>
      </w:r>
      <w:r>
        <w:rPr>
          <w:spacing w:val="-52"/>
        </w:rPr>
        <w:t> </w:t>
      </w:r>
      <w:r>
        <w:rPr>
          <w:spacing w:val="-52"/>
        </w:rPr>
      </w:r>
      <w:r>
        <w:rPr/>
        <w:t>按照</w:t>
      </w:r>
      <w:r>
        <w:rPr>
          <w:rFonts w:ascii="宋体" w:hAnsi="宋体" w:cs="宋体" w:eastAsia="宋体" w:hint="default"/>
        </w:rPr>
        <w:t>15%</w:t>
      </w:r>
      <w:r>
        <w:rPr/>
        <w:t>的税率计缴企业所得税。 </w:t>
      </w:r>
      <w:r>
        <w:rPr>
          <w:spacing w:val="-2"/>
        </w:rPr>
        <w:t>子公司西安银江智慧城市技术有限公司</w:t>
      </w:r>
      <w:r>
        <w:rPr>
          <w:rFonts w:ascii="宋体" w:hAnsi="宋体" w:cs="宋体" w:eastAsia="宋体" w:hint="default"/>
          <w:spacing w:val="-2"/>
        </w:rPr>
        <w:t>2017</w:t>
      </w:r>
      <w:r>
        <w:rPr>
          <w:spacing w:val="-2"/>
        </w:rPr>
        <w:t>年度被认定为国家高新技术企业，认定有效期为</w:t>
      </w:r>
      <w:r>
        <w:rPr>
          <w:rFonts w:ascii="宋体" w:hAnsi="宋体" w:cs="宋体" w:eastAsia="宋体" w:hint="default"/>
          <w:spacing w:val="-2"/>
        </w:rPr>
        <w:t>3</w:t>
      </w:r>
      <w:r>
        <w:rPr>
          <w:spacing w:val="-2"/>
        </w:rPr>
        <w:t>年（</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年），本报告</w:t>
      </w:r>
      <w:r>
        <w:rPr>
          <w:spacing w:val="-52"/>
        </w:rPr>
        <w:t> </w:t>
      </w:r>
      <w:r>
        <w:rPr>
          <w:spacing w:val="-52"/>
        </w:rPr>
      </w:r>
      <w:r>
        <w:rPr/>
        <w:t>期按照</w:t>
      </w:r>
      <w:r>
        <w:rPr>
          <w:rFonts w:ascii="宋体" w:hAnsi="宋体" w:cs="宋体" w:eastAsia="宋体" w:hint="default"/>
        </w:rPr>
        <w:t>15%</w:t>
      </w:r>
      <w:r>
        <w:rPr/>
        <w:t>的税率计缴企业所得税。 </w:t>
      </w:r>
      <w:r>
        <w:rPr>
          <w:spacing w:val="-2"/>
        </w:rPr>
        <w:t>子公司健康宝互联网技术有限公司</w:t>
      </w:r>
      <w:r>
        <w:rPr>
          <w:rFonts w:ascii="宋体" w:hAnsi="宋体" w:cs="宋体" w:eastAsia="宋体" w:hint="default"/>
          <w:spacing w:val="-2"/>
        </w:rPr>
        <w:t>2018</w:t>
      </w:r>
      <w:r>
        <w:rPr>
          <w:spacing w:val="-2"/>
        </w:rPr>
        <w:t>年度被认定为国家高新技术企业，认定有效期为</w:t>
      </w:r>
      <w:r>
        <w:rPr>
          <w:rFonts w:ascii="宋体" w:hAnsi="宋体" w:cs="宋体" w:eastAsia="宋体" w:hint="default"/>
          <w:spacing w:val="-2"/>
        </w:rPr>
        <w:t>3</w:t>
      </w:r>
      <w:r>
        <w:rPr>
          <w:spacing w:val="-2"/>
        </w:rPr>
        <w:t>年（</w:t>
      </w:r>
      <w:r>
        <w:rPr>
          <w:rFonts w:ascii="宋体" w:hAnsi="宋体" w:cs="宋体" w:eastAsia="宋体" w:hint="default"/>
          <w:spacing w:val="-2"/>
        </w:rPr>
        <w:t>2018</w:t>
      </w:r>
      <w:r>
        <w:rPr>
          <w:spacing w:val="-2"/>
        </w:rPr>
        <w:t>年</w:t>
      </w:r>
      <w:r>
        <w:rPr>
          <w:rFonts w:ascii="宋体" w:hAnsi="宋体" w:cs="宋体" w:eastAsia="宋体" w:hint="default"/>
          <w:spacing w:val="-2"/>
        </w:rPr>
        <w:t>-2020</w:t>
      </w:r>
      <w:r>
        <w:rPr>
          <w:spacing w:val="-2"/>
        </w:rPr>
        <w:t>年），本报告期按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9"/>
        <w:jc w:val="left"/>
      </w:pPr>
      <w:r>
        <w:rPr/>
        <w:t>照</w:t>
      </w:r>
      <w:r>
        <w:rPr>
          <w:rFonts w:ascii="宋体" w:hAnsi="宋体" w:cs="宋体" w:eastAsia="宋体" w:hint="default"/>
        </w:rPr>
        <w:t>15%</w:t>
      </w:r>
      <w:r>
        <w:rPr/>
        <w:t>的税率计缴企业所得税。 </w:t>
      </w:r>
      <w:r>
        <w:rPr>
          <w:spacing w:val="-2"/>
        </w:rPr>
        <w:t>子公司浙江智尔信息技术有限公司</w:t>
      </w:r>
      <w:r>
        <w:rPr>
          <w:rFonts w:ascii="宋体" w:hAnsi="宋体" w:cs="宋体" w:eastAsia="宋体" w:hint="default"/>
          <w:spacing w:val="-2"/>
        </w:rPr>
        <w:t>2017</w:t>
      </w:r>
      <w:r>
        <w:rPr>
          <w:spacing w:val="-2"/>
        </w:rPr>
        <w:t>年度被认定为国家高新技术企业，认定有效期为</w:t>
      </w:r>
      <w:r>
        <w:rPr>
          <w:rFonts w:ascii="宋体" w:hAnsi="宋体" w:cs="宋体" w:eastAsia="宋体" w:hint="default"/>
          <w:spacing w:val="-2"/>
        </w:rPr>
        <w:t>3</w:t>
      </w:r>
      <w:r>
        <w:rPr>
          <w:spacing w:val="-2"/>
        </w:rPr>
        <w:t>年（</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年），本报告期按</w:t>
      </w:r>
      <w:r>
        <w:rPr>
          <w:spacing w:val="-52"/>
        </w:rPr>
        <w:t> </w:t>
      </w:r>
      <w:r>
        <w:rPr>
          <w:spacing w:val="-52"/>
        </w:rPr>
      </w:r>
      <w:r>
        <w:rPr/>
        <w:t>照</w:t>
      </w:r>
      <w:r>
        <w:rPr>
          <w:rFonts w:ascii="宋体" w:hAnsi="宋体" w:cs="宋体" w:eastAsia="宋体" w:hint="default"/>
        </w:rPr>
        <w:t>15%</w:t>
      </w:r>
      <w:r>
        <w:rPr/>
        <w:t>的税率计缴企业所得税。 </w:t>
      </w:r>
      <w:r>
        <w:rPr>
          <w:spacing w:val="-2"/>
        </w:rPr>
        <w:t>子公司江西银江智慧城市信息技术有限公司</w:t>
      </w:r>
      <w:r>
        <w:rPr>
          <w:rFonts w:ascii="宋体" w:hAnsi="宋体" w:cs="宋体" w:eastAsia="宋体" w:hint="default"/>
          <w:spacing w:val="-2"/>
        </w:rPr>
        <w:t>2018</w:t>
      </w:r>
      <w:r>
        <w:rPr>
          <w:spacing w:val="-2"/>
        </w:rPr>
        <w:t>年度被认定为国家高新技术企业，认定有效期为</w:t>
      </w:r>
      <w:r>
        <w:rPr>
          <w:rFonts w:ascii="宋体" w:hAnsi="宋体" w:cs="宋体" w:eastAsia="宋体" w:hint="default"/>
          <w:spacing w:val="-2"/>
        </w:rPr>
        <w:t>3</w:t>
      </w:r>
      <w:r>
        <w:rPr>
          <w:spacing w:val="-2"/>
        </w:rPr>
        <w:t>年（</w:t>
      </w:r>
      <w:r>
        <w:rPr>
          <w:rFonts w:ascii="宋体" w:hAnsi="宋体" w:cs="宋体" w:eastAsia="宋体" w:hint="default"/>
          <w:spacing w:val="-2"/>
        </w:rPr>
        <w:t>2018</w:t>
      </w:r>
      <w:r>
        <w:rPr>
          <w:spacing w:val="-2"/>
        </w:rPr>
        <w:t>年</w:t>
      </w:r>
      <w:r>
        <w:rPr>
          <w:rFonts w:ascii="宋体" w:hAnsi="宋体" w:cs="宋体" w:eastAsia="宋体" w:hint="default"/>
          <w:spacing w:val="-2"/>
        </w:rPr>
        <w:t>-2020</w:t>
      </w:r>
      <w:r>
        <w:rPr>
          <w:spacing w:val="-2"/>
        </w:rPr>
        <w:t>年），本</w:t>
      </w:r>
      <w:r>
        <w:rPr>
          <w:spacing w:val="-52"/>
        </w:rPr>
        <w:t> </w:t>
      </w:r>
      <w:r>
        <w:rPr>
          <w:spacing w:val="-52"/>
        </w:rPr>
      </w:r>
      <w:r>
        <w:rPr/>
        <w:t>报告期按照</w:t>
      </w:r>
      <w:r>
        <w:rPr>
          <w:rFonts w:ascii="宋体" w:hAnsi="宋体" w:cs="宋体" w:eastAsia="宋体" w:hint="default"/>
        </w:rPr>
        <w:t>15%</w:t>
      </w:r>
      <w:r>
        <w:rPr/>
        <w:t>的税率计缴企业所得税。 </w:t>
      </w:r>
      <w:r>
        <w:rPr>
          <w:spacing w:val="-2"/>
        </w:rPr>
        <w:t>子公司浙江银江云计算技术有限公司经浙江省经济和信息化委员会核准，被认定为软件及集成电路企业。自获利年度起，第</w:t>
      </w:r>
      <w:r>
        <w:rPr>
          <w:spacing w:val="-65"/>
        </w:rPr>
        <w:t> </w:t>
      </w:r>
      <w:r>
        <w:rPr>
          <w:spacing w:val="-65"/>
        </w:rPr>
      </w:r>
      <w:r>
        <w:rPr>
          <w:rFonts w:ascii="宋体" w:hAnsi="宋体" w:cs="宋体" w:eastAsia="宋体" w:hint="default"/>
        </w:rPr>
        <w:t>1</w:t>
      </w:r>
      <w:r>
        <w:rPr/>
        <w:t>年和第</w:t>
      </w:r>
      <w:r>
        <w:rPr>
          <w:rFonts w:ascii="宋体" w:hAnsi="宋体" w:cs="宋体" w:eastAsia="宋体" w:hint="default"/>
        </w:rPr>
        <w:t>2</w:t>
      </w:r>
      <w:r>
        <w:rPr/>
        <w:t>年免征企业所得税，第</w:t>
      </w:r>
      <w:r>
        <w:rPr>
          <w:rFonts w:ascii="宋体" w:hAnsi="宋体" w:cs="宋体" w:eastAsia="宋体" w:hint="default"/>
        </w:rPr>
        <w:t>3</w:t>
      </w:r>
      <w:r>
        <w:rPr/>
        <w:t>年至第</w:t>
      </w:r>
      <w:r>
        <w:rPr>
          <w:rFonts w:ascii="宋体" w:hAnsi="宋体" w:cs="宋体" w:eastAsia="宋体" w:hint="default"/>
        </w:rPr>
        <w:t>5</w:t>
      </w:r>
      <w:r>
        <w:rPr/>
        <w:t>年减半征收企业所得税，</w:t>
      </w:r>
      <w:r>
        <w:rPr>
          <w:rFonts w:ascii="宋体" w:hAnsi="宋体" w:cs="宋体" w:eastAsia="宋体" w:hint="default"/>
        </w:rPr>
        <w:t>2018</w:t>
      </w:r>
      <w:r>
        <w:rPr/>
        <w:t>年度为获利第</w:t>
      </w:r>
      <w:r>
        <w:rPr>
          <w:rFonts w:ascii="宋体" w:hAnsi="宋体" w:cs="宋体" w:eastAsia="宋体" w:hint="default"/>
        </w:rPr>
        <w:t>3</w:t>
      </w:r>
      <w:r>
        <w:rPr/>
        <w:t>年，减半征收企业所得税。 子公司浙江银江研究院有限公司经浙江省经济和信息化委员会局核准，被认定为软件及集成电路企业。自获利年度起，第</w:t>
      </w:r>
      <w:r>
        <w:rPr>
          <w:rFonts w:ascii="宋体" w:hAnsi="宋体" w:cs="宋体" w:eastAsia="宋体" w:hint="default"/>
        </w:rPr>
        <w:t>1</w:t>
      </w:r>
      <w:r>
        <w:rPr>
          <w:rFonts w:ascii="宋体" w:hAnsi="宋体" w:cs="宋体" w:eastAsia="宋体" w:hint="default"/>
          <w:spacing w:val="-83"/>
        </w:rPr>
        <w:t> </w:t>
      </w:r>
      <w:r>
        <w:rPr/>
        <w:t>年和第</w:t>
      </w:r>
      <w:r>
        <w:rPr>
          <w:rFonts w:ascii="宋体" w:hAnsi="宋体" w:cs="宋体" w:eastAsia="宋体" w:hint="default"/>
        </w:rPr>
        <w:t>2</w:t>
      </w:r>
      <w:r>
        <w:rPr/>
        <w:t>年免征企业所得税，第</w:t>
      </w:r>
      <w:r>
        <w:rPr>
          <w:rFonts w:ascii="宋体" w:hAnsi="宋体" w:cs="宋体" w:eastAsia="宋体" w:hint="default"/>
        </w:rPr>
        <w:t>3</w:t>
      </w:r>
      <w:r>
        <w:rPr/>
        <w:t>年至第</w:t>
      </w:r>
      <w:r>
        <w:rPr>
          <w:rFonts w:ascii="宋体" w:hAnsi="宋体" w:cs="宋体" w:eastAsia="宋体" w:hint="default"/>
        </w:rPr>
        <w:t>5</w:t>
      </w:r>
      <w:r>
        <w:rPr/>
        <w:t>年减半征收企业所得税，</w:t>
      </w:r>
      <w:r>
        <w:rPr>
          <w:rFonts w:ascii="宋体" w:hAnsi="宋体" w:cs="宋体" w:eastAsia="宋体" w:hint="default"/>
        </w:rPr>
        <w:t>2018</w:t>
      </w:r>
      <w:r>
        <w:rPr/>
        <w:t>年度为获利第</w:t>
      </w:r>
      <w:r>
        <w:rPr>
          <w:rFonts w:ascii="宋体" w:hAnsi="宋体" w:cs="宋体" w:eastAsia="宋体" w:hint="default"/>
        </w:rPr>
        <w:t>5</w:t>
      </w:r>
      <w:r>
        <w:rPr/>
        <w:t>年，减半征收企业所得税。 子公司浙江浙大健康管理有限公司为小型微利企业，其所得减按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子公司江苏银江交通技术有限公司为小型微利企业，其所得减按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子公司山西银江交通信息技术有限公司为小型微利企业，其所得减按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子公司北京银江智慧城市技术有限公司为小型微利企业，其所得减按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子公司贵阳银江智慧城市技术有限公司为小型微利企业，其所得减按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子公司浙江城市宝互联网技术有限公司为小型微利企业，其所得减按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子公司河南银江智慧城市技术有限公司为小型微利企业，其所得减按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子公司东丰银江智慧城市技术有限公司为小型微利企业，其所得减按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w:t>
      </w:r>
      <w:r>
        <w:rPr>
          <w:spacing w:val="-2"/>
        </w:rPr>
        <w:t>子公司重庆银江智慧城市信息技术有限公司为小型微利企业，其所得减按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w:t>
      </w:r>
      <w:r>
        <w:rPr>
          <w:spacing w:val="-58"/>
        </w:rPr>
        <w:t> </w:t>
      </w:r>
      <w:r>
        <w:rPr/>
        <w:t>税。 </w:t>
      </w:r>
      <w:r>
        <w:rPr>
          <w:spacing w:val="-2"/>
        </w:rPr>
        <w:t>子公司四川银江智慧城市信息技术有限公司为小型微利企业，其所得减按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w:t>
      </w:r>
      <w:r>
        <w:rPr>
          <w:spacing w:val="-58"/>
        </w:rPr>
        <w:t> </w:t>
      </w:r>
      <w:r>
        <w:rPr/>
        <w:t>税。 </w:t>
      </w:r>
      <w:r>
        <w:rPr>
          <w:spacing w:val="-2"/>
        </w:rPr>
        <w:t>子公司湖南银江智慧城市信息技术有限公司为小型微利企业，其所得减按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w:t>
      </w:r>
      <w:r>
        <w:rPr>
          <w:spacing w:val="-58"/>
        </w:rPr>
        <w:t> </w:t>
      </w:r>
      <w:r>
        <w:rPr/>
        <w:t>税。 </w:t>
      </w:r>
      <w:r>
        <w:rPr>
          <w:spacing w:val="-2"/>
        </w:rPr>
        <w:t>子公司江苏银江智慧城市信息技术有限公司为小型微利企业，其所得减按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w:t>
      </w:r>
      <w:r>
        <w:rPr>
          <w:spacing w:val="-58"/>
        </w:rPr>
        <w:t> </w:t>
      </w:r>
      <w:r>
        <w:rPr/>
        <w:t>税。 子公司湖北银江智慧城市技术有限公司为小型微利企业，其所得减按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w:t>
      </w:r>
      <w:r>
        <w:rPr>
          <w:spacing w:val="-6"/>
        </w:rPr>
        <w:t>根据国家税务总局杭州市滨江区税务局发布的《国家税务总局杭州市滨江区税务局税务事项通知书》（杭滨税通【</w:t>
      </w:r>
      <w:r>
        <w:rPr>
          <w:rFonts w:ascii="宋体" w:hAnsi="宋体" w:cs="宋体" w:eastAsia="宋体" w:hint="default"/>
          <w:spacing w:val="-6"/>
        </w:rPr>
        <w:t>2018</w:t>
      </w:r>
      <w:r>
        <w:rPr>
          <w:spacing w:val="-6"/>
        </w:rPr>
        <w:t>】</w:t>
      </w:r>
      <w:r>
        <w:rPr>
          <w:rFonts w:ascii="宋体" w:hAnsi="宋体" w:cs="宋体" w:eastAsia="宋体" w:hint="default"/>
          <w:spacing w:val="-6"/>
        </w:rPr>
        <w:t>21412</w:t>
      </w:r>
      <w:r>
        <w:rPr>
          <w:rFonts w:ascii="宋体" w:hAnsi="宋体" w:cs="宋体" w:eastAsia="宋体" w:hint="default"/>
          <w:spacing w:val="-83"/>
        </w:rPr>
        <w:t> </w:t>
      </w:r>
      <w:r>
        <w:rPr/>
        <w:t>号），公司于</w:t>
      </w:r>
      <w:r>
        <w:rPr>
          <w:rFonts w:ascii="宋体" w:hAnsi="宋体" w:cs="宋体" w:eastAsia="宋体" w:hint="default"/>
        </w:rPr>
        <w:t>2018</w:t>
      </w:r>
      <w:r>
        <w:rPr/>
        <w:t>年</w:t>
      </w:r>
      <w:r>
        <w:rPr>
          <w:rFonts w:ascii="宋体" w:hAnsi="宋体" w:cs="宋体" w:eastAsia="宋体" w:hint="default"/>
        </w:rPr>
        <w:t>12</w:t>
      </w:r>
      <w:r>
        <w:rPr/>
        <w:t>月收到软件产品退税</w:t>
      </w:r>
      <w:r>
        <w:rPr>
          <w:rFonts w:ascii="宋体" w:hAnsi="宋体" w:cs="宋体" w:eastAsia="宋体" w:hint="default"/>
        </w:rPr>
        <w:t>11,163.35</w:t>
      </w:r>
      <w:r>
        <w:rPr/>
        <w:t>元，计入营业外收入。 </w:t>
      </w:r>
      <w:r>
        <w:rPr>
          <w:spacing w:val="-6"/>
        </w:rPr>
        <w:t>根据国家税务总局杭州市滨江区税务局发布的《国家税务总局杭州市滨江区税务局税务事项通知书》（杭滨税通【</w:t>
      </w:r>
      <w:r>
        <w:rPr>
          <w:rFonts w:ascii="宋体" w:hAnsi="宋体" w:cs="宋体" w:eastAsia="宋体" w:hint="default"/>
          <w:spacing w:val="-6"/>
        </w:rPr>
        <w:t>2018</w:t>
      </w:r>
      <w:r>
        <w:rPr>
          <w:spacing w:val="-6"/>
        </w:rPr>
        <w:t>】</w:t>
      </w:r>
      <w:r>
        <w:rPr>
          <w:rFonts w:ascii="宋体" w:hAnsi="宋体" w:cs="宋体" w:eastAsia="宋体" w:hint="default"/>
          <w:spacing w:val="-6"/>
        </w:rPr>
        <w:t>21945</w:t>
      </w:r>
      <w:r>
        <w:rPr>
          <w:rFonts w:ascii="宋体" w:hAnsi="宋体" w:cs="宋体" w:eastAsia="宋体" w:hint="default"/>
          <w:spacing w:val="-83"/>
        </w:rPr>
        <w:t> </w:t>
      </w:r>
      <w:r>
        <w:rPr/>
        <w:t>号），公司于</w:t>
      </w:r>
      <w:r>
        <w:rPr>
          <w:rFonts w:ascii="宋体" w:hAnsi="宋体" w:cs="宋体" w:eastAsia="宋体" w:hint="default"/>
        </w:rPr>
        <w:t>2018</w:t>
      </w:r>
      <w:r>
        <w:rPr/>
        <w:t>年</w:t>
      </w:r>
      <w:r>
        <w:rPr>
          <w:rFonts w:ascii="宋体" w:hAnsi="宋体" w:cs="宋体" w:eastAsia="宋体" w:hint="default"/>
        </w:rPr>
        <w:t>12</w:t>
      </w:r>
      <w:r>
        <w:rPr/>
        <w:t>月收到软件产品退税</w:t>
      </w:r>
      <w:r>
        <w:rPr>
          <w:rFonts w:ascii="宋体" w:hAnsi="宋体" w:cs="宋体" w:eastAsia="宋体" w:hint="default"/>
        </w:rPr>
        <w:t>267,319.18</w:t>
      </w:r>
      <w:r>
        <w:rPr/>
        <w:t>元，计入营业外收入。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2"/>
        </w:rPr>
        <w:t>注</w:t>
      </w:r>
      <w:r>
        <w:rPr>
          <w:rFonts w:ascii="宋体" w:hAnsi="宋体" w:cs="宋体" w:eastAsia="宋体" w:hint="default"/>
          <w:spacing w:val="-2"/>
        </w:rPr>
        <w:t>1</w:t>
      </w:r>
      <w:r>
        <w:rPr>
          <w:spacing w:val="-2"/>
        </w:rPr>
        <w:t>：公司及其分公司产品销售收入根据销售额的</w:t>
      </w:r>
      <w:r>
        <w:rPr>
          <w:rFonts w:ascii="宋体" w:hAnsi="宋体" w:cs="宋体" w:eastAsia="宋体" w:hint="default"/>
          <w:spacing w:val="-2"/>
        </w:rPr>
        <w:t>17%</w:t>
      </w:r>
      <w:r>
        <w:rPr>
          <w:spacing w:val="-2"/>
        </w:rPr>
        <w:t>、</w:t>
      </w:r>
      <w:r>
        <w:rPr>
          <w:rFonts w:ascii="宋体" w:hAnsi="宋体" w:cs="宋体" w:eastAsia="宋体" w:hint="default"/>
          <w:spacing w:val="-2"/>
        </w:rPr>
        <w:t>16%</w:t>
      </w:r>
      <w:r>
        <w:rPr>
          <w:spacing w:val="-2"/>
        </w:rPr>
        <w:t>计算销项税额，建筑业收入根据销售额的</w:t>
      </w:r>
      <w:r>
        <w:rPr>
          <w:rFonts w:ascii="宋体" w:hAnsi="宋体" w:cs="宋体" w:eastAsia="宋体" w:hint="default"/>
          <w:spacing w:val="-2"/>
        </w:rPr>
        <w:t>11%</w:t>
      </w:r>
      <w:r>
        <w:rPr>
          <w:spacing w:val="-2"/>
        </w:rPr>
        <w:t>、</w:t>
      </w:r>
      <w:r>
        <w:rPr>
          <w:rFonts w:ascii="宋体" w:hAnsi="宋体" w:cs="宋体" w:eastAsia="宋体" w:hint="default"/>
          <w:spacing w:val="-2"/>
        </w:rPr>
        <w:t>10%</w:t>
      </w:r>
      <w:r>
        <w:rPr>
          <w:spacing w:val="-2"/>
        </w:rPr>
        <w:t>计算销项税额，</w:t>
      </w:r>
      <w:r>
        <w:rPr>
          <w:spacing w:val="-52"/>
        </w:rPr>
        <w:t> </w:t>
      </w:r>
      <w:r>
        <w:rPr>
          <w:spacing w:val="-2"/>
        </w:rPr>
        <w:t>租赁收入按照租赁收入的</w:t>
      </w:r>
      <w:r>
        <w:rPr>
          <w:rFonts w:ascii="宋体" w:hAnsi="宋体" w:cs="宋体" w:eastAsia="宋体" w:hint="default"/>
          <w:spacing w:val="-2"/>
        </w:rPr>
        <w:t>5%</w:t>
      </w:r>
      <w:r>
        <w:rPr>
          <w:spacing w:val="-2"/>
        </w:rPr>
        <w:t>计算销项税额，技术服务收入根据销售额的</w:t>
      </w:r>
      <w:r>
        <w:rPr>
          <w:rFonts w:ascii="宋体" w:hAnsi="宋体" w:cs="宋体" w:eastAsia="宋体" w:hint="default"/>
          <w:spacing w:val="-2"/>
        </w:rPr>
        <w:t>6%</w:t>
      </w:r>
      <w:r>
        <w:rPr>
          <w:spacing w:val="-2"/>
        </w:rPr>
        <w:t>计算销项税额，新疆项目收入根据销售额的</w:t>
      </w:r>
      <w:r>
        <w:rPr>
          <w:rFonts w:ascii="宋体" w:hAnsi="宋体" w:cs="宋体" w:eastAsia="宋体" w:hint="default"/>
          <w:spacing w:val="-2"/>
        </w:rPr>
        <w:t>3%</w:t>
      </w:r>
      <w:r>
        <w:rPr>
          <w:spacing w:val="-2"/>
        </w:rPr>
        <w:t>计算</w:t>
      </w:r>
      <w:r>
        <w:rPr>
          <w:spacing w:val="-58"/>
        </w:rPr>
        <w:t> </w:t>
      </w:r>
      <w:r>
        <w:rPr/>
        <w:t>销项税额，再按规定扣除进项税额后缴纳。</w:t>
      </w:r>
      <w:r>
        <w:rPr>
          <w:rFonts w:ascii="宋体" w:hAnsi="宋体" w:cs="宋体" w:eastAsia="宋体" w:hint="default"/>
        </w:rPr>
        <w:t>2016</w:t>
      </w:r>
      <w:r>
        <w:rPr/>
        <w:t>年</w:t>
      </w:r>
      <w:r>
        <w:rPr>
          <w:rFonts w:ascii="宋体" w:hAnsi="宋体" w:cs="宋体" w:eastAsia="宋体" w:hint="default"/>
        </w:rPr>
        <w:t>5</w:t>
      </w:r>
      <w:r>
        <w:rPr/>
        <w:t>月前建筑业收入按照简易办法征收，即按照扣除分包收入后的销售额按</w:t>
      </w:r>
      <w:r>
        <w:rPr>
          <w:spacing w:val="-83"/>
        </w:rPr>
        <w:t> </w:t>
      </w:r>
      <w:r>
        <w:rPr>
          <w:spacing w:val="-83"/>
        </w:rPr>
      </w:r>
      <w:r>
        <w:rPr/>
        <w:t>照</w:t>
      </w:r>
      <w:r>
        <w:rPr>
          <w:rFonts w:ascii="宋体" w:hAnsi="宋体" w:cs="宋体" w:eastAsia="宋体" w:hint="default"/>
        </w:rPr>
        <w:t>3%</w:t>
      </w:r>
      <w:r>
        <w:rPr/>
        <w:t>税率计算缴纳增值税。 本公司发生增值税应税销售行为或者进口货物，原适用</w:t>
      </w:r>
      <w:r>
        <w:rPr>
          <w:rFonts w:ascii="宋体" w:hAnsi="宋体" w:cs="宋体" w:eastAsia="宋体" w:hint="default"/>
        </w:rPr>
        <w:t>17%/11%</w:t>
      </w:r>
      <w:r>
        <w:rPr/>
        <w:t>税率。根据《财政部、国家税务总局关于调整增值税税率的</w:t>
      </w:r>
      <w:r>
        <w:rPr>
          <w:spacing w:val="-82"/>
        </w:rPr>
        <w:t> </w:t>
      </w:r>
      <w:r>
        <w:rPr>
          <w:spacing w:val="-82"/>
        </w:rPr>
      </w:r>
      <w:r>
        <w:rPr/>
        <w:t>通知》（财税</w:t>
      </w:r>
      <w:r>
        <w:rPr>
          <w:rFonts w:ascii="宋体" w:hAnsi="宋体" w:cs="宋体" w:eastAsia="宋体" w:hint="default"/>
        </w:rPr>
        <w:t>[2018]32</w:t>
      </w:r>
      <w:r>
        <w:rPr/>
        <w:t>号）规定，自</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w:t>
      </w:r>
      <w:r>
        <w:rPr/>
        <w:t>日起，适用税率调整为</w:t>
      </w:r>
      <w:r>
        <w:rPr>
          <w:rFonts w:ascii="宋体" w:hAnsi="宋体" w:cs="宋体" w:eastAsia="宋体" w:hint="default"/>
        </w:rPr>
        <w:t>16%/10%</w:t>
      </w:r>
      <w:r>
        <w:rPr/>
        <w:t>。 </w:t>
      </w:r>
      <w:r>
        <w:rPr>
          <w:spacing w:val="-2"/>
        </w:rPr>
        <w:t>子公司浙江银江智慧交通集团有限公司、江苏银江交通技术有限公司、安徽银江智慧城市技术有限公司、浙江银江交通技术</w:t>
      </w:r>
      <w:r>
        <w:rPr>
          <w:spacing w:val="-66"/>
        </w:rPr>
        <w:t> </w:t>
      </w:r>
      <w:r>
        <w:rPr>
          <w:spacing w:val="-66"/>
        </w:rPr>
      </w:r>
      <w:r>
        <w:rPr>
          <w:spacing w:val="-2"/>
        </w:rPr>
        <w:t>有限公司、广东银江交通技术有限公司、西安银江智慧城市技术有限公司、湖南银江交通技术有限公司、杭州银江智慧健康</w:t>
      </w:r>
      <w:r>
        <w:rPr>
          <w:spacing w:val="-66"/>
        </w:rPr>
        <w:t> </w:t>
      </w:r>
      <w:r>
        <w:rPr>
          <w:spacing w:val="-66"/>
        </w:rPr>
      </w:r>
      <w:r>
        <w:rPr/>
        <w:t>集团有限公司、浙江银江云计算技术有限公司、银江（北京）物联网技术有限公司、杭州银江智慧城市技术集团有限公司、 </w:t>
      </w:r>
      <w:r>
        <w:rPr>
          <w:spacing w:val="-2"/>
        </w:rPr>
        <w:t>浙江智尔信息技术有限公司、浙江银江研究院有限公司、健康宝互联网技术有限公司、杭州众嗨网络技术有限公司、湖南银</w:t>
      </w:r>
      <w:r>
        <w:rPr>
          <w:spacing w:val="-66"/>
        </w:rPr>
        <w:t> </w:t>
      </w:r>
      <w:r>
        <w:rPr>
          <w:spacing w:val="-66"/>
        </w:rPr>
      </w:r>
      <w:r>
        <w:rPr/>
        <w:t>江智慧城市信息技术有限公司产品销售收入根据销售额的</w:t>
      </w:r>
      <w:r>
        <w:rPr>
          <w:rFonts w:ascii="宋体" w:hAnsi="宋体" w:cs="宋体" w:eastAsia="宋体" w:hint="default"/>
        </w:rPr>
        <w:t>16%</w:t>
      </w:r>
      <w:r>
        <w:rPr/>
        <w:t>计算销项税额，技术服务收入根据销售额的</w:t>
      </w:r>
      <w:r>
        <w:rPr>
          <w:rFonts w:ascii="宋体" w:hAnsi="宋体" w:cs="宋体" w:eastAsia="宋体" w:hint="default"/>
        </w:rPr>
        <w:t>6%</w:t>
      </w:r>
      <w:r>
        <w:rPr/>
        <w:t>计算销项税额，</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4092"/>
        <w:jc w:val="left"/>
      </w:pPr>
      <w:r>
        <w:rPr/>
        <w:t>再按规定扣除进项税额后缴纳。 除以上子公司外其他子公司均为小规模纳税人，按照产品销售收入的</w:t>
      </w:r>
      <w:r>
        <w:rPr>
          <w:rFonts w:ascii="宋体" w:hAnsi="宋体" w:cs="宋体" w:eastAsia="宋体" w:hint="default"/>
        </w:rPr>
        <w:t>3%</w:t>
      </w:r>
      <w:r>
        <w:rPr/>
        <w:t>缴纳增值税。</w:t>
      </w:r>
    </w:p>
    <w:p>
      <w:pPr>
        <w:pStyle w:val="BodyText"/>
        <w:spacing w:line="316" w:lineRule="auto" w:before="19"/>
        <w:ind w:right="1032"/>
        <w:jc w:val="left"/>
      </w:pPr>
      <w:r>
        <w:rPr/>
        <w:t>注</w:t>
      </w:r>
      <w:r>
        <w:rPr>
          <w:rFonts w:ascii="宋体" w:hAnsi="宋体" w:cs="宋体" w:eastAsia="宋体" w:hint="default"/>
        </w:rPr>
        <w:t>2</w:t>
      </w:r>
      <w:r>
        <w:rPr/>
        <w:t>：本公司、子公司浙江银江智慧交通集团有限公司、浙江银江交通技术有限公司、西安银江智慧城市技术有限公司、浙</w:t>
      </w:r>
      <w:r>
        <w:rPr>
          <w:spacing w:val="-82"/>
        </w:rPr>
        <w:t> </w:t>
      </w:r>
      <w:r>
        <w:rPr>
          <w:spacing w:val="-82"/>
        </w:rPr>
      </w:r>
      <w:r>
        <w:rPr>
          <w:spacing w:val="-2"/>
        </w:rPr>
        <w:t>江智尔信息技术有限公司、健康宝互联网技术有限公司、江西银江智慧城市信息技术有限公司为国家高新技术企业，企业所</w:t>
      </w:r>
      <w:r>
        <w:rPr>
          <w:spacing w:val="-66"/>
        </w:rPr>
        <w:t> </w:t>
      </w:r>
      <w:r>
        <w:rPr>
          <w:spacing w:val="-66"/>
        </w:rPr>
      </w:r>
      <w:r>
        <w:rPr/>
        <w:t>得税按</w:t>
      </w:r>
      <w:r>
        <w:rPr>
          <w:rFonts w:ascii="宋体" w:hAnsi="宋体" w:cs="宋体" w:eastAsia="宋体" w:hint="default"/>
        </w:rPr>
        <w:t>15%</w:t>
      </w:r>
      <w:r>
        <w:rPr/>
        <w:t>税率计缴。子公司浙江银江云计算技术有限公司、浙江银江研究院有限公司为软件及集成电路企业，自获利年度</w:t>
      </w:r>
      <w:r>
        <w:rPr>
          <w:spacing w:val="-83"/>
        </w:rPr>
        <w:t> </w:t>
      </w:r>
      <w:r>
        <w:rPr>
          <w:spacing w:val="-83"/>
        </w:rPr>
      </w:r>
      <w:r>
        <w:rPr>
          <w:spacing w:val="-2"/>
        </w:rPr>
        <w:t>起，第</w:t>
      </w:r>
      <w:r>
        <w:rPr>
          <w:rFonts w:ascii="宋体" w:hAnsi="宋体" w:cs="宋体" w:eastAsia="宋体" w:hint="default"/>
          <w:spacing w:val="-2"/>
        </w:rPr>
        <w:t>1</w:t>
      </w:r>
      <w:r>
        <w:rPr>
          <w:spacing w:val="-2"/>
        </w:rPr>
        <w:t>年和第</w:t>
      </w:r>
      <w:r>
        <w:rPr>
          <w:rFonts w:ascii="宋体" w:hAnsi="宋体" w:cs="宋体" w:eastAsia="宋体" w:hint="default"/>
          <w:spacing w:val="-2"/>
        </w:rPr>
        <w:t>2</w:t>
      </w:r>
      <w:r>
        <w:rPr>
          <w:spacing w:val="-2"/>
        </w:rPr>
        <w:t>年免征企业所得税，第</w:t>
      </w:r>
      <w:r>
        <w:rPr>
          <w:rFonts w:ascii="宋体" w:hAnsi="宋体" w:cs="宋体" w:eastAsia="宋体" w:hint="default"/>
          <w:spacing w:val="-2"/>
        </w:rPr>
        <w:t>3</w:t>
      </w:r>
      <w:r>
        <w:rPr>
          <w:spacing w:val="-2"/>
        </w:rPr>
        <w:t>年至第</w:t>
      </w:r>
      <w:r>
        <w:rPr>
          <w:rFonts w:ascii="宋体" w:hAnsi="宋体" w:cs="宋体" w:eastAsia="宋体" w:hint="default"/>
          <w:spacing w:val="-2"/>
        </w:rPr>
        <w:t>5</w:t>
      </w:r>
      <w:r>
        <w:rPr>
          <w:spacing w:val="-2"/>
        </w:rPr>
        <w:t>年减半征收企业所得税。子公司浙江浙大健康管理有限公司、江苏银江交通</w:t>
      </w:r>
      <w:r>
        <w:rPr>
          <w:spacing w:val="-63"/>
        </w:rPr>
        <w:t> </w:t>
      </w:r>
      <w:r>
        <w:rPr>
          <w:spacing w:val="-63"/>
        </w:rPr>
      </w:r>
      <w:r>
        <w:rPr>
          <w:spacing w:val="-2"/>
        </w:rPr>
        <w:t>技术有限公司、山西银江交通信息技术有限公司、北京银江智慧城市技术有限公司、贵阳银江智慧城市技术有限公司、浙江</w:t>
      </w:r>
      <w:r>
        <w:rPr>
          <w:spacing w:val="-66"/>
        </w:rPr>
        <w:t> </w:t>
      </w:r>
      <w:r>
        <w:rPr>
          <w:spacing w:val="-66"/>
        </w:rPr>
      </w:r>
      <w:r>
        <w:rPr>
          <w:spacing w:val="-2"/>
        </w:rPr>
        <w:t>城市宝互联网技术有限公司、河南银江智慧城市技术有限公司、东丰银江智慧城市技术有限公司、重庆银江智慧城市信息技</w:t>
      </w:r>
      <w:r>
        <w:rPr>
          <w:spacing w:val="-66"/>
        </w:rPr>
        <w:t> </w:t>
      </w:r>
      <w:r>
        <w:rPr>
          <w:spacing w:val="-66"/>
        </w:rPr>
      </w:r>
      <w:r>
        <w:rPr>
          <w:spacing w:val="-2"/>
        </w:rPr>
        <w:t>术有限公司、四川银江智慧城市信息技术有限公司、湖南银江智慧城市信息技术有限公司、江苏银江智慧城市信息技术有限</w:t>
      </w:r>
      <w:r>
        <w:rPr>
          <w:spacing w:val="-66"/>
        </w:rPr>
        <w:t> </w:t>
      </w:r>
      <w:r>
        <w:rPr>
          <w:spacing w:val="-66"/>
        </w:rPr>
      </w:r>
      <w:r>
        <w:rPr/>
        <w:t>公司、湖北银江智慧城市技术有限公司为小型微利企业，其所得减按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 子公司吉林银江信息技术有限公司企业所得税为核定征收。</w:t>
      </w:r>
    </w:p>
    <w:p>
      <w:pPr>
        <w:pStyle w:val="BodyText"/>
        <w:spacing w:line="240" w:lineRule="auto" w:before="19"/>
        <w:ind w:right="0"/>
        <w:jc w:val="left"/>
      </w:pPr>
      <w:r>
        <w:rPr/>
        <w:t>其他分子公司企业所得税按</w:t>
      </w:r>
      <w:r>
        <w:rPr>
          <w:rFonts w:ascii="宋体" w:hAnsi="宋体" w:cs="宋体" w:eastAsia="宋体" w:hint="default"/>
        </w:rPr>
        <w:t>25%</w:t>
      </w:r>
      <w:r>
        <w:rPr/>
        <w:t>税率计缴。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56,517.39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359,445.82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604,252,706.53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1,066,575,552.39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74,733,583.22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139,462,845.20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679,042,807.14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1,206,397,843.41</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3402"/>
        <w:gridCol w:w="2978"/>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1"/>
              <w:ind w:right="119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41,932,505.82</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39,945,581.28</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15,690,406.84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35,883,986.30</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12,000,000.00</w:t>
            </w: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农民工保证金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4,032,728.73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1,916,538.77</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1,077,941.83</w:t>
            </w: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1"/>
              <w:ind w:right="119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74,733,583.22</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77,746,106.35</w:t>
            </w:r>
          </w:p>
        </w:tc>
      </w:tr>
    </w:tbl>
    <w:p>
      <w:pPr>
        <w:pStyle w:val="BodyText"/>
        <w:spacing w:line="240" w:lineRule="auto" w:before="10"/>
        <w:ind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日，公司受限货币资金明细情况如下：</w:t>
      </w:r>
    </w:p>
    <w:p>
      <w:pPr>
        <w:pStyle w:val="BodyText"/>
        <w:spacing w:line="316" w:lineRule="auto" w:before="76"/>
        <w:ind w:right="0"/>
        <w:jc w:val="left"/>
      </w:pPr>
      <w:r>
        <w:rPr/>
        <w:t>①本公司以人民币</w:t>
      </w:r>
      <w:r>
        <w:rPr>
          <w:rFonts w:ascii="宋体" w:hAnsi="宋体" w:cs="宋体" w:eastAsia="宋体" w:hint="default"/>
        </w:rPr>
        <w:t>8,497,962.74</w:t>
      </w:r>
      <w:r>
        <w:rPr/>
        <w:t>元为质押，取得杭州银行有限公司西城支行人民币</w:t>
      </w:r>
      <w:r>
        <w:rPr>
          <w:rFonts w:ascii="宋体" w:hAnsi="宋体" w:cs="宋体" w:eastAsia="宋体" w:hint="default"/>
        </w:rPr>
        <w:t>21,556,762.12</w:t>
      </w:r>
      <w:r>
        <w:rPr/>
        <w:t>元保函，期限为</w:t>
      </w:r>
      <w:r>
        <w:rPr>
          <w:rFonts w:ascii="宋体" w:hAnsi="宋体" w:cs="宋体" w:eastAsia="宋体" w:hint="default"/>
        </w:rPr>
        <w:t>2018</w:t>
      </w:r>
      <w:r>
        <w:rPr/>
        <w:t>年</w:t>
      </w:r>
      <w:r>
        <w:rPr>
          <w:rFonts w:ascii="宋体" w:hAnsi="宋体" w:cs="宋体" w:eastAsia="宋体" w:hint="default"/>
        </w:rPr>
        <w:t>3</w:t>
      </w:r>
      <w:r>
        <w:rPr>
          <w:rFonts w:ascii="宋体" w:hAnsi="宋体" w:cs="宋体" w:eastAsia="宋体" w:hint="default"/>
          <w:spacing w:val="-9"/>
        </w:rPr>
        <w:t> </w:t>
      </w:r>
      <w:r>
        <w:rPr/>
        <w:t>月至</w:t>
      </w:r>
      <w:r>
        <w:rPr>
          <w:rFonts w:ascii="宋体" w:hAnsi="宋体" w:cs="宋体" w:eastAsia="宋体" w:hint="default"/>
        </w:rPr>
        <w:t>2020</w:t>
      </w:r>
      <w:r>
        <w:rPr/>
        <w:t>年</w:t>
      </w:r>
      <w:r>
        <w:rPr>
          <w:rFonts w:ascii="宋体" w:hAnsi="宋体" w:cs="宋体" w:eastAsia="宋体" w:hint="default"/>
        </w:rPr>
        <w:t>12</w:t>
      </w:r>
      <w:r>
        <w:rPr/>
        <w:t>月。</w:t>
      </w:r>
    </w:p>
    <w:p>
      <w:pPr>
        <w:pStyle w:val="BodyText"/>
        <w:spacing w:line="316" w:lineRule="auto" w:before="19"/>
        <w:ind w:right="0"/>
        <w:jc w:val="left"/>
      </w:pPr>
      <w:r>
        <w:rPr>
          <w:spacing w:val="-2"/>
        </w:rPr>
        <w:t>②本公司以人民币</w:t>
      </w:r>
      <w:r>
        <w:rPr>
          <w:rFonts w:ascii="宋体" w:hAnsi="宋体" w:cs="宋体" w:eastAsia="宋体" w:hint="default"/>
          <w:spacing w:val="-2"/>
        </w:rPr>
        <w:t>13,526,825.19</w:t>
      </w:r>
      <w:r>
        <w:rPr>
          <w:spacing w:val="-2"/>
        </w:rPr>
        <w:t>元为质押，取得杭州联合农村商业银行科技支行人民币</w:t>
      </w:r>
      <w:r>
        <w:rPr>
          <w:rFonts w:ascii="宋体" w:hAnsi="宋体" w:cs="宋体" w:eastAsia="宋体" w:hint="default"/>
          <w:spacing w:val="-2"/>
        </w:rPr>
        <w:t>39,960,607.05</w:t>
      </w:r>
      <w:r>
        <w:rPr>
          <w:spacing w:val="-2"/>
        </w:rPr>
        <w:t>元保函，期限为</w:t>
      </w:r>
      <w:r>
        <w:rPr>
          <w:rFonts w:ascii="宋体" w:hAnsi="宋体" w:cs="宋体" w:eastAsia="宋体" w:hint="default"/>
          <w:spacing w:val="-2"/>
        </w:rPr>
        <w:t>2016</w:t>
      </w:r>
      <w:r>
        <w:rPr>
          <w:rFonts w:ascii="宋体" w:hAnsi="宋体" w:cs="宋体" w:eastAsia="宋体" w:hint="default"/>
          <w:spacing w:val="-34"/>
        </w:rPr>
        <w:t> </w:t>
      </w:r>
      <w:r>
        <w:rPr/>
        <w:t>年</w:t>
      </w:r>
      <w:r>
        <w:rPr>
          <w:rFonts w:ascii="宋体" w:hAnsi="宋体" w:cs="宋体" w:eastAsia="宋体" w:hint="default"/>
        </w:rPr>
        <w:t>4</w:t>
      </w:r>
      <w:r>
        <w:rPr/>
        <w:t>月至</w:t>
      </w:r>
      <w:r>
        <w:rPr>
          <w:rFonts w:ascii="宋体" w:hAnsi="宋体" w:cs="宋体" w:eastAsia="宋体" w:hint="default"/>
        </w:rPr>
        <w:t>2021</w:t>
      </w:r>
      <w:r>
        <w:rPr/>
        <w:t>年</w:t>
      </w:r>
      <w:r>
        <w:rPr>
          <w:rFonts w:ascii="宋体" w:hAnsi="宋体" w:cs="宋体" w:eastAsia="宋体" w:hint="default"/>
        </w:rPr>
        <w:t>5</w:t>
      </w:r>
      <w:r>
        <w:rPr/>
        <w:t>月。</w:t>
      </w:r>
    </w:p>
    <w:p>
      <w:pPr>
        <w:pStyle w:val="BodyText"/>
        <w:spacing w:line="316" w:lineRule="auto" w:before="19"/>
        <w:ind w:right="1122"/>
        <w:jc w:val="left"/>
      </w:pPr>
      <w:r>
        <w:rPr/>
        <w:t>③本公司以人民币</w:t>
      </w:r>
      <w:r>
        <w:rPr>
          <w:rFonts w:ascii="宋体" w:hAnsi="宋体" w:cs="宋体" w:eastAsia="宋体" w:hint="default"/>
        </w:rPr>
        <w:t>6,553,132.73</w:t>
      </w:r>
      <w:r>
        <w:rPr/>
        <w:t>元为质押，取得中信银行股份有限公司玉泉支行人民币</w:t>
      </w:r>
      <w:r>
        <w:rPr>
          <w:rFonts w:ascii="宋体" w:hAnsi="宋体" w:cs="宋体" w:eastAsia="宋体" w:hint="default"/>
        </w:rPr>
        <w:t>39,960,607.05</w:t>
      </w:r>
      <w:r>
        <w:rPr/>
        <w:t>元保函，期限为</w:t>
      </w:r>
      <w:r>
        <w:rPr>
          <w:rFonts w:ascii="宋体" w:hAnsi="宋体" w:cs="宋体" w:eastAsia="宋体" w:hint="default"/>
        </w:rPr>
        <w:t>2016</w:t>
      </w:r>
      <w:r>
        <w:rPr>
          <w:rFonts w:ascii="宋体" w:hAnsi="宋体" w:cs="宋体" w:eastAsia="宋体" w:hint="default"/>
          <w:spacing w:val="-85"/>
        </w:rPr>
        <w:t> </w:t>
      </w:r>
      <w:r>
        <w:rPr/>
        <w:t>年</w:t>
      </w:r>
      <w:r>
        <w:rPr>
          <w:rFonts w:ascii="宋体" w:hAnsi="宋体" w:cs="宋体" w:eastAsia="宋体" w:hint="default"/>
        </w:rPr>
        <w:t>4</w:t>
      </w:r>
      <w:r>
        <w:rPr/>
        <w:t>月至</w:t>
      </w:r>
      <w:r>
        <w:rPr>
          <w:rFonts w:ascii="宋体" w:hAnsi="宋体" w:cs="宋体" w:eastAsia="宋体" w:hint="default"/>
        </w:rPr>
        <w:t>2021</w:t>
      </w:r>
      <w:r>
        <w:rPr/>
        <w:t>年</w:t>
      </w:r>
      <w:r>
        <w:rPr>
          <w:rFonts w:ascii="宋体" w:hAnsi="宋体" w:cs="宋体" w:eastAsia="宋体" w:hint="default"/>
        </w:rPr>
        <w:t>5</w:t>
      </w:r>
      <w:r>
        <w:rPr/>
        <w:t>月。</w:t>
      </w:r>
    </w:p>
    <w:p>
      <w:pPr>
        <w:pStyle w:val="BodyText"/>
        <w:spacing w:line="316" w:lineRule="auto" w:before="19"/>
        <w:ind w:right="1122"/>
        <w:jc w:val="left"/>
      </w:pPr>
      <w:r>
        <w:rPr/>
        <w:t>④本公司以人民币</w:t>
      </w:r>
      <w:r>
        <w:rPr>
          <w:rFonts w:ascii="宋体" w:hAnsi="宋体" w:cs="宋体" w:eastAsia="宋体" w:hint="default"/>
        </w:rPr>
        <w:t>1,064,667.77</w:t>
      </w:r>
      <w:r>
        <w:rPr/>
        <w:t>元为质押，取得招商银行股份有限公司凤起支行人民币</w:t>
      </w:r>
      <w:r>
        <w:rPr>
          <w:rFonts w:ascii="宋体" w:hAnsi="宋体" w:cs="宋体" w:eastAsia="宋体" w:hint="default"/>
        </w:rPr>
        <w:t>10,646,677.70</w:t>
      </w:r>
      <w:r>
        <w:rPr/>
        <w:t>元保函，期限为</w:t>
      </w:r>
      <w:r>
        <w:rPr>
          <w:rFonts w:ascii="宋体" w:hAnsi="宋体" w:cs="宋体" w:eastAsia="宋体" w:hint="default"/>
        </w:rPr>
        <w:t>2017</w:t>
      </w:r>
      <w:r>
        <w:rPr>
          <w:rFonts w:ascii="宋体" w:hAnsi="宋体" w:cs="宋体" w:eastAsia="宋体" w:hint="default"/>
          <w:spacing w:val="-85"/>
        </w:rPr>
        <w:t> </w:t>
      </w:r>
      <w:r>
        <w:rPr/>
        <w:t>年</w:t>
      </w:r>
      <w:r>
        <w:rPr>
          <w:rFonts w:ascii="宋体" w:hAnsi="宋体" w:cs="宋体" w:eastAsia="宋体" w:hint="default"/>
        </w:rPr>
        <w:t>8</w:t>
      </w:r>
      <w:r>
        <w:rPr/>
        <w:t>月至</w:t>
      </w:r>
      <w:r>
        <w:rPr>
          <w:rFonts w:ascii="宋体" w:hAnsi="宋体" w:cs="宋体" w:eastAsia="宋体" w:hint="default"/>
        </w:rPr>
        <w:t>2019</w:t>
      </w:r>
      <w:r>
        <w:rPr/>
        <w:t>年</w:t>
      </w:r>
      <w:r>
        <w:rPr>
          <w:rFonts w:ascii="宋体" w:hAnsi="宋体" w:cs="宋体" w:eastAsia="宋体" w:hint="default"/>
        </w:rPr>
        <w:t>6</w:t>
      </w:r>
      <w:r>
        <w:rPr/>
        <w:t>月。</w:t>
      </w:r>
    </w:p>
    <w:p>
      <w:pPr>
        <w:pStyle w:val="BodyText"/>
        <w:spacing w:line="316" w:lineRule="auto" w:before="19"/>
        <w:ind w:right="1122"/>
        <w:jc w:val="left"/>
      </w:pPr>
      <w:r>
        <w:rPr/>
        <w:t>⑤本公司以人民币</w:t>
      </w:r>
      <w:r>
        <w:rPr>
          <w:rFonts w:ascii="宋体" w:hAnsi="宋体" w:cs="宋体" w:eastAsia="宋体" w:hint="default"/>
        </w:rPr>
        <w:t>2,493,844.07</w:t>
      </w:r>
      <w:r>
        <w:rPr/>
        <w:t>元为质押，取得宁波银行股份有限公司杭州分行人民币</w:t>
      </w:r>
      <w:r>
        <w:rPr>
          <w:rFonts w:ascii="宋体" w:hAnsi="宋体" w:cs="宋体" w:eastAsia="宋体" w:hint="default"/>
        </w:rPr>
        <w:t>32,525,709.00</w:t>
      </w:r>
      <w:r>
        <w:rPr/>
        <w:t>元保函，期限为</w:t>
      </w:r>
      <w:r>
        <w:rPr>
          <w:rFonts w:ascii="宋体" w:hAnsi="宋体" w:cs="宋体" w:eastAsia="宋体" w:hint="default"/>
        </w:rPr>
        <w:t>2018</w:t>
      </w:r>
      <w:r>
        <w:rPr>
          <w:rFonts w:ascii="宋体" w:hAnsi="宋体" w:cs="宋体" w:eastAsia="宋体" w:hint="default"/>
          <w:spacing w:val="-85"/>
        </w:rPr>
        <w:t> </w:t>
      </w:r>
      <w:r>
        <w:rPr/>
        <w:t>年</w:t>
      </w:r>
      <w:r>
        <w:rPr>
          <w:rFonts w:ascii="宋体" w:hAnsi="宋体" w:cs="宋体" w:eastAsia="宋体" w:hint="default"/>
        </w:rPr>
        <w:t>9</w:t>
      </w:r>
      <w:r>
        <w:rPr/>
        <w:t>月至</w:t>
      </w:r>
      <w:r>
        <w:rPr>
          <w:rFonts w:ascii="宋体" w:hAnsi="宋体" w:cs="宋体" w:eastAsia="宋体" w:hint="default"/>
        </w:rPr>
        <w:t>2020</w:t>
      </w:r>
      <w:r>
        <w:rPr/>
        <w:t>年</w:t>
      </w:r>
      <w:r>
        <w:rPr>
          <w:rFonts w:ascii="宋体" w:hAnsi="宋体" w:cs="宋体" w:eastAsia="宋体" w:hint="default"/>
        </w:rPr>
        <w:t>3</w:t>
      </w:r>
      <w:r>
        <w:rPr/>
        <w:t>月。</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⑥本公司以人民币</w:t>
      </w:r>
      <w:r>
        <w:rPr>
          <w:rFonts w:ascii="宋体" w:hAnsi="宋体" w:cs="宋体" w:eastAsia="宋体" w:hint="default"/>
        </w:rPr>
        <w:t>1,739,380.02</w:t>
      </w:r>
      <w:r>
        <w:rPr/>
        <w:t>元为质押，取得中国银行股份有限公司钱江新城支行人民币</w:t>
      </w:r>
      <w:r>
        <w:rPr>
          <w:rFonts w:ascii="宋体" w:hAnsi="宋体" w:cs="宋体" w:eastAsia="宋体" w:hint="default"/>
        </w:rPr>
        <w:t>5,797,933.39</w:t>
      </w:r>
      <w:r>
        <w:rPr/>
        <w:t>元保函，期限为</w:t>
      </w:r>
      <w:r>
        <w:rPr>
          <w:spacing w:val="-7"/>
        </w:rPr>
        <w:t> </w:t>
      </w:r>
      <w:r>
        <w:rPr>
          <w:spacing w:val="-7"/>
        </w:rPr>
      </w:r>
      <w:r>
        <w:rPr>
          <w:rFonts w:ascii="宋体" w:hAnsi="宋体" w:cs="宋体" w:eastAsia="宋体" w:hint="default"/>
        </w:rPr>
        <w:t>2018</w:t>
      </w:r>
      <w:r>
        <w:rPr/>
        <w:t>年</w:t>
      </w:r>
      <w:r>
        <w:rPr>
          <w:rFonts w:ascii="宋体" w:hAnsi="宋体" w:cs="宋体" w:eastAsia="宋体" w:hint="default"/>
        </w:rPr>
        <w:t>8</w:t>
      </w:r>
      <w:r>
        <w:rPr/>
        <w:t>月至</w:t>
      </w:r>
      <w:r>
        <w:rPr>
          <w:rFonts w:ascii="宋体" w:hAnsi="宋体" w:cs="宋体" w:eastAsia="宋体" w:hint="default"/>
        </w:rPr>
        <w:t>2019</w:t>
      </w:r>
      <w:r>
        <w:rPr/>
        <w:t>年</w:t>
      </w:r>
      <w:r>
        <w:rPr>
          <w:rFonts w:ascii="宋体" w:hAnsi="宋体" w:cs="宋体" w:eastAsia="宋体" w:hint="default"/>
        </w:rPr>
        <w:t>7</w:t>
      </w:r>
      <w:r>
        <w:rPr/>
        <w:t>月。</w:t>
      </w:r>
    </w:p>
    <w:p>
      <w:pPr>
        <w:pStyle w:val="BodyText"/>
        <w:spacing w:line="316" w:lineRule="auto" w:before="19"/>
        <w:ind w:right="0"/>
        <w:jc w:val="left"/>
      </w:pPr>
      <w:r>
        <w:rPr>
          <w:spacing w:val="-2"/>
        </w:rPr>
        <w:t>⑦子公司沈阳智享大健康信息科技有限公司以人民币</w:t>
      </w:r>
      <w:r>
        <w:rPr>
          <w:rFonts w:ascii="宋体" w:hAnsi="宋体" w:cs="宋体" w:eastAsia="宋体" w:hint="default"/>
          <w:spacing w:val="-2"/>
        </w:rPr>
        <w:t>8,000,000.00</w:t>
      </w:r>
      <w:r>
        <w:rPr>
          <w:spacing w:val="-2"/>
        </w:rPr>
        <w:t>元为质押，取得盛京银行股份有限公司沈阳分行为沈阳市</w:t>
      </w:r>
      <w:r>
        <w:rPr>
          <w:spacing w:val="-52"/>
        </w:rPr>
        <w:t> </w:t>
      </w:r>
      <w:r>
        <w:rPr>
          <w:spacing w:val="-52"/>
        </w:rPr>
      </w:r>
      <w:r>
        <w:rPr/>
        <w:t>区域人口健康信息平台</w:t>
      </w:r>
      <w:r>
        <w:rPr>
          <w:rFonts w:ascii="宋体" w:hAnsi="宋体" w:cs="宋体" w:eastAsia="宋体" w:hint="default"/>
        </w:rPr>
        <w:t>PPP</w:t>
      </w:r>
      <w:r>
        <w:rPr/>
        <w:t>项目出具的履约保函，保证金期限为</w:t>
      </w:r>
      <w:r>
        <w:rPr>
          <w:rFonts w:ascii="宋体" w:hAnsi="宋体" w:cs="宋体" w:eastAsia="宋体" w:hint="default"/>
        </w:rPr>
        <w:t>2018</w:t>
      </w:r>
      <w:r>
        <w:rPr/>
        <w:t>年</w:t>
      </w:r>
      <w:r>
        <w:rPr>
          <w:rFonts w:ascii="宋体" w:hAnsi="宋体" w:cs="宋体" w:eastAsia="宋体" w:hint="default"/>
        </w:rPr>
        <w:t>1</w:t>
      </w:r>
      <w:r>
        <w:rPr/>
        <w:t>月至</w:t>
      </w:r>
      <w:r>
        <w:rPr>
          <w:rFonts w:ascii="宋体" w:hAnsi="宋体" w:cs="宋体" w:eastAsia="宋体" w:hint="default"/>
        </w:rPr>
        <w:t>2019</w:t>
      </w:r>
      <w:r>
        <w:rPr/>
        <w:t>年</w:t>
      </w:r>
      <w:r>
        <w:rPr>
          <w:rFonts w:ascii="宋体" w:hAnsi="宋体" w:cs="宋体" w:eastAsia="宋体" w:hint="default"/>
        </w:rPr>
        <w:t>1</w:t>
      </w:r>
      <w:r>
        <w:rPr/>
        <w:t>月。</w:t>
      </w:r>
    </w:p>
    <w:p>
      <w:pPr>
        <w:pStyle w:val="BodyText"/>
        <w:spacing w:line="316" w:lineRule="auto" w:before="19"/>
        <w:ind w:right="1135"/>
        <w:jc w:val="left"/>
      </w:pPr>
      <w:r>
        <w:rPr>
          <w:spacing w:val="16"/>
        </w:rPr>
        <w:t>⑧本公司以人民币</w:t>
      </w:r>
      <w:r>
        <w:rPr>
          <w:spacing w:val="-64"/>
        </w:rPr>
        <w:t> </w:t>
      </w:r>
      <w:r>
        <w:rPr>
          <w:rFonts w:ascii="宋体" w:hAnsi="宋体" w:cs="宋体" w:eastAsia="宋体" w:hint="default"/>
        </w:rPr>
        <w:t>8,756,312.26</w:t>
      </w:r>
      <w:r>
        <w:rPr>
          <w:rFonts w:ascii="宋体" w:hAnsi="宋体" w:cs="宋体" w:eastAsia="宋体" w:hint="default"/>
          <w:spacing w:val="-66"/>
        </w:rPr>
        <w:t> </w:t>
      </w:r>
      <w:r>
        <w:rPr>
          <w:spacing w:val="17"/>
        </w:rPr>
        <w:t>元银行承兑汇票保证金为质押，</w:t>
      </w:r>
      <w:r>
        <w:rPr>
          <w:spacing w:val="-66"/>
        </w:rPr>
        <w:t> </w:t>
      </w:r>
      <w:r>
        <w:rPr>
          <w:spacing w:val="17"/>
        </w:rPr>
        <w:t>取得中信银行股份有限公司行州玉泉支行人民币</w:t>
      </w:r>
      <w:r>
        <w:rPr>
          <w:spacing w:val="-86"/>
        </w:rPr>
        <w:t> </w:t>
      </w:r>
      <w:r>
        <w:rPr>
          <w:spacing w:val="-86"/>
        </w:rPr>
      </w:r>
      <w:r>
        <w:rPr>
          <w:rFonts w:ascii="宋体" w:hAnsi="宋体" w:cs="宋体" w:eastAsia="宋体" w:hint="default"/>
        </w:rPr>
        <w:t>28,839,478.90</w:t>
      </w:r>
      <w:r>
        <w:rPr/>
        <w:t>元银行承兑汇票，期限为</w:t>
      </w:r>
      <w:r>
        <w:rPr>
          <w:rFonts w:ascii="宋体" w:hAnsi="宋体" w:cs="宋体" w:eastAsia="宋体" w:hint="default"/>
        </w:rPr>
        <w:t>2018</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6</w:t>
      </w:r>
      <w:r>
        <w:rPr/>
        <w:t>月。</w:t>
      </w:r>
    </w:p>
    <w:p>
      <w:pPr>
        <w:pStyle w:val="BodyText"/>
        <w:spacing w:line="316" w:lineRule="auto" w:before="19"/>
        <w:ind w:right="0"/>
        <w:jc w:val="left"/>
      </w:pPr>
      <w:r>
        <w:rPr/>
        <w:t>⑨本公司以人民币</w:t>
      </w:r>
      <w:r>
        <w:rPr>
          <w:rFonts w:ascii="宋体" w:hAnsi="宋体" w:cs="宋体" w:eastAsia="宋体" w:hint="default"/>
        </w:rPr>
        <w:t>2,515,299.53</w:t>
      </w:r>
      <w:r>
        <w:rPr/>
        <w:t>元银行承兑汇票保证金为质押，取得杭州银行股份有限公司西城支行人民币</w:t>
      </w:r>
      <w:r>
        <w:rPr>
          <w:rFonts w:ascii="宋体" w:hAnsi="宋体" w:cs="宋体" w:eastAsia="宋体" w:hint="default"/>
        </w:rPr>
        <w:t>8,351,843.99</w:t>
      </w:r>
      <w:r>
        <w:rPr>
          <w:rFonts w:ascii="宋体" w:hAnsi="宋体" w:cs="宋体" w:eastAsia="宋体" w:hint="default"/>
          <w:spacing w:val="-8"/>
        </w:rPr>
        <w:t> </w:t>
      </w:r>
      <w:r>
        <w:rPr>
          <w:rFonts w:ascii="宋体" w:hAnsi="宋体" w:cs="宋体" w:eastAsia="宋体" w:hint="default"/>
          <w:spacing w:val="-8"/>
        </w:rPr>
      </w:r>
      <w:r>
        <w:rPr/>
        <w:t>元银行承兑汇票，期限为</w:t>
      </w:r>
      <w:r>
        <w:rPr>
          <w:rFonts w:ascii="宋体" w:hAnsi="宋体" w:cs="宋体" w:eastAsia="宋体" w:hint="default"/>
        </w:rPr>
        <w:t>2018</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4</w:t>
      </w:r>
      <w:r>
        <w:rPr/>
        <w:t>月。</w:t>
      </w:r>
    </w:p>
    <w:p>
      <w:pPr>
        <w:pStyle w:val="BodyText"/>
        <w:spacing w:line="316" w:lineRule="auto" w:before="19"/>
        <w:ind w:right="1122"/>
        <w:jc w:val="left"/>
      </w:pPr>
      <w:r>
        <w:rPr/>
        <w:t>⑩本公司以人民币</w:t>
      </w:r>
      <w:r>
        <w:rPr>
          <w:rFonts w:ascii="宋体" w:hAnsi="宋体" w:cs="宋体" w:eastAsia="宋体" w:hint="default"/>
        </w:rPr>
        <w:t>3,162,410.88</w:t>
      </w:r>
      <w:r>
        <w:rPr/>
        <w:t>元银行承兑汇票保证金为质押，取得杭州联合农村商业银行科技支行人民币</w:t>
      </w:r>
      <w:r>
        <w:rPr>
          <w:rFonts w:ascii="宋体" w:hAnsi="宋体" w:cs="宋体" w:eastAsia="宋体" w:hint="default"/>
        </w:rPr>
        <w:t>10,541,369.60</w:t>
      </w:r>
      <w:r>
        <w:rPr>
          <w:rFonts w:ascii="宋体" w:hAnsi="宋体" w:cs="宋体" w:eastAsia="宋体" w:hint="default"/>
          <w:spacing w:val="-83"/>
        </w:rPr>
        <w:t> </w:t>
      </w:r>
      <w:r>
        <w:rPr>
          <w:rFonts w:ascii="宋体" w:hAnsi="宋体" w:cs="宋体" w:eastAsia="宋体" w:hint="default"/>
          <w:spacing w:val="-83"/>
        </w:rPr>
      </w:r>
      <w:r>
        <w:rPr/>
        <w:t>元银行承兑汇票，期限为</w:t>
      </w:r>
      <w:r>
        <w:rPr>
          <w:rFonts w:ascii="宋体" w:hAnsi="宋体" w:cs="宋体" w:eastAsia="宋体" w:hint="default"/>
        </w:rPr>
        <w:t>2018</w:t>
      </w:r>
      <w:r>
        <w:rPr/>
        <w:t>年</w:t>
      </w:r>
      <w:r>
        <w:rPr>
          <w:rFonts w:ascii="宋体" w:hAnsi="宋体" w:cs="宋体" w:eastAsia="宋体" w:hint="default"/>
        </w:rPr>
        <w:t>11</w:t>
      </w:r>
      <w:r>
        <w:rPr/>
        <w:t>月至</w:t>
      </w:r>
      <w:r>
        <w:rPr>
          <w:rFonts w:ascii="宋体" w:hAnsi="宋体" w:cs="宋体" w:eastAsia="宋体" w:hint="default"/>
        </w:rPr>
        <w:t>2019</w:t>
      </w:r>
      <w:r>
        <w:rPr/>
        <w:t>年</w:t>
      </w:r>
      <w:r>
        <w:rPr>
          <w:rFonts w:ascii="宋体" w:hAnsi="宋体" w:cs="宋体" w:eastAsia="宋体" w:hint="default"/>
        </w:rPr>
        <w:t>6</w:t>
      </w:r>
      <w:r>
        <w:rPr/>
        <w:t>月。</w:t>
      </w:r>
    </w:p>
    <w:p>
      <w:pPr>
        <w:pStyle w:val="BodyText"/>
        <w:spacing w:line="449" w:lineRule="exact"/>
        <w:ind w:right="0"/>
        <w:jc w:val="left"/>
      </w:pPr>
      <w:r>
        <w:rPr>
          <w:rFonts w:ascii="Cambria Math" w:hAnsi="Cambria Math" w:cs="Cambria Math" w:eastAsia="Cambria Math" w:hint="default"/>
          <w:spacing w:val="7"/>
        </w:rPr>
        <w:t>⑪</w:t>
      </w:r>
      <w:r>
        <w:rPr>
          <w:spacing w:val="7"/>
        </w:rPr>
        <w:t>本公司以人民币</w:t>
      </w:r>
      <w:r>
        <w:rPr>
          <w:rFonts w:ascii="宋体" w:hAnsi="宋体" w:cs="宋体" w:eastAsia="宋体" w:hint="default"/>
          <w:spacing w:val="7"/>
        </w:rPr>
        <w:t>840,000.00</w:t>
      </w:r>
      <w:r>
        <w:rPr>
          <w:spacing w:val="7"/>
        </w:rPr>
        <w:t>元银行承兑汇票保证金为质押，取得中国工商银行股份有限公司厦门美仁宫支行人民币</w:t>
      </w:r>
    </w:p>
    <w:p>
      <w:pPr>
        <w:pStyle w:val="BodyText"/>
        <w:spacing w:line="19" w:lineRule="exact"/>
        <w:ind w:right="0"/>
        <w:jc w:val="left"/>
      </w:pPr>
      <w:r>
        <w:rPr>
          <w:rFonts w:ascii="宋体" w:hAnsi="宋体" w:cs="宋体" w:eastAsia="宋体" w:hint="default"/>
        </w:rPr>
        <w:t>840,000.00</w:t>
      </w:r>
      <w:r>
        <w:rPr/>
        <w:t>元银行承兑汇票，期限为</w:t>
      </w:r>
      <w:r>
        <w:rPr>
          <w:rFonts w:ascii="宋体" w:hAnsi="宋体" w:cs="宋体" w:eastAsia="宋体" w:hint="default"/>
        </w:rPr>
        <w:t>2018</w:t>
      </w:r>
      <w:r>
        <w:rPr/>
        <w:t>年</w:t>
      </w:r>
      <w:r>
        <w:rPr>
          <w:rFonts w:ascii="宋体" w:hAnsi="宋体" w:cs="宋体" w:eastAsia="宋体" w:hint="default"/>
        </w:rPr>
        <w:t>11</w:t>
      </w:r>
      <w:r>
        <w:rPr/>
        <w:t>月至</w:t>
      </w:r>
      <w:r>
        <w:rPr>
          <w:rFonts w:ascii="宋体" w:hAnsi="宋体" w:cs="宋体" w:eastAsia="宋体" w:hint="default"/>
        </w:rPr>
        <w:t>2019</w:t>
      </w:r>
      <w:r>
        <w:rPr/>
        <w:t>年</w:t>
      </w:r>
      <w:r>
        <w:rPr>
          <w:rFonts w:ascii="宋体" w:hAnsi="宋体" w:cs="宋体" w:eastAsia="宋体" w:hint="default"/>
        </w:rPr>
        <w:t>1</w:t>
      </w:r>
      <w:r>
        <w:rPr/>
        <w:t>月。</w:t>
      </w:r>
    </w:p>
    <w:p>
      <w:pPr>
        <w:pStyle w:val="BodyText"/>
        <w:spacing w:line="158" w:lineRule="auto" w:before="34"/>
        <w:ind w:right="0"/>
        <w:jc w:val="left"/>
      </w:pPr>
      <w:r>
        <w:rPr>
          <w:rFonts w:ascii="Cambria Math" w:hAnsi="Cambria Math" w:cs="Cambria Math" w:eastAsia="Cambria Math" w:hint="default"/>
          <w:spacing w:val="7"/>
        </w:rPr>
        <w:t>⑫</w:t>
      </w:r>
      <w:r>
        <w:rPr>
          <w:spacing w:val="7"/>
        </w:rPr>
        <w:t>本公司以人民币</w:t>
      </w:r>
      <w:r>
        <w:rPr>
          <w:rFonts w:ascii="宋体" w:hAnsi="宋体" w:cs="宋体" w:eastAsia="宋体" w:hint="default"/>
          <w:spacing w:val="7"/>
        </w:rPr>
        <w:t>100,000.00</w:t>
      </w:r>
      <w:r>
        <w:rPr>
          <w:spacing w:val="7"/>
        </w:rPr>
        <w:t>元银行承兑汇票保证金为质押，取得中国工商银行股份有限公司厦门美仁宫支行人民币</w:t>
      </w:r>
      <w:r>
        <w:rPr>
          <w:spacing w:val="-83"/>
        </w:rPr>
        <w:t> </w:t>
      </w:r>
      <w:r>
        <w:rPr>
          <w:spacing w:val="-83"/>
        </w:rPr>
      </w:r>
      <w:r>
        <w:rPr>
          <w:rFonts w:ascii="宋体" w:hAnsi="宋体" w:cs="宋体" w:eastAsia="宋体" w:hint="default"/>
        </w:rPr>
        <w:t>100,000.00</w:t>
      </w:r>
      <w:r>
        <w:rPr/>
        <w:t>元银行承兑汇票，期限为</w:t>
      </w:r>
      <w:r>
        <w:rPr>
          <w:rFonts w:ascii="宋体" w:hAnsi="宋体" w:cs="宋体" w:eastAsia="宋体" w:hint="default"/>
        </w:rPr>
        <w:t>2018</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2</w:t>
      </w:r>
      <w:r>
        <w:rPr/>
        <w:t>月。</w:t>
      </w:r>
    </w:p>
    <w:p>
      <w:pPr>
        <w:pStyle w:val="BodyText"/>
        <w:spacing w:line="515" w:lineRule="exact"/>
        <w:ind w:right="0"/>
        <w:jc w:val="left"/>
      </w:pPr>
      <w:r>
        <w:rPr>
          <w:rFonts w:ascii="Cambria Math" w:hAnsi="Cambria Math" w:cs="Cambria Math" w:eastAsia="Cambria Math" w:hint="default"/>
          <w:spacing w:val="7"/>
        </w:rPr>
        <w:t>⑬</w:t>
      </w:r>
      <w:r>
        <w:rPr>
          <w:spacing w:val="7"/>
        </w:rPr>
        <w:t>本公司以人民币</w:t>
      </w:r>
      <w:r>
        <w:rPr>
          <w:rFonts w:ascii="宋体" w:hAnsi="宋体" w:cs="宋体" w:eastAsia="宋体" w:hint="default"/>
          <w:spacing w:val="7"/>
        </w:rPr>
        <w:t>100,000.00</w:t>
      </w:r>
      <w:r>
        <w:rPr>
          <w:spacing w:val="7"/>
        </w:rPr>
        <w:t>元银行承兑汇票保证金为质押，取得中国工商银行股份有限公司厦门美仁宫支行人民币</w:t>
      </w:r>
    </w:p>
    <w:p>
      <w:pPr>
        <w:pStyle w:val="BodyText"/>
        <w:spacing w:line="19" w:lineRule="exact"/>
        <w:ind w:right="0"/>
        <w:jc w:val="left"/>
      </w:pPr>
      <w:r>
        <w:rPr>
          <w:rFonts w:ascii="宋体" w:hAnsi="宋体" w:cs="宋体" w:eastAsia="宋体" w:hint="default"/>
        </w:rPr>
        <w:t>100,000.00</w:t>
      </w:r>
      <w:r>
        <w:rPr/>
        <w:t>元银行承兑汇票，期限为</w:t>
      </w:r>
      <w:r>
        <w:rPr>
          <w:rFonts w:ascii="宋体" w:hAnsi="宋体" w:cs="宋体" w:eastAsia="宋体" w:hint="default"/>
        </w:rPr>
        <w:t>2018</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2</w:t>
      </w:r>
      <w:r>
        <w:rPr/>
        <w:t>月。</w:t>
      </w:r>
    </w:p>
    <w:p>
      <w:pPr>
        <w:pStyle w:val="BodyText"/>
        <w:tabs>
          <w:tab w:pos="573" w:val="left" w:leader="none"/>
        </w:tabs>
        <w:spacing w:line="158" w:lineRule="auto" w:before="34"/>
        <w:ind w:right="1135"/>
        <w:jc w:val="left"/>
      </w:pPr>
      <w:r>
        <w:rPr>
          <w:rFonts w:ascii="Cambria Math" w:hAnsi="Cambria Math" w:cs="Cambria Math" w:eastAsia="Cambria Math" w:hint="default"/>
        </w:rPr>
        <w:t>⑭</w:t>
        <w:tab/>
      </w:r>
      <w:r>
        <w:rPr>
          <w:spacing w:val="3"/>
        </w:rPr>
        <w:t>本公司以人民币</w:t>
      </w:r>
      <w:r>
        <w:rPr>
          <w:rFonts w:ascii="宋体" w:hAnsi="宋体" w:cs="宋体" w:eastAsia="宋体" w:hint="default"/>
          <w:spacing w:val="3"/>
        </w:rPr>
        <w:t>211,460.00</w:t>
      </w:r>
      <w:r>
        <w:rPr>
          <w:spacing w:val="3"/>
        </w:rPr>
        <w:t>元银行承兑汇票保证金为质押，取得中国工商银行股份有限公司厦门美仁宫支行人民币</w:t>
      </w:r>
      <w:r>
        <w:rPr>
          <w:spacing w:val="-74"/>
        </w:rPr>
        <w:t> </w:t>
      </w:r>
      <w:r>
        <w:rPr>
          <w:spacing w:val="-74"/>
        </w:rPr>
      </w:r>
      <w:r>
        <w:rPr>
          <w:rFonts w:ascii="宋体" w:hAnsi="宋体" w:cs="宋体" w:eastAsia="宋体" w:hint="default"/>
        </w:rPr>
        <w:t>211,460.00</w:t>
      </w:r>
      <w:r>
        <w:rPr/>
        <w:t>元银行承兑汇票，期限为</w:t>
      </w:r>
      <w:r>
        <w:rPr>
          <w:rFonts w:ascii="宋体" w:hAnsi="宋体" w:cs="宋体" w:eastAsia="宋体" w:hint="default"/>
        </w:rPr>
        <w:t>2018</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2</w:t>
      </w:r>
      <w:r>
        <w:rPr/>
        <w:t>月。</w:t>
      </w:r>
    </w:p>
    <w:p>
      <w:pPr>
        <w:pStyle w:val="BodyText"/>
        <w:spacing w:line="515" w:lineRule="exact"/>
        <w:ind w:right="0"/>
        <w:jc w:val="left"/>
      </w:pPr>
      <w:r>
        <w:rPr>
          <w:rFonts w:ascii="Cambria Math" w:hAnsi="Cambria Math" w:cs="Cambria Math" w:eastAsia="Cambria Math" w:hint="default"/>
        </w:rPr>
        <w:t>⑮</w:t>
      </w:r>
      <w:r>
        <w:rPr/>
        <w:t>本公司截至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日，尚有人民币</w:t>
      </w:r>
      <w:r>
        <w:rPr>
          <w:rFonts w:ascii="宋体" w:hAnsi="宋体" w:cs="宋体" w:eastAsia="宋体" w:hint="default"/>
        </w:rPr>
        <w:t>4,924.17</w:t>
      </w:r>
      <w:r>
        <w:rPr/>
        <w:t>元银行承兑汇票保证金存于工商银行股份有限公司庆春支行，年末处</w:t>
      </w:r>
    </w:p>
    <w:p>
      <w:pPr>
        <w:pStyle w:val="BodyText"/>
        <w:spacing w:line="19" w:lineRule="exact"/>
        <w:ind w:right="0"/>
        <w:jc w:val="left"/>
      </w:pPr>
      <w:r>
        <w:rPr/>
        <w:t>于受限状态。</w:t>
      </w:r>
    </w:p>
    <w:p>
      <w:pPr>
        <w:pStyle w:val="BodyText"/>
        <w:spacing w:line="453" w:lineRule="exact"/>
        <w:ind w:right="0"/>
        <w:jc w:val="left"/>
      </w:pPr>
      <w:r>
        <w:rPr>
          <w:rFonts w:ascii="Cambria Math" w:hAnsi="Cambria Math" w:cs="Cambria Math" w:eastAsia="Cambria Math" w:hint="default"/>
        </w:rPr>
        <w:t>⑯</w:t>
      </w:r>
      <w:r>
        <w:rPr/>
        <w:t>本公司截至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日，尚有人民币</w:t>
      </w:r>
      <w:r>
        <w:rPr>
          <w:rFonts w:ascii="宋体" w:hAnsi="宋体" w:cs="宋体" w:eastAsia="宋体" w:hint="default"/>
        </w:rPr>
        <w:t>443.25</w:t>
      </w:r>
      <w:r>
        <w:rPr/>
        <w:t>元保函保证金存于中信银行杭州分行，年末处于受限状态。</w:t>
      </w:r>
    </w:p>
    <w:p>
      <w:pPr>
        <w:pStyle w:val="BodyText"/>
        <w:spacing w:line="483" w:lineRule="exact"/>
        <w:ind w:right="0"/>
        <w:jc w:val="left"/>
      </w:pPr>
      <w:r>
        <w:rPr>
          <w:rFonts w:ascii="Cambria Math" w:hAnsi="Cambria Math" w:cs="Cambria Math" w:eastAsia="Cambria Math" w:hint="default"/>
        </w:rPr>
        <w:t>⑰</w:t>
      </w:r>
      <w:r>
        <w:rPr/>
        <w:t>子公司浙江银江交通技术有限公司以人民币</w:t>
      </w:r>
      <w:r>
        <w:rPr>
          <w:rFonts w:ascii="宋体" w:hAnsi="宋体" w:cs="宋体" w:eastAsia="宋体" w:hint="default"/>
        </w:rPr>
        <w:t>56,250.05</w:t>
      </w:r>
      <w:r>
        <w:rPr/>
        <w:t>元为质押，在杭州银行股份有限公司西城支行开立以杭州西湖城市</w:t>
      </w:r>
    </w:p>
    <w:p>
      <w:pPr>
        <w:pStyle w:val="BodyText"/>
        <w:spacing w:line="19" w:lineRule="exact"/>
        <w:ind w:right="0"/>
        <w:jc w:val="left"/>
      </w:pPr>
      <w:r>
        <w:rPr/>
        <w:t>建设投资集团有限公司为受益人、最高金额为人民币</w:t>
      </w:r>
      <w:r>
        <w:rPr>
          <w:rFonts w:ascii="宋体" w:hAnsi="宋体" w:cs="宋体" w:eastAsia="宋体" w:hint="default"/>
        </w:rPr>
        <w:t>56,250.05</w:t>
      </w:r>
      <w:r>
        <w:rPr/>
        <w:t>元的保函，期限为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w:t>
      </w:r>
      <w:r>
        <w:rPr/>
        <w:t>日。</w:t>
      </w:r>
    </w:p>
    <w:p>
      <w:pPr>
        <w:pStyle w:val="BodyText"/>
        <w:spacing w:line="158" w:lineRule="auto" w:before="34"/>
        <w:ind w:right="0"/>
        <w:jc w:val="left"/>
      </w:pPr>
      <w:r>
        <w:rPr>
          <w:rFonts w:ascii="Cambria Math" w:hAnsi="Cambria Math" w:cs="Cambria Math" w:eastAsia="Cambria Math" w:hint="default"/>
        </w:rPr>
        <w:t>⑱</w:t>
      </w:r>
      <w:r>
        <w:rPr/>
        <w:t>本公司以人民币</w:t>
      </w:r>
      <w:r>
        <w:rPr>
          <w:rFonts w:ascii="宋体" w:hAnsi="宋体" w:cs="宋体" w:eastAsia="宋体" w:hint="default"/>
        </w:rPr>
        <w:t>12,000,000.00</w:t>
      </w:r>
      <w:r>
        <w:rPr/>
        <w:t>元为质押，取得浙商银行股份有限公司杭州分行人民币</w:t>
      </w:r>
      <w:r>
        <w:rPr>
          <w:rFonts w:ascii="宋体" w:hAnsi="宋体" w:cs="宋体" w:eastAsia="宋体" w:hint="default"/>
        </w:rPr>
        <w:t>60,000,000.00</w:t>
      </w:r>
      <w:r>
        <w:rPr/>
        <w:t>元信用证，期限为</w:t>
      </w:r>
      <w:r>
        <w:rPr>
          <w:spacing w:val="-35"/>
        </w:rPr>
        <w:t> </w:t>
      </w:r>
      <w:r>
        <w:rPr>
          <w:spacing w:val="-35"/>
        </w:rPr>
      </w:r>
      <w:r>
        <w:rPr>
          <w:rFonts w:ascii="宋体" w:hAnsi="宋体" w:cs="宋体" w:eastAsia="宋体" w:hint="default"/>
        </w:rPr>
        <w:t>2018</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1</w:t>
      </w:r>
      <w:r>
        <w:rPr/>
        <w:t>月。</w:t>
      </w:r>
    </w:p>
    <w:p>
      <w:pPr>
        <w:pStyle w:val="BodyText"/>
        <w:spacing w:line="515" w:lineRule="exact"/>
        <w:ind w:right="0"/>
        <w:jc w:val="left"/>
      </w:pPr>
      <w:r>
        <w:rPr>
          <w:rFonts w:ascii="Cambria Math" w:hAnsi="Cambria Math" w:cs="Cambria Math" w:eastAsia="Cambria Math" w:hint="default"/>
        </w:rPr>
        <w:t>⑲</w:t>
      </w:r>
      <w:r>
        <w:rPr/>
        <w:t>公司存入指定银行账户农民工保证金金额</w:t>
      </w:r>
      <w:r>
        <w:rPr>
          <w:rFonts w:ascii="宋体" w:hAnsi="宋体" w:cs="宋体" w:eastAsia="宋体" w:hint="default"/>
        </w:rPr>
        <w:t>4,032,728.73</w:t>
      </w:r>
      <w:r>
        <w:rPr/>
        <w:t>元，为公司外地项目聘请农民工事项提供保证，年末处于受限状</w:t>
      </w:r>
    </w:p>
    <w:p>
      <w:pPr>
        <w:pStyle w:val="BodyText"/>
        <w:spacing w:line="19" w:lineRule="exact"/>
        <w:ind w:right="0"/>
        <w:jc w:val="left"/>
      </w:pPr>
      <w:r>
        <w:rPr/>
        <w:t>态。</w:t>
      </w:r>
    </w:p>
    <w:p>
      <w:pPr>
        <w:pStyle w:val="BodyText"/>
        <w:spacing w:line="158" w:lineRule="auto" w:before="34"/>
        <w:ind w:right="0"/>
        <w:jc w:val="left"/>
      </w:pPr>
      <w:r>
        <w:rPr>
          <w:rFonts w:ascii="Cambria Math" w:hAnsi="Cambria Math" w:cs="Cambria Math" w:eastAsia="Cambria Math" w:hint="default"/>
        </w:rPr>
        <w:t>⑳</w:t>
      </w:r>
      <w:r>
        <w:rPr/>
        <w:t>子公司浙江智尔信息技术有限公司以人民币</w:t>
      </w:r>
      <w:r>
        <w:rPr>
          <w:rFonts w:ascii="宋体" w:hAnsi="宋体" w:cs="宋体" w:eastAsia="宋体" w:hint="default"/>
        </w:rPr>
        <w:t>1,077,941.83</w:t>
      </w:r>
      <w:r>
        <w:rPr/>
        <w:t>元为质押，取得杭州联合农村商业银行股份有限公司科技支行</w:t>
      </w:r>
      <w:r>
        <w:rPr>
          <w:spacing w:val="-34"/>
        </w:rPr>
        <w:t> </w:t>
      </w:r>
      <w:r>
        <w:rPr>
          <w:spacing w:val="-34"/>
        </w:rPr>
      </w:r>
      <w:r>
        <w:rPr/>
        <w:t>人民币</w:t>
      </w:r>
      <w:r>
        <w:rPr>
          <w:rFonts w:ascii="宋体" w:hAnsi="宋体" w:cs="宋体" w:eastAsia="宋体" w:hint="default"/>
        </w:rPr>
        <w:t>950,000.00</w:t>
      </w:r>
      <w:r>
        <w:rPr/>
        <w:t>元短期借款，期限为</w:t>
      </w:r>
      <w:r>
        <w:rPr>
          <w:rFonts w:ascii="宋体" w:hAnsi="宋体" w:cs="宋体" w:eastAsia="宋体" w:hint="default"/>
        </w:rPr>
        <w:t>2018</w:t>
      </w:r>
      <w:r>
        <w:rPr/>
        <w:t>年</w:t>
      </w:r>
      <w:r>
        <w:rPr>
          <w:rFonts w:ascii="宋体" w:hAnsi="宋体" w:cs="宋体" w:eastAsia="宋体" w:hint="default"/>
        </w:rPr>
        <w:t>7</w:t>
      </w:r>
      <w:r>
        <w:rPr/>
        <w:t>月至</w:t>
      </w:r>
      <w:r>
        <w:rPr>
          <w:rFonts w:ascii="宋体" w:hAnsi="宋体" w:cs="宋体" w:eastAsia="宋体" w:hint="default"/>
        </w:rPr>
        <w:t>2019</w:t>
      </w:r>
      <w:r>
        <w:rPr/>
        <w:t>年</w:t>
      </w:r>
      <w:r>
        <w:rPr>
          <w:rFonts w:ascii="宋体" w:hAnsi="宋体" w:cs="宋体" w:eastAsia="宋体" w:hint="default"/>
        </w:rPr>
        <w:t>1</w:t>
      </w:r>
      <w:r>
        <w:rPr/>
        <w:t>月。</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243,449,494.50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243,449,494.50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243,449,494.50</w:t>
            </w:r>
          </w:p>
        </w:tc>
      </w:tr>
    </w:tbl>
    <w:p>
      <w:pPr>
        <w:pStyle w:val="BodyText"/>
        <w:spacing w:line="240" w:lineRule="auto" w:before="51"/>
        <w:ind w:right="0"/>
        <w:jc w:val="left"/>
      </w:pPr>
      <w:r>
        <w:rPr/>
        <w:t>其他说明：</w:t>
      </w:r>
    </w:p>
    <w:p>
      <w:pPr>
        <w:pStyle w:val="BodyText"/>
        <w:spacing w:line="316" w:lineRule="auto" w:before="115"/>
        <w:ind w:right="1122"/>
        <w:jc w:val="left"/>
      </w:pPr>
      <w:r>
        <w:rPr/>
        <w:t>根据公司与李欣签订的《盈利预测补偿协议》以及北京亚太安讯科技有限责任公司</w:t>
      </w:r>
      <w:r>
        <w:rPr>
          <w:rFonts w:ascii="宋体" w:hAnsi="宋体" w:cs="宋体" w:eastAsia="宋体" w:hint="default"/>
        </w:rPr>
        <w:t>2013-2015</w:t>
      </w:r>
      <w:r>
        <w:rPr/>
        <w:t>年实现的扣除非经常性损益的</w:t>
      </w:r>
      <w:r>
        <w:rPr>
          <w:spacing w:val="-83"/>
        </w:rPr>
        <w:t> </w:t>
      </w:r>
      <w:r>
        <w:rPr>
          <w:spacing w:val="-83"/>
        </w:rPr>
      </w:r>
      <w:r>
        <w:rPr/>
        <w:t>净利润，因亚太安讯科技有限责任公司未能完成协议约定的盈利指标，公司有权以</w:t>
      </w:r>
      <w:r>
        <w:rPr>
          <w:rFonts w:ascii="宋体" w:hAnsi="宋体" w:cs="宋体" w:eastAsia="宋体" w:hint="default"/>
        </w:rPr>
        <w:t>1</w:t>
      </w:r>
      <w:r>
        <w:rPr/>
        <w:t>元价格回购李欣所持相应数量的公司股</w:t>
      </w:r>
      <w:r>
        <w:rPr>
          <w:spacing w:val="-82"/>
        </w:rPr>
        <w:t> </w:t>
      </w:r>
      <w:r>
        <w:rPr>
          <w:spacing w:val="-82"/>
        </w:rPr>
      </w:r>
      <w:r>
        <w:rPr/>
        <w:t>份。《盈利预测补偿协议》约定的业绩补偿属于非同一控制下企业合并中的或有对价安排。 </w:t>
      </w:r>
      <w:r>
        <w:rPr>
          <w:rFonts w:ascii="宋体" w:hAnsi="宋体" w:cs="宋体" w:eastAsia="宋体" w:hint="default"/>
          <w:spacing w:val="4"/>
        </w:rPr>
        <w:t>2015</w:t>
      </w:r>
      <w:r>
        <w:rPr>
          <w:spacing w:val="4"/>
        </w:rPr>
        <w:t>年，根据协议规定的方法计算，公司应该回购李欣持有的公司股份</w:t>
      </w:r>
      <w:r>
        <w:rPr>
          <w:rFonts w:ascii="宋体" w:hAnsi="宋体" w:cs="宋体" w:eastAsia="宋体" w:hint="default"/>
          <w:spacing w:val="4"/>
        </w:rPr>
        <w:t>30,314,460</w:t>
      </w:r>
      <w:r>
        <w:rPr>
          <w:spacing w:val="4"/>
        </w:rPr>
        <w:t>股（</w:t>
      </w:r>
      <w:r>
        <w:rPr>
          <w:rFonts w:ascii="宋体" w:hAnsi="宋体" w:cs="宋体" w:eastAsia="宋体" w:hint="default"/>
          <w:spacing w:val="4"/>
        </w:rPr>
        <w:t>10</w:t>
      </w:r>
      <w:r>
        <w:rPr>
          <w:spacing w:val="4"/>
        </w:rPr>
        <w:t>转</w:t>
      </w:r>
      <w:r>
        <w:rPr>
          <w:rFonts w:ascii="宋体" w:hAnsi="宋体" w:cs="宋体" w:eastAsia="宋体" w:hint="default"/>
          <w:spacing w:val="4"/>
        </w:rPr>
        <w:t>12</w:t>
      </w:r>
      <w:r>
        <w:rPr>
          <w:spacing w:val="4"/>
        </w:rPr>
        <w:t>股后，转股之前的股数为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rFonts w:ascii="宋体" w:hAnsi="宋体" w:cs="宋体" w:eastAsia="宋体" w:hint="default"/>
          <w:spacing w:val="-2"/>
        </w:rPr>
        <w:t>13,779,300</w:t>
      </w:r>
      <w:r>
        <w:rPr>
          <w:spacing w:val="-2"/>
        </w:rPr>
        <w:t>股），其中</w:t>
      </w:r>
      <w:r>
        <w:rPr>
          <w:rFonts w:ascii="宋体" w:hAnsi="宋体" w:cs="宋体" w:eastAsia="宋体" w:hint="default"/>
          <w:spacing w:val="-2"/>
        </w:rPr>
        <w:t>2015</w:t>
      </w:r>
      <w:r>
        <w:rPr>
          <w:spacing w:val="-2"/>
        </w:rPr>
        <w:t>年度已经回购</w:t>
      </w:r>
      <w:r>
        <w:rPr>
          <w:rFonts w:ascii="宋体" w:hAnsi="宋体" w:cs="宋体" w:eastAsia="宋体" w:hint="default"/>
          <w:spacing w:val="-2"/>
        </w:rPr>
        <w:t>5,074,307</w:t>
      </w:r>
      <w:r>
        <w:rPr>
          <w:spacing w:val="-2"/>
        </w:rPr>
        <w:t>股，尚未完成回购</w:t>
      </w:r>
      <w:r>
        <w:rPr>
          <w:rFonts w:ascii="宋体" w:hAnsi="宋体" w:cs="宋体" w:eastAsia="宋体" w:hint="default"/>
          <w:spacing w:val="-2"/>
        </w:rPr>
        <w:t>25,240,153</w:t>
      </w:r>
      <w:r>
        <w:rPr>
          <w:spacing w:val="-2"/>
        </w:rPr>
        <w:t>股。按照并购时非公开发行股份</w:t>
      </w:r>
      <w:r>
        <w:rPr>
          <w:rFonts w:ascii="宋体" w:hAnsi="宋体" w:cs="宋体" w:eastAsia="宋体" w:hint="default"/>
          <w:spacing w:val="-2"/>
        </w:rPr>
        <w:t>21.33</w:t>
      </w:r>
      <w:r>
        <w:rPr>
          <w:spacing w:val="-2"/>
        </w:rPr>
        <w:t>元的</w:t>
      </w:r>
      <w:r>
        <w:rPr>
          <w:spacing w:val="-30"/>
        </w:rPr>
        <w:t> </w:t>
      </w:r>
      <w:r>
        <w:rPr>
          <w:spacing w:val="-2"/>
        </w:rPr>
        <w:t>价格计算总计应收回的或有对价为</w:t>
      </w:r>
      <w:r>
        <w:rPr>
          <w:rFonts w:ascii="宋体" w:hAnsi="宋体" w:cs="宋体" w:eastAsia="宋体" w:hint="default"/>
          <w:spacing w:val="-2"/>
        </w:rPr>
        <w:t>293,912,469.00</w:t>
      </w:r>
      <w:r>
        <w:rPr>
          <w:spacing w:val="-2"/>
        </w:rPr>
        <w:t>元，其中已经回购</w:t>
      </w:r>
      <w:r>
        <w:rPr>
          <w:rFonts w:ascii="宋体" w:hAnsi="宋体" w:cs="宋体" w:eastAsia="宋体" w:hint="default"/>
          <w:spacing w:val="-2"/>
        </w:rPr>
        <w:t>5,074,307</w:t>
      </w:r>
      <w:r>
        <w:rPr>
          <w:spacing w:val="-2"/>
        </w:rPr>
        <w:t>股部分对应</w:t>
      </w:r>
      <w:r>
        <w:rPr>
          <w:rFonts w:ascii="宋体" w:hAnsi="宋体" w:cs="宋体" w:eastAsia="宋体" w:hint="default"/>
          <w:spacing w:val="-2"/>
        </w:rPr>
        <w:t>49,197,709.00</w:t>
      </w:r>
      <w:r>
        <w:rPr>
          <w:spacing w:val="-2"/>
        </w:rPr>
        <w:t>元，尚未回购部分</w:t>
      </w:r>
      <w:r>
        <w:rPr>
          <w:spacing w:val="-28"/>
        </w:rPr>
        <w:t> </w:t>
      </w:r>
      <w:r>
        <w:rPr>
          <w:spacing w:val="-28"/>
        </w:rPr>
      </w:r>
      <w:r>
        <w:rPr/>
        <w:t>对应金额</w:t>
      </w:r>
      <w:r>
        <w:rPr>
          <w:rFonts w:ascii="宋体" w:hAnsi="宋体" w:cs="宋体" w:eastAsia="宋体" w:hint="default"/>
        </w:rPr>
        <w:t>244,714,760.00</w:t>
      </w:r>
      <w:r>
        <w:rPr/>
        <w:t>元，公司将尚未完成回购部分的资产计入以公允价值计量且其变动计入当期损益的金融资产核算。 </w:t>
      </w:r>
      <w:r>
        <w:rPr>
          <w:rFonts w:ascii="宋体" w:hAnsi="宋体" w:cs="宋体" w:eastAsia="宋体" w:hint="default"/>
          <w:spacing w:val="-2"/>
        </w:rPr>
        <w:t>2016</w:t>
      </w:r>
      <w:r>
        <w:rPr>
          <w:spacing w:val="-2"/>
        </w:rPr>
        <w:t>年，因北京亚太安讯有限责任公司业绩未达标，根据协议约定业绩未达标将不向业绩补偿义务人李欣支付股利，公司将</w:t>
      </w:r>
      <w:r>
        <w:rPr>
          <w:spacing w:val="-62"/>
        </w:rPr>
        <w:t> </w:t>
      </w:r>
      <w:r>
        <w:rPr>
          <w:spacing w:val="-62"/>
        </w:rPr>
      </w:r>
      <w:r>
        <w:rPr/>
        <w:t>计提的</w:t>
      </w:r>
      <w:r>
        <w:rPr>
          <w:rFonts w:ascii="宋体" w:hAnsi="宋体" w:cs="宋体" w:eastAsia="宋体" w:hint="default"/>
        </w:rPr>
        <w:t>2014</w:t>
      </w:r>
      <w:r>
        <w:rPr/>
        <w:t>年度对李欣应分红股利</w:t>
      </w:r>
      <w:r>
        <w:rPr>
          <w:rFonts w:ascii="宋体" w:hAnsi="宋体" w:cs="宋体" w:eastAsia="宋体" w:hint="default"/>
        </w:rPr>
        <w:t>1,265,265.50</w:t>
      </w:r>
      <w:r>
        <w:rPr/>
        <w:t>元冲减以公允价值计量且其变动计入当期损益的金融资产科目。截至</w:t>
      </w:r>
      <w:r>
        <w:rPr>
          <w:rFonts w:ascii="宋体" w:hAnsi="宋体" w:cs="宋体" w:eastAsia="宋体" w:hint="default"/>
        </w:rPr>
        <w:t>2017</w:t>
      </w:r>
      <w:r>
        <w:rPr>
          <w:rFonts w:ascii="宋体" w:hAnsi="宋体" w:cs="宋体" w:eastAsia="宋体" w:hint="default"/>
          <w:spacing w:val="-1"/>
        </w:rPr>
        <w:t> </w:t>
      </w:r>
      <w:r>
        <w:rPr/>
        <w:t>年</w:t>
      </w:r>
      <w:r>
        <w:rPr>
          <w:rFonts w:ascii="宋体" w:hAnsi="宋体" w:cs="宋体" w:eastAsia="宋体" w:hint="default"/>
        </w:rPr>
        <w:t>12</w:t>
      </w:r>
      <w:r>
        <w:rPr/>
        <w:t>月</w:t>
      </w:r>
      <w:r>
        <w:rPr>
          <w:rFonts w:ascii="宋体" w:hAnsi="宋体" w:cs="宋体" w:eastAsia="宋体" w:hint="default"/>
        </w:rPr>
        <w:t>31</w:t>
      </w:r>
      <w:r>
        <w:rPr/>
        <w:t>日，余额为</w:t>
      </w:r>
      <w:r>
        <w:rPr>
          <w:rFonts w:ascii="宋体" w:hAnsi="宋体" w:cs="宋体" w:eastAsia="宋体" w:hint="default"/>
        </w:rPr>
        <w:t>243,449,494.50</w:t>
      </w:r>
      <w:r>
        <w:rPr/>
        <w:t>元。 </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月，公司收到浙江省杭州市中级人民法院发出的《执行裁定书》（（</w:t>
      </w:r>
      <w:r>
        <w:rPr>
          <w:rFonts w:ascii="宋体" w:hAnsi="宋体" w:cs="宋体" w:eastAsia="宋体" w:hint="default"/>
          <w:spacing w:val="-2"/>
        </w:rPr>
        <w:t>2016</w:t>
      </w:r>
      <w:r>
        <w:rPr>
          <w:spacing w:val="-2"/>
        </w:rPr>
        <w:t>）浙</w:t>
      </w:r>
      <w:r>
        <w:rPr>
          <w:rFonts w:ascii="宋体" w:hAnsi="宋体" w:cs="宋体" w:eastAsia="宋体" w:hint="default"/>
          <w:spacing w:val="-2"/>
        </w:rPr>
        <w:t>01</w:t>
      </w:r>
      <w:r>
        <w:rPr>
          <w:spacing w:val="-2"/>
        </w:rPr>
        <w:t>执</w:t>
      </w:r>
      <w:r>
        <w:rPr>
          <w:rFonts w:ascii="宋体" w:hAnsi="宋体" w:cs="宋体" w:eastAsia="宋体" w:hint="default"/>
          <w:spacing w:val="-2"/>
        </w:rPr>
        <w:t>306</w:t>
      </w:r>
      <w:r>
        <w:rPr>
          <w:spacing w:val="-2"/>
        </w:rPr>
        <w:t>、</w:t>
      </w:r>
      <w:r>
        <w:rPr>
          <w:rFonts w:ascii="宋体" w:hAnsi="宋体" w:cs="宋体" w:eastAsia="宋体" w:hint="default"/>
          <w:spacing w:val="-2"/>
        </w:rPr>
        <w:t>307</w:t>
      </w:r>
      <w:r>
        <w:rPr>
          <w:spacing w:val="-2"/>
        </w:rPr>
        <w:t>、</w:t>
      </w:r>
      <w:r>
        <w:rPr>
          <w:rFonts w:ascii="宋体" w:hAnsi="宋体" w:cs="宋体" w:eastAsia="宋体" w:hint="default"/>
          <w:spacing w:val="-2"/>
        </w:rPr>
        <w:t>308</w:t>
      </w:r>
      <w:r>
        <w:rPr>
          <w:spacing w:val="-2"/>
        </w:rPr>
        <w:t>号之一），个人股</w:t>
      </w:r>
      <w:r>
        <w:rPr>
          <w:spacing w:val="-50"/>
        </w:rPr>
        <w:t> </w:t>
      </w:r>
      <w:r>
        <w:rPr>
          <w:spacing w:val="-50"/>
        </w:rPr>
      </w:r>
      <w:r>
        <w:rPr/>
        <w:t>东李欣所持本公司</w:t>
      </w:r>
      <w:r>
        <w:rPr>
          <w:rFonts w:ascii="宋体" w:hAnsi="宋体" w:cs="宋体" w:eastAsia="宋体" w:hint="default"/>
        </w:rPr>
        <w:t>27,813,840</w:t>
      </w:r>
      <w:r>
        <w:rPr/>
        <w:t>股股份已划转至浙江浙商证券资产管理有限公司名下，公司无法通过回购股份收回业绩补偿</w:t>
      </w:r>
      <w:r>
        <w:rPr>
          <w:spacing w:val="-8"/>
        </w:rPr>
        <w:t> </w:t>
      </w:r>
      <w:r>
        <w:rPr>
          <w:spacing w:val="-8"/>
        </w:rPr>
      </w:r>
      <w:r>
        <w:rPr/>
        <w:t>款，公司已于本年将</w:t>
      </w:r>
      <w:r>
        <w:rPr>
          <w:rFonts w:ascii="宋体" w:hAnsi="宋体" w:cs="宋体" w:eastAsia="宋体" w:hint="default"/>
        </w:rPr>
        <w:t>243,449,494.50</w:t>
      </w:r>
      <w:r>
        <w:rPr/>
        <w:t>元转入其他应收款科目。 </w:t>
      </w:r>
      <w:r>
        <w:rPr>
          <w:rFonts w:ascii="宋体" w:hAnsi="宋体" w:cs="宋体" w:eastAsia="宋体" w:hint="default"/>
          <w:spacing w:val="-2"/>
        </w:rPr>
        <w:t>2018</w:t>
      </w:r>
      <w:r>
        <w:rPr>
          <w:spacing w:val="-2"/>
        </w:rPr>
        <w:t>年度公司总计收回</w:t>
      </w:r>
      <w:r>
        <w:rPr>
          <w:rFonts w:ascii="宋体" w:hAnsi="宋体" w:cs="宋体" w:eastAsia="宋体" w:hint="default"/>
          <w:spacing w:val="-2"/>
        </w:rPr>
        <w:t>4,090,146.45</w:t>
      </w:r>
      <w:r>
        <w:rPr>
          <w:spacing w:val="-2"/>
        </w:rPr>
        <w:t>元，其中通过房屋拍卖款和划转个人账户剩余款项收回</w:t>
      </w:r>
      <w:r>
        <w:rPr>
          <w:rFonts w:ascii="宋体" w:hAnsi="宋体" w:cs="宋体" w:eastAsia="宋体" w:hint="default"/>
          <w:spacing w:val="-2"/>
        </w:rPr>
        <w:t>3,830,576.75</w:t>
      </w:r>
      <w:r>
        <w:rPr>
          <w:spacing w:val="-2"/>
        </w:rPr>
        <w:t>元，通过其他方式</w:t>
      </w:r>
      <w:r>
        <w:rPr>
          <w:spacing w:val="-36"/>
        </w:rPr>
        <w:t> </w:t>
      </w:r>
      <w:r>
        <w:rPr>
          <w:spacing w:val="-36"/>
        </w:rPr>
      </w:r>
      <w:r>
        <w:rPr>
          <w:spacing w:val="-2"/>
        </w:rPr>
        <w:t>抵减业绩补偿款金额</w:t>
      </w:r>
      <w:r>
        <w:rPr>
          <w:rFonts w:ascii="宋体" w:hAnsi="宋体" w:cs="宋体" w:eastAsia="宋体" w:hint="default"/>
          <w:spacing w:val="-2"/>
        </w:rPr>
        <w:t>259,569.70</w:t>
      </w:r>
      <w:r>
        <w:rPr>
          <w:spacing w:val="-2"/>
        </w:rPr>
        <w:t>元。截至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日，其他应收款业绩补偿款余额为</w:t>
      </w:r>
      <w:r>
        <w:rPr>
          <w:rFonts w:ascii="宋体" w:hAnsi="宋体" w:cs="宋体" w:eastAsia="宋体" w:hint="default"/>
          <w:spacing w:val="-2"/>
        </w:rPr>
        <w:t>239,359,348.05</w:t>
      </w:r>
      <w:r>
        <w:rPr>
          <w:spacing w:val="-2"/>
        </w:rPr>
        <w:t>元，公司根据目前</w:t>
      </w:r>
      <w:r>
        <w:rPr>
          <w:spacing w:val="-36"/>
        </w:rPr>
        <w:t> </w:t>
      </w:r>
      <w:r>
        <w:rPr>
          <w:spacing w:val="-36"/>
        </w:rPr>
      </w:r>
      <w:r>
        <w:rPr>
          <w:spacing w:val="-2"/>
        </w:rPr>
        <w:t>李欣剩余财产的执行结果预估尚可收回</w:t>
      </w:r>
      <w:r>
        <w:rPr>
          <w:rFonts w:ascii="宋体" w:hAnsi="宋体" w:cs="宋体" w:eastAsia="宋体" w:hint="default"/>
          <w:spacing w:val="-2"/>
        </w:rPr>
        <w:t>5,400,000.00</w:t>
      </w:r>
      <w:r>
        <w:rPr>
          <w:spacing w:val="-2"/>
        </w:rPr>
        <w:t>元，在</w:t>
      </w:r>
      <w:r>
        <w:rPr>
          <w:rFonts w:ascii="宋体" w:hAnsi="宋体" w:cs="宋体" w:eastAsia="宋体" w:hint="default"/>
          <w:spacing w:val="-2"/>
        </w:rPr>
        <w:t>2018</w:t>
      </w:r>
      <w:r>
        <w:rPr>
          <w:spacing w:val="-2"/>
        </w:rPr>
        <w:t>年度对该笔其他应收款业绩补偿款计提</w:t>
      </w:r>
      <w:r>
        <w:rPr>
          <w:rFonts w:ascii="宋体" w:hAnsi="宋体" w:cs="宋体" w:eastAsia="宋体" w:hint="default"/>
          <w:spacing w:val="-2"/>
        </w:rPr>
        <w:t>233,959,348.05</w:t>
      </w:r>
      <w:r>
        <w:rPr>
          <w:spacing w:val="-2"/>
        </w:rPr>
        <w:t>元坏</w:t>
      </w:r>
      <w:r>
        <w:rPr>
          <w:spacing w:val="-35"/>
        </w:rPr>
        <w:t> </w:t>
      </w:r>
      <w:r>
        <w:rPr/>
        <w:t>账准备。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35"/>
      <w:bookmarkEnd w:id="23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11,244,658.81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1,323,138,742.09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1,031,784,339.17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1,334,383,400.90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1,047,834,339.17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6"/>
      <w:bookmarkEnd w:id="23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10,693,052.00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551,606.81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11,244,658.81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680"/>
        <w:jc w:val="left"/>
      </w:pPr>
      <w:r>
        <w:rPr>
          <w:rFonts w:ascii="Times New Roman" w:hAnsi="Times New Roman" w:cs="Times New Roman" w:eastAsia="Times New Roman" w:hint="default"/>
        </w:rPr>
        <w:t>2)</w:t>
      </w:r>
      <w:r>
        <w:rPr/>
        <w:t>期末公司已质押的应收票据</w:t>
      </w:r>
      <w:r>
        <w:rPr>
          <w:w w:val="99"/>
        </w:rPr>
        <w:t> </w:t>
      </w:r>
      <w:r>
        <w:rPr/>
        <w:t>不适用</w:t>
      </w:r>
    </w:p>
    <w:p>
      <w:pPr>
        <w:pStyle w:val="BodyText"/>
        <w:spacing w:line="240" w:lineRule="auto" w:before="40"/>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16,426,924.00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17,926,924.00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right="6642"/>
        <w:jc w:val="left"/>
      </w:pPr>
      <w:r>
        <w:rPr>
          <w:rFonts w:ascii="Times New Roman" w:hAnsi="Times New Roman" w:cs="Times New Roman" w:eastAsia="Times New Roman" w:hint="default"/>
        </w:rPr>
        <w:t>4)</w:t>
      </w:r>
      <w:r>
        <w:rPr/>
        <w:t>期末公司因出票人未履约而将其转应收账款的票据</w:t>
      </w:r>
      <w:r>
        <w:rPr>
          <w:w w:val="99"/>
        </w:rPr>
        <w:t> </w:t>
      </w:r>
      <w:r>
        <w:rPr/>
        <w:t>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应收账款" w:id="237"/>
      <w:bookmarkEnd w:id="23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1,616,92</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5,077.89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293,786,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335.80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1,323,138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,742.09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88,225.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285,303,8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86.59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1,031,784,3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39.17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1,617,62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0,477.89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294,481,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735.80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1,323,138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,742.09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285,999,2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86.59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1,031,784,3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39.17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1,010,102,679.85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50,505,134.01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167,279,306.60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16,727,930.65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131,320,053.43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26,264,010.70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120,057,093.93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60,028,547.00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95,810,461.34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47,905,230.70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92,355,482.74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92,355,482.74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1,616,925,077.89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293,786,335.80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18.20%</w:t>
            </w: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3"/>
        <w:ind w:right="0"/>
        <w:jc w:val="left"/>
      </w:pPr>
      <w:r>
        <w:rPr/>
        <w:t>本期计提坏账准备金额</w:t>
      </w:r>
      <w:r>
        <w:rPr>
          <w:spacing w:val="-47"/>
        </w:rPr>
        <w:t> </w:t>
      </w:r>
      <w:r>
        <w:rPr>
          <w:rFonts w:ascii="Times New Roman" w:hAnsi="Times New Roman" w:cs="Times New Roman" w:eastAsia="Times New Roman" w:hint="default"/>
        </w:rPr>
        <w:t>8,482,449.21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3"/>
        <w:ind w:right="8262"/>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340" w:lineRule="auto" w:before="42"/>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38" w:lineRule="auto" w:before="40"/>
        <w:ind w:right="1122"/>
        <w:jc w:val="left"/>
      </w:pPr>
      <w:r>
        <w:rPr/>
        <w:t>否 公司按欠款方归集的年末余额前五名应收账款汇总金额为</w:t>
      </w:r>
      <w:r>
        <w:rPr>
          <w:rFonts w:ascii="宋体" w:hAnsi="宋体" w:cs="宋体" w:eastAsia="宋体" w:hint="default"/>
        </w:rPr>
        <w:t>136,899,757.83</w:t>
      </w:r>
      <w:r>
        <w:rPr/>
        <w:t>元，占应收账款年末余额合计数的比例为</w:t>
      </w:r>
      <w:r>
        <w:rPr>
          <w:rFonts w:ascii="宋体" w:hAnsi="宋体" w:cs="宋体" w:eastAsia="宋体" w:hint="default"/>
        </w:rPr>
        <w:t>8.46%</w:t>
      </w:r>
      <w:r>
        <w:rPr/>
        <w:t>， 相应计提的坏账准备年末余额金额为</w:t>
      </w:r>
      <w:r>
        <w:rPr>
          <w:rFonts w:ascii="宋体" w:hAnsi="宋体" w:cs="宋体" w:eastAsia="宋体" w:hint="default"/>
        </w:rPr>
        <w:t>7,162,612.89</w:t>
      </w:r>
      <w:r>
        <w:rPr/>
        <w:t>元。</w:t>
      </w:r>
    </w:p>
    <w:p>
      <w:pPr>
        <w:pStyle w:val="BodyText"/>
        <w:spacing w:line="240" w:lineRule="auto" w:before="43"/>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预付款项" w:id="238"/>
      <w:bookmarkEnd w:id="23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162,293,359.58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167,680,694.66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8,936,083.89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23,344,936.10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3,950,348.70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11,430,477.25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8,184,097.28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14,098,718.90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183,363,889.45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216,554,826.91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1122"/>
        <w:jc w:val="left"/>
      </w:pPr>
      <w:r>
        <w:rPr/>
        <w:t>公司按预付对象归集的年末余额前五名预付账款汇总金额为</w:t>
      </w:r>
      <w:r>
        <w:rPr>
          <w:rFonts w:ascii="宋体" w:hAnsi="宋体" w:cs="宋体" w:eastAsia="宋体" w:hint="default"/>
        </w:rPr>
        <w:t>63,882,525.21</w:t>
      </w:r>
      <w:r>
        <w:rPr/>
        <w:t>元，占预付账款年末余额合计数的比例为</w:t>
      </w:r>
      <w:r>
        <w:rPr>
          <w:rFonts w:ascii="宋体" w:hAnsi="宋体" w:cs="宋体" w:eastAsia="宋体" w:hint="default"/>
        </w:rPr>
        <w:t>34.84% </w:t>
      </w:r>
      <w:r>
        <w:rPr/>
        <w:t>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6、其他应收款" w:id="241"/>
      <w:bookmarkEnd w:id="24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261,318,822.39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384,332,879.41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261,318,822.39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384,332,879.41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42"/>
      <w:bookmarkEnd w:id="24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43"/>
      <w:bookmarkEnd w:id="24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44"/>
      <w:bookmarkEnd w:id="24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239,359,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348.05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233,959,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348.05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351,393,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769.23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95,474,9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27.17%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255,918,8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490,436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106,104,0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384,332,87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286,099.2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591,039,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216.52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329,720,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394.13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55.79%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261,318,8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22.39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490,723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,020.21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106,390,1</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40.80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384,332,87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9.41</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233,959,348.05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0"/>
              <w:jc w:val="right"/>
              <w:rPr>
                <w:rFonts w:ascii="宋体" w:hAnsi="宋体" w:cs="宋体" w:eastAsia="宋体" w:hint="default"/>
                <w:sz w:val="18"/>
                <w:szCs w:val="18"/>
              </w:rPr>
            </w:pPr>
            <w:r>
              <w:rPr>
                <w:rFonts w:ascii="宋体" w:hAnsi="宋体" w:cs="宋体" w:eastAsia="宋体" w:hint="default"/>
                <w:sz w:val="18"/>
                <w:szCs w:val="18"/>
              </w:rPr>
              <w:t>收回可能性较低</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233,959,348.05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168,846,086.10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8,442,304.35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54,407,493.86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5,440,749.40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25,435,395.74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5,087,079.15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23,935,214.56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11,967,607.32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28,464,744.76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14,232,372.41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50,304,834.21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50,304,834.21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351,393,769.23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95,474,946.84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w:t>
            </w:r>
          </w:p>
        </w:tc>
      </w:tr>
    </w:tbl>
    <w:p>
      <w:pPr>
        <w:pStyle w:val="BodyText"/>
        <w:spacing w:line="360" w:lineRule="auto" w:before="51"/>
        <w:ind w:right="6252"/>
        <w:jc w:val="left"/>
      </w:pPr>
      <w:r>
        <w:rPr/>
        <w:t>确定该组合依据的说明： 组合中，按账龄分析法计提坏账准备的其他应收款。 组合中，采用余额百分比法计提坏账准备的其他应收款：</w:t>
      </w:r>
    </w:p>
    <w:p>
      <w:pPr>
        <w:pStyle w:val="BodyText"/>
        <w:spacing w:line="338" w:lineRule="auto" w:before="2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2"/>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年末单项金额不重大但单独计提坏账准备的其他应收款</w:t>
      </w:r>
    </w:p>
    <w:tbl>
      <w:tblPr>
        <w:tblW w:w="0" w:type="auto"/>
        <w:jc w:val="left"/>
        <w:tblInd w:w="149" w:type="dxa"/>
        <w:tblLayout w:type="fixed"/>
        <w:tblCellMar>
          <w:top w:w="0" w:type="dxa"/>
          <w:left w:w="0" w:type="dxa"/>
          <w:bottom w:w="0" w:type="dxa"/>
          <w:right w:w="0" w:type="dxa"/>
        </w:tblCellMar>
        <w:tblLook w:val="01E0"/>
      </w:tblPr>
      <w:tblGrid>
        <w:gridCol w:w="3512"/>
        <w:gridCol w:w="1560"/>
        <w:gridCol w:w="1559"/>
        <w:gridCol w:w="1134"/>
        <w:gridCol w:w="1450"/>
      </w:tblGrid>
      <w:tr>
        <w:trPr>
          <w:trHeight w:val="342" w:hRule="exact"/>
        </w:trPr>
        <w:tc>
          <w:tcPr>
            <w:tcW w:w="35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70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512" w:type="dxa"/>
            <w:vMerge/>
            <w:tcBorders>
              <w:left w:val="single" w:sz="4" w:space="0" w:color="000000"/>
              <w:bottom w:val="single" w:sz="4" w:space="0" w:color="000000"/>
              <w:right w:val="single" w:sz="4" w:space="0" w:color="000000"/>
            </w:tcBorders>
            <w:shd w:val="clear" w:color="auto" w:fill="D9D9D9"/>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3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35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马鞍山斯瑞奇建材销售有限公司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z w:val="18"/>
              </w:rPr>
              <w:t>286,099.24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z w:val="18"/>
              </w:rPr>
              <w:t>286,099.24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z w:val="18"/>
              </w:rPr>
              <w:t>100.00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59"/>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right"/>
              <w:rPr>
                <w:rFonts w:ascii="宋体" w:hAnsi="宋体" w:cs="宋体" w:eastAsia="宋体" w:hint="default"/>
                <w:sz w:val="18"/>
                <w:szCs w:val="18"/>
              </w:rPr>
            </w:pPr>
            <w:r>
              <w:rPr>
                <w:rFonts w:ascii="宋体"/>
                <w:sz w:val="18"/>
              </w:rPr>
              <w:t>286,099.24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right"/>
              <w:rPr>
                <w:rFonts w:ascii="宋体" w:hAnsi="宋体" w:cs="宋体" w:eastAsia="宋体" w:hint="default"/>
                <w:sz w:val="18"/>
                <w:szCs w:val="18"/>
              </w:rPr>
            </w:pPr>
            <w:r>
              <w:rPr>
                <w:rFonts w:ascii="宋体"/>
                <w:sz w:val="18"/>
              </w:rPr>
              <w:t>286,099.24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right"/>
              <w:rPr>
                <w:rFonts w:ascii="宋体" w:hAnsi="宋体" w:cs="宋体" w:eastAsia="宋体" w:hint="default"/>
                <w:sz w:val="18"/>
                <w:szCs w:val="18"/>
              </w:rPr>
            </w:pPr>
            <w:r>
              <w:rPr>
                <w:rFonts w:ascii="宋体"/>
                <w:sz w:val="18"/>
              </w:rPr>
              <w:t>100.00</w:t>
            </w:r>
          </w:p>
        </w:tc>
        <w:tc>
          <w:tcPr>
            <w:tcW w:w="14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43"/>
        <w:ind w:right="-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spacing w:val="-47"/>
        </w:rPr>
        <w:t> </w:t>
      </w:r>
      <w:r>
        <w:rPr>
          <w:rFonts w:ascii="Times New Roman" w:hAnsi="Times New Roman" w:cs="Times New Roman" w:eastAsia="Times New Roman" w:hint="default"/>
        </w:rPr>
        <w:t>224,007,053.33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352" w:lineRule="auto" w:before="42"/>
        <w:ind w:right="3759"/>
        <w:jc w:val="left"/>
      </w:pPr>
      <w:r>
        <w:rPr/>
        <w:t>不适用 </w:t>
      </w:r>
      <w:r>
        <w:rPr>
          <w:rFonts w:ascii="Times New Roman" w:hAnsi="Times New Roman" w:cs="Times New Roman" w:eastAsia="Times New Roman" w:hint="default"/>
        </w:rPr>
        <w:t>3)</w:t>
      </w:r>
      <w:r>
        <w:rPr/>
        <w:t>本期实际核销的其他应收款情况 不适用 其中重要的其他应收款核销情况： 不适用</w:t>
      </w:r>
    </w:p>
    <w:p>
      <w:pPr>
        <w:pStyle w:val="BodyText"/>
        <w:spacing w:line="240" w:lineRule="auto" w:before="31"/>
        <w:ind w:right="-14"/>
        <w:jc w:val="left"/>
      </w:pPr>
      <w:r>
        <w:rPr/>
        <w:t>其他应收款核销说明：</w:t>
      </w:r>
    </w:p>
    <w:p>
      <w:pPr>
        <w:pStyle w:val="BodyText"/>
        <w:spacing w:line="240" w:lineRule="auto" w:before="116"/>
        <w:ind w:right="-14"/>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634" w:space="219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131,926,549.19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135,979,077.66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143,255,372.38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182,105,108.23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21,999,949.23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22,622,508.97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47,895,038.07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141,895,038.07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6,602,959.60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8,121,287.28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591,039,216.52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490,723,020.21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233,959,348.05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浙江开达装饰工程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上海景聃企业管理 中心（有限合伙）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江苏谷德运维信息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湖州市北建设投资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332,850.00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299,016,348.05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237,992,198.05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45"/>
      <w:bookmarkEnd w:id="245"/>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11,552,573.43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11,552,573.43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9,183,403.77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9,183,403.77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13,567,155.42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9,276,962.47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15,151,097.28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10,860,904.33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1,517,610,571.85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1,517,610,571.85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1,460,172,509.59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1,460,172,509.59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已完工未结算资 产</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150,290,374.95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150,290,374.95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79,555,459.08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79,555,459.08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1,693,020,675.65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1,688,730,482.70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1,564,062,469.72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1,559,772,276.77</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8"/>
      <w:bookmarkEnd w:id="24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9"/>
      <w:bookmarkEnd w:id="24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2,462,897,371.28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852,917,740.52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1,798,204,539.95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1,517,610,571.85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50"/>
      <w:bookmarkEnd w:id="25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51"/>
      <w:bookmarkEnd w:id="25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80"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0、其他流动资产" w:id="252"/>
      <w:bookmarkEnd w:id="25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1,857,666.31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1,985,409.20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181,140.34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2,038,806.65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1,985,409.20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53"/>
      <w:bookmarkEnd w:id="25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5"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423,132,293.76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423,132,293.76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457,190,362.64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457,190,362.64</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215,581,350.60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215,581,350.60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326,451,759.48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326,451,759.48</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207,550,943.16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207,550,943.16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130,738,603.16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130,738,603.16</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423,132,293.76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423,132,293.76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457,190,362.64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457,190,362.64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5"/>
      <w:bookmarkEnd w:id="25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154,280,000.00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215,581,350.60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215,581,350.60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61,301,350.60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61,301,350.60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6"/>
      <w:bookmarkEnd w:id="25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浙江万朋 教育科技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80,188,000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80,188,000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亿邦国际 控股公司</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（原浙江 亿邦通信 科技股份 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4"/>
              <w:jc w:val="left"/>
              <w:rPr>
                <w:rFonts w:ascii="Times New Roman" w:hAnsi="Times New Roman" w:cs="Times New Roman" w:eastAsia="Times New Roman" w:hint="default"/>
                <w:sz w:val="18"/>
                <w:szCs w:val="18"/>
              </w:rPr>
            </w:pPr>
            <w:r>
              <w:rPr>
                <w:rFonts w:ascii="Times New Roman"/>
                <w:sz w:val="18"/>
              </w:rPr>
              <w:t>MAGIC</w:t>
            </w:r>
            <w:r>
              <w:rPr>
                <w:rFonts w:ascii="Times New Roman"/>
                <w:w w:val="99"/>
                <w:sz w:val="18"/>
              </w:rPr>
              <w:t> </w:t>
            </w:r>
            <w:r>
              <w:rPr>
                <w:rFonts w:ascii="Times New Roman"/>
                <w:spacing w:val="-3"/>
                <w:sz w:val="18"/>
              </w:rPr>
              <w:t>LEAP,INC</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山东博安 智能科技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杭州天迈 网络有限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4,565,943.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4,565,943.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杭州银江 健康云科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207,550,94</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207,550,94</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3.16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7"/>
      <w:bookmarkEnd w:id="25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可供出售权益工具期末公允价值严重下跌或非暂时性下跌但未计提减值准备的相关说" w:id="258"/>
      <w:bookmarkEnd w:id="25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9"/>
      <w:bookmarkEnd w:id="25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60"/>
      <w:bookmarkEnd w:id="260"/>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1"/>
      <w:bookmarkEnd w:id="26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2"/>
      <w:bookmarkEnd w:id="26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63"/>
      <w:bookmarkEnd w:id="26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64"/>
      <w:bookmarkEnd w:id="26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上海银江 智慧智能 化技术有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9,331,606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359,237.6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9,690,843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18,871,11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-1,640,23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-17,230,8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17,230,87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7.83</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湖南欧迈 特网络科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-284,451.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-284,451.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11,848,49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284,546.3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12,133,04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北京银江 瑞讯科技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2,543,967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10,624,67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4,401,684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-129,085.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4,272,598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杭州天尊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3,453,889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-921,836.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2,532,052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8,905,755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-240,358.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8,665,396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美国华人 执业医生 网络医院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-19,119,3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276,851,0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-21,039,3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482,811,6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医联网技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9,014,025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958,015.9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9,972,041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24,925,94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-1,232,26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23,693,68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29,565,26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-1,659,38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27,905,88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浙江交通 宝互联网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39,001,18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31,200,95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-30,764.4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12,199,76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19,969,23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重庆市银 江国超科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1,103,700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416,984.3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1,520,684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424,368,8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267,104,8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31,200,95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-22,614,9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-36,350,1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12,199,76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613,507,3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46.20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36,350,17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424,368,8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267,104,8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31,200,95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-22,614,9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-36,350,1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12,199,76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613,507,3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46.20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36,350,17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7.83</w:t>
            </w:r>
          </w:p>
        </w:tc>
      </w:tr>
    </w:tbl>
    <w:p>
      <w:pPr>
        <w:pStyle w:val="BodyText"/>
        <w:spacing w:line="338" w:lineRule="auto" w:before="51"/>
        <w:ind w:right="1032"/>
        <w:jc w:val="left"/>
      </w:pPr>
      <w:r>
        <w:rPr/>
        <w:t>其他说明 注</w:t>
      </w:r>
      <w:r>
        <w:rPr>
          <w:rFonts w:ascii="宋体" w:hAnsi="宋体" w:cs="宋体" w:eastAsia="宋体" w:hint="default"/>
        </w:rPr>
        <w:t>1</w:t>
      </w:r>
      <w:r>
        <w:rPr/>
        <w:t>：公司投资的北京欧迈特科技股份有限公司近几年亏损金额较大，且</w:t>
      </w:r>
      <w:r>
        <w:rPr>
          <w:rFonts w:ascii="宋体" w:hAnsi="宋体" w:cs="宋体" w:eastAsia="宋体" w:hint="default"/>
        </w:rPr>
        <w:t>2018</w:t>
      </w:r>
      <w:r>
        <w:rPr/>
        <w:t>年公司从全国中小企业股份转让系统摘牌，该</w:t>
      </w:r>
      <w:r>
        <w:rPr>
          <w:spacing w:val="-82"/>
        </w:rPr>
        <w:t> </w:t>
      </w:r>
      <w:r>
        <w:rPr>
          <w:spacing w:val="-82"/>
        </w:rPr>
      </w:r>
      <w:r>
        <w:rPr/>
        <w:t>笔投资通过转让股权转让实现退出的可能性较小，本年公司管理层根据谨慎性原则该笔投资全额计提了减值准备。</w:t>
      </w:r>
    </w:p>
    <w:p>
      <w:pPr>
        <w:pStyle w:val="BodyText"/>
        <w:spacing w:line="316" w:lineRule="auto" w:before="2"/>
        <w:ind w:right="0"/>
        <w:jc w:val="left"/>
      </w:pPr>
      <w:r>
        <w:rPr>
          <w:spacing w:val="-2"/>
        </w:rPr>
        <w:t>注</w:t>
      </w:r>
      <w:r>
        <w:rPr>
          <w:rFonts w:ascii="宋体" w:hAnsi="宋体" w:cs="宋体" w:eastAsia="宋体" w:hint="default"/>
          <w:spacing w:val="-2"/>
        </w:rPr>
        <w:t>2</w:t>
      </w:r>
      <w:r>
        <w:rPr>
          <w:spacing w:val="-2"/>
        </w:rPr>
        <w:t>：公司投资的美国华人执业医生网络医院因为自身经营费用较大，目前亏损金额较大，未来公司实现盈利的可能性较小，</w:t>
      </w:r>
      <w:r>
        <w:rPr>
          <w:spacing w:val="-64"/>
        </w:rPr>
        <w:t> </w:t>
      </w:r>
      <w:r>
        <w:rPr>
          <w:spacing w:val="-64"/>
        </w:rPr>
      </w:r>
      <w:r>
        <w:rPr/>
        <w:t>本年公司管理层根据谨慎性原则该笔投资全额计提了减值准备。 注</w:t>
      </w:r>
      <w:r>
        <w:rPr>
          <w:rFonts w:ascii="宋体" w:hAnsi="宋体" w:cs="宋体" w:eastAsia="宋体" w:hint="default"/>
        </w:rPr>
        <w:t>3</w:t>
      </w:r>
      <w:r>
        <w:rPr/>
        <w:t>：其他系本年出售浙江交通宝互联网技术有限公司</w:t>
      </w:r>
      <w:r>
        <w:rPr>
          <w:rFonts w:ascii="宋体" w:hAnsi="宋体" w:cs="宋体" w:eastAsia="宋体" w:hint="default"/>
        </w:rPr>
        <w:t>80%</w:t>
      </w:r>
      <w:r>
        <w:rPr/>
        <w:t>股份，剩余</w:t>
      </w:r>
      <w:r>
        <w:rPr>
          <w:rFonts w:ascii="宋体" w:hAnsi="宋体" w:cs="宋体" w:eastAsia="宋体" w:hint="default"/>
        </w:rPr>
        <w:t>20%</w:t>
      </w:r>
      <w:r>
        <w:rPr/>
        <w:t>股权按照其在丧失控制权日的公允价值重新计量。</w:t>
      </w:r>
      <w:r>
        <w:rPr>
          <w:spacing w:val="-82"/>
        </w:rPr>
        <w:t> </w:t>
      </w:r>
      <w:r>
        <w:rPr>
          <w:spacing w:val="-82"/>
        </w:rPr>
      </w:r>
      <w:r>
        <w:rPr>
          <w:spacing w:val="-2"/>
        </w:rPr>
        <w:t>处置股权取得的对价（</w:t>
      </w:r>
      <w:r>
        <w:rPr>
          <w:rFonts w:ascii="宋体" w:hAnsi="宋体" w:cs="宋体" w:eastAsia="宋体" w:hint="default"/>
          <w:spacing w:val="-2"/>
        </w:rPr>
        <w:t>8,000</w:t>
      </w:r>
      <w:r>
        <w:rPr>
          <w:spacing w:val="-2"/>
        </w:rPr>
        <w:t>万元）与剩余股权公允价值</w:t>
      </w:r>
      <w:r>
        <w:rPr>
          <w:rFonts w:ascii="宋体" w:hAnsi="宋体" w:cs="宋体" w:eastAsia="宋体" w:hint="default"/>
          <w:spacing w:val="-2"/>
        </w:rPr>
        <w:t>(2,000</w:t>
      </w:r>
      <w:r>
        <w:rPr>
          <w:spacing w:val="-2"/>
        </w:rPr>
        <w:t>万元</w:t>
      </w:r>
      <w:r>
        <w:rPr>
          <w:rFonts w:ascii="宋体" w:hAnsi="宋体" w:cs="宋体" w:eastAsia="宋体" w:hint="default"/>
          <w:spacing w:val="-2"/>
        </w:rPr>
        <w:t>)</w:t>
      </w:r>
      <w:r>
        <w:rPr>
          <w:spacing w:val="-2"/>
        </w:rPr>
        <w:t>之和，减去原持股比例计算应享有原子公司自购买日开</w:t>
      </w:r>
      <w:r>
        <w:rPr>
          <w:spacing w:val="-54"/>
        </w:rPr>
        <w:t> </w:t>
      </w:r>
      <w:r>
        <w:rPr>
          <w:spacing w:val="-54"/>
        </w:rPr>
      </w:r>
      <w:r>
        <w:rPr>
          <w:spacing w:val="-2"/>
        </w:rPr>
        <w:t>始持续计算的净资产的份额之间的差额</w:t>
      </w:r>
      <w:r>
        <w:rPr>
          <w:rFonts w:ascii="宋体" w:hAnsi="宋体" w:cs="宋体" w:eastAsia="宋体" w:hint="default"/>
          <w:spacing w:val="-2"/>
        </w:rPr>
        <w:t>63,600,575.02</w:t>
      </w:r>
      <w:r>
        <w:rPr>
          <w:spacing w:val="-2"/>
        </w:rPr>
        <w:t>元，计入本年投资收益，其中</w:t>
      </w:r>
      <w:r>
        <w:rPr>
          <w:rFonts w:ascii="宋体" w:hAnsi="宋体" w:cs="宋体" w:eastAsia="宋体" w:hint="default"/>
          <w:spacing w:val="-2"/>
        </w:rPr>
        <w:t>12,199,762.14</w:t>
      </w:r>
      <w:r>
        <w:rPr>
          <w:spacing w:val="-2"/>
        </w:rPr>
        <w:t>元增加剩余股权的长期股</w:t>
      </w:r>
      <w:r>
        <w:rPr>
          <w:spacing w:val="-38"/>
        </w:rPr>
        <w:t> </w:t>
      </w:r>
      <w:r>
        <w:rPr/>
        <w:t>权投资账面余额。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265"/>
      <w:bookmarkEnd w:id="26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6"/>
      <w:bookmarkEnd w:id="26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288,770,083.14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288,770,083.14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288,770,083.14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288,770,083.14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288,770,083.14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288,770,083.14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14,629,730.78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14,629,730.78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4,302,392.51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4,302,392.51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10,327,338.27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10,327,338.27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14,629,730.78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14,629,730.78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274,140,352.36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274,140,352.36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67"/>
      <w:bookmarkEnd w:id="26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68"/>
      <w:bookmarkEnd w:id="26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中国智谷富春园区办公楼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233,683,811.91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固定资产" w:id="269"/>
      <w:bookmarkEnd w:id="26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200,763,828.47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175,093,773.29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200,763,828.47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175,093,773.29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固定资产情况" w:id="270"/>
      <w:bookmarkEnd w:id="27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电子设备及其它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183,995,943.43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39,551,132.08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40,498,951.40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264,046,026.91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314,044,613.75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836,990.58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3,225,854.84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318,107,459.17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314,044,613.75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836,990.58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3,225,854.84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318,107,459.17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288,770,083.14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288,919,765.14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149,682.00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）转投资性房地产减</w:t>
            </w:r>
            <w:r>
              <w:rPr>
                <w:rFonts w:ascii="宋体" w:hAnsi="宋体" w:cs="宋体" w:eastAsia="宋体" w:hint="default"/>
                <w:sz w:val="18"/>
                <w:szCs w:val="18"/>
              </w:rPr>
              <w:t> 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288,770,083.14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288,770,083.14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209,270,474.04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40,356,322.66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43,606,924.24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293,233,720.94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30,457,296.71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29,422,231.54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29,072,725.37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88,952,253.62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7,071,180.62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3,398,163.62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3,517,018.67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13,986,362.91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7,071,180.62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3,398,163.62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3,517,018.67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13,986,362.91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10,327,338.27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111,175.79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10,468,724.06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111,175.79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141,385.79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）转投资性房地产减</w:t>
            </w:r>
            <w:r>
              <w:rPr>
                <w:rFonts w:ascii="宋体" w:hAnsi="宋体" w:cs="宋体" w:eastAsia="宋体" w:hint="default"/>
                <w:sz w:val="18"/>
                <w:szCs w:val="18"/>
              </w:rPr>
              <w:t> 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10,327,338.27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10,327,338.27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27,201,139.06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32,790,185.16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32,478,568.25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92,469,892.47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182,069,334.98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7,566,137.50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11,128,355.99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200,763,828.47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153,538,646.72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10,128,900.54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11,426,226.03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175,093,773.29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1"/>
      <w:bookmarkEnd w:id="27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72"/>
      <w:bookmarkEnd w:id="27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通过经营租赁租出的固定资产" w:id="273"/>
      <w:bookmarkEnd w:id="27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4"/>
      <w:bookmarkEnd w:id="27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中国智谷富春园区办公楼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77,894,603.97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75"/>
      <w:bookmarkEnd w:id="27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276"/>
      <w:bookmarkEnd w:id="27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388,932.35</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388,932.35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7"/>
      <w:bookmarkEnd w:id="27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中国智谷</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万套信息采集及 识别和安全设备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388,932.35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388,932.35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388,932.35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8"/>
      <w:bookmarkEnd w:id="27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计提在建工程减值准备情况" w:id="279"/>
      <w:bookmarkEnd w:id="27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工程物资" w:id="280"/>
      <w:bookmarkEnd w:id="28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81"/>
      <w:bookmarkEnd w:id="281"/>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2"/>
      <w:bookmarkEnd w:id="28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83"/>
      <w:bookmarkEnd w:id="28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油气资产" w:id="284"/>
      <w:bookmarkEnd w:id="284"/>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无形资产" w:id="285"/>
      <w:bookmarkEnd w:id="285"/>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6"/>
      <w:bookmarkEnd w:id="28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61"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406" w:right="50"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3"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34,872,120.00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102,639,528.08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6,415,663.08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143,930,311.16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26,321,554.91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503,625.90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26,825,180.81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503,625.90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1,103,625.90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25,721,554.91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25,721,554.91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34,872,120.00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）企业处置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34,872,120.00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128,961,082.99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6,919,288.98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135,883,371.97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919,602.00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30,306,594.96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1,318,569.39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32,547,766.35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581,202.00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11,309,339.04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444,927.57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12,335,468.61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581,202.00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11,309,339.04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444,927.57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12,335,468.61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1,500,804.00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1,500,804.00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）企业处置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1,500,804.00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1,500,804.00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41,615,934.00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1,763,496.96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43,382,430.96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87,345,148.99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5,155,792.02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92,500,941.01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33,952,518.00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72,332,933.12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5,097,093.69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111,382,544.81</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94.91%</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87"/>
      <w:bookmarkEnd w:id="28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8"/>
      <w:bookmarkEnd w:id="288"/>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7"/>
        <w:gridCol w:w="1135"/>
        <w:gridCol w:w="1134"/>
        <w:gridCol w:w="425"/>
        <w:gridCol w:w="494"/>
        <w:gridCol w:w="1349"/>
        <w:gridCol w:w="1134"/>
        <w:gridCol w:w="707"/>
        <w:gridCol w:w="1063"/>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大数据驱动的新型城市智 能交通系统研究与应用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5,038,420.19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17,575,169.06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10,631,809.71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11,981,779.54</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数据驱动的智慧教育云平 台研发及应用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3,381,008.92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1,639,908.78</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5,020,917.70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城市交通精细化管控技术 与系统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2,349,903.71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6,044,646.26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2,874,893.37</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5,519,656.60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基于主动反馈的交通控制 与开放服务平台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2,004,087.70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56,603.77</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2,060,691.47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EnloopHub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共性技术平台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1,542,659.46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362,811.25</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1,814,078.38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91,392.33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银江公安交通管理与指挥 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1,370,830.26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2,213,524.63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2,213,524.63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1,370,830.26</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医疗健康大数据分析技术 与平台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1,364,897.65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830,309.04</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2,195,206.69</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城市级停车服务平台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1,281,394.33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690,270.60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1,971,664.93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135"/>
        <w:gridCol w:w="1134"/>
        <w:gridCol w:w="425"/>
        <w:gridCol w:w="494"/>
        <w:gridCol w:w="1349"/>
        <w:gridCol w:w="1134"/>
        <w:gridCol w:w="707"/>
        <w:gridCol w:w="1063"/>
      </w:tblGrid>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个人健康云服务平台（芭乐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健康项目）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1,241,962.53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1,241,962.53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基于云计算的海量非结构 视频图像处理技术与应用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1,059,344.55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9,704,096.48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8,068,622.21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2,694,818.82</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971,047.69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4,356,662.92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5,207,044.61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120,666.00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银江城市公共信息服务平 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969,761.05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8,038,742.56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9,008,503.61</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快速路网交通态势可视化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563,387.74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8,203.88</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8,203.88</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563,387.74</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面向智慧旅游的精确导览 关键技术与系统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560,834.01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287,225.70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848,059.71</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银江志愿服务指挥平台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560,071.99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560,071.99</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银江警察机器人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273,924.52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253,702.92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527,627.44</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基于深度学习技术的车辆 特征识别与搜索系统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1,546,495.21</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1,736,915.21</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交通超能信号优化服务平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7,963,239.36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7,963,239.36</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大数据背景下新型突发事 </w:t>
            </w:r>
            <w:r>
              <w:rPr>
                <w:rFonts w:ascii="宋体" w:hAnsi="宋体" w:cs="宋体" w:eastAsia="宋体" w:hint="default"/>
                <w:spacing w:val="-8"/>
                <w:sz w:val="18"/>
                <w:szCs w:val="18"/>
              </w:rPr>
              <w:t>件应急保障系统、装备研发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与应用示范</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7,576,687.75</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1,486,922.97</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6,089,764.78</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智慧旅游服务的关键技术 与应用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6,073,273.83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6,073,273.83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人口健康服务平台运营服 务关键技术研发与应用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613,207.53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613,207.53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EnloopHub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共性技术平台</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v3.0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188,287.78</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188,287.78</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智慧管廊运维管理系统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V6.0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342,252.42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342,252.42</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数据大脑</w:t>
            </w:r>
            <w:r>
              <w:rPr>
                <w:rFonts w:ascii="Times New Roman" w:hAnsi="Times New Roman" w:cs="Times New Roman" w:eastAsia="Times New Roman" w:hint="default"/>
                <w:sz w:val="18"/>
                <w:szCs w:val="18"/>
              </w:rPr>
              <w:t>”</w:t>
            </w:r>
            <w:r>
              <w:rPr>
                <w:rFonts w:ascii="宋体" w:hAnsi="宋体" w:cs="宋体" w:eastAsia="宋体" w:hint="default"/>
                <w:sz w:val="18"/>
                <w:szCs w:val="18"/>
              </w:rPr>
              <w:t>交通治堵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5,308,253.96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5,308,253.96</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智慧水务管理平台</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1,684,267.62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1,684,267.62</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城市智能交通管理与指挥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v6.0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4,275,094.19</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4,275,094.19</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人工智能技术在城市交通 智能管控领域的示范应用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3,083,857.95</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948,136.87</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2,135,721.08</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海量交通大数据分析平台</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2,830,188.60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2,830,188.60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135"/>
        <w:gridCol w:w="1134"/>
        <w:gridCol w:w="425"/>
        <w:gridCol w:w="494"/>
        <w:gridCol w:w="1349"/>
        <w:gridCol w:w="1134"/>
        <w:gridCol w:w="707"/>
        <w:gridCol w:w="1063"/>
      </w:tblGrid>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护士站智能公告系统软件</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V1.0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1,268,382.93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1,268,382.93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司法行政大数据关键技术 研究与应用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2,058,858.47</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2,058,858.47</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卡口大数据分析研判系统 开发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区域人口健康信息云平台</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1,890,352.05</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1,890,352.05</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全民健康信息平台系统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1,547,149.64</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1,547,149.64</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智能政务开放创新服务平 台开发及应用示范</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1,478,463.61</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1,478,463.61</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家庭医生签约及综合服务 平台</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1,228,955.63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1,228,955.63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公共卫生应急指挥与决策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1,097,425.80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1,097,425.80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医共体信息平台系统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795,854.98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795,854.98</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医院信息物联网平台</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781,178.33</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781,178.33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老年人健康档案管理系统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699,260.95</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699,260.95</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基于医疗信息智能挖掘与 服务的云计算软件</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487,795.91</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487,795.91</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政务全流程信息平台系统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459,643.60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459,643.60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旅游宝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430,048.02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430,048.02</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静态交通管理系统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369,053.20</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369,053.20</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其他研发项目</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3,510,013.49</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3,510,013.49</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24,723,956.30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111,649,420.6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25,721,554.91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83,470,067.15</w:t>
            </w:r>
          </w:p>
        </w:tc>
        <w:tc>
          <w:tcPr>
            <w:tcW w:w="70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27,181,754.9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商誉" w:id="289"/>
      <w:bookmarkEnd w:id="289"/>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0"/>
      <w:bookmarkEnd w:id="29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商誉减值准备" w:id="291"/>
      <w:bookmarkEnd w:id="29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1,534,560.62</w:t>
            </w:r>
          </w:p>
        </w:tc>
      </w:tr>
    </w:tbl>
    <w:p>
      <w:pPr>
        <w:pStyle w:val="BodyText"/>
        <w:spacing w:line="338" w:lineRule="auto" w:before="51"/>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38" w:lineRule="auto" w:before="42"/>
        <w:ind w:right="1122"/>
        <w:jc w:val="left"/>
      </w:pPr>
      <w:r>
        <w:rPr/>
        <w:t>公司</w:t>
      </w:r>
      <w:r>
        <w:rPr>
          <w:rFonts w:ascii="宋体" w:hAnsi="宋体" w:cs="宋体" w:eastAsia="宋体" w:hint="default"/>
        </w:rPr>
        <w:t>2011</w:t>
      </w:r>
      <w:r>
        <w:rPr/>
        <w:t>年支付人民币</w:t>
      </w:r>
      <w:r>
        <w:rPr>
          <w:rFonts w:ascii="宋体" w:hAnsi="宋体" w:cs="宋体" w:eastAsia="宋体" w:hint="default"/>
        </w:rPr>
        <w:t>3,076,220.00</w:t>
      </w:r>
      <w:r>
        <w:rPr/>
        <w:t>元收购了浙江浙大健康管理有限公司</w:t>
      </w:r>
      <w:r>
        <w:rPr>
          <w:rFonts w:ascii="宋体" w:hAnsi="宋体" w:cs="宋体" w:eastAsia="宋体" w:hint="default"/>
        </w:rPr>
        <w:t>49%</w:t>
      </w:r>
      <w:r>
        <w:rPr/>
        <w:t>的权益，合并成本超过获得的浙江浙大健康管</w:t>
      </w:r>
      <w:r>
        <w:rPr>
          <w:spacing w:val="-83"/>
        </w:rPr>
        <w:t> </w:t>
      </w:r>
      <w:r>
        <w:rPr>
          <w:spacing w:val="-83"/>
        </w:rPr>
      </w:r>
      <w:r>
        <w:rPr/>
        <w:t>理有限公司可辨认资产、负债公允价值的份额</w:t>
      </w:r>
      <w:r>
        <w:rPr>
          <w:rFonts w:ascii="宋体" w:hAnsi="宋体" w:cs="宋体" w:eastAsia="宋体" w:hint="default"/>
        </w:rPr>
        <w:t>1,534,560.62</w:t>
      </w:r>
      <w:r>
        <w:rPr/>
        <w:t>元，确认为与浙江浙大健康管理有限公司相关的商誉。 商誉减值测试的影响</w:t>
      </w:r>
    </w:p>
    <w:p>
      <w:pPr>
        <w:pStyle w:val="BodyText"/>
        <w:spacing w:line="316" w:lineRule="auto" w:before="41"/>
        <w:ind w:right="0"/>
        <w:jc w:val="left"/>
      </w:pPr>
      <w:r>
        <w:rPr>
          <w:spacing w:val="-2"/>
        </w:rPr>
        <w:t>因浙江浙大健康管理有限公司过去三年处于亏损状态，同时未来五年财务预测的现金流存在较大不确定性，公司出于谨慎性</w:t>
      </w:r>
      <w:r>
        <w:rPr>
          <w:spacing w:val="-64"/>
        </w:rPr>
        <w:t> </w:t>
      </w:r>
      <w:r>
        <w:rPr>
          <w:spacing w:val="-64"/>
        </w:rPr>
      </w:r>
      <w:r>
        <w:rPr/>
        <w:t>考虑，对浙江浙大健康管理有限公司形成的商誉在</w:t>
      </w:r>
      <w:r>
        <w:rPr>
          <w:rFonts w:ascii="宋体" w:hAnsi="宋体" w:cs="宋体" w:eastAsia="宋体" w:hint="default"/>
        </w:rPr>
        <w:t>2014</w:t>
      </w:r>
      <w:r>
        <w:rPr/>
        <w:t>年度已全额计提商誉减值准备。</w:t>
      </w:r>
    </w:p>
    <w:p>
      <w:pPr>
        <w:pStyle w:val="BodyText"/>
        <w:spacing w:line="240" w:lineRule="auto" w:before="5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292"/>
      <w:bookmarkEnd w:id="2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2,356,679.55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2,904,889.63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1,568,849.97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3,692,719.21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219,960.00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219,960.00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2,576,639.55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2,904,889.63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1,788,809.97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3,692,719.21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93"/>
      <w:bookmarkEnd w:id="29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4"/>
      <w:bookmarkEnd w:id="29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549,763,880.47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84,833,390.44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348,597,293.39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55,407,246.90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应付款暂估形成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91,431,595.19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13,714,739.28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88,380,613.79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13,257,092.07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33,934,912.47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5,090,236.87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676,930,388.13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103,908,366.59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436,977,907.18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68,664,338.97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5"/>
      <w:bookmarkEnd w:id="29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61,301,350.60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9,195,202.59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25,825,763.92</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处置子公司部分股权对 剩余股权进行公允价值 调整形成的应纳税暂时 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12,199,762.14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1,829,964.32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73,501,112.74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11,025,166.91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6"/>
      <w:bookmarkEnd w:id="29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103,908,366.59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68,664,338.97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11,025,166.91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25,825,763.92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7"/>
      <w:bookmarkEnd w:id="29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坏账形成可抵扣暂时性差异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74,438,249.46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43,792,134.00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存货跌价准备形成的暂时性差异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4,290,192.95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4,290,192.95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递延收益形成的可抵扣暂时性差异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78,888,442.41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48,082,326.95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8"/>
      <w:bookmarkEnd w:id="29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9"/>
      <w:bookmarkEnd w:id="29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预付购房增值税款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15,238,095.24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已完工未运行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87,073,669.35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102,311,764.59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300"/>
      <w:bookmarkEnd w:id="30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1"/>
      <w:bookmarkEnd w:id="30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847,000,000.00</w:t>
            </w:r>
          </w:p>
        </w:tc>
      </w:tr>
    </w:tbl>
    <w:p>
      <w:pPr>
        <w:pStyle w:val="BodyText"/>
        <w:spacing w:line="240" w:lineRule="auto" w:before="51"/>
        <w:ind w:right="0"/>
        <w:jc w:val="left"/>
      </w:pPr>
      <w:r>
        <w:rPr/>
        <w:t>短期借款分类的说明：</w:t>
      </w:r>
    </w:p>
    <w:p>
      <w:pPr>
        <w:pStyle w:val="BodyText"/>
        <w:spacing w:line="300" w:lineRule="auto" w:before="116"/>
        <w:ind w:right="1062"/>
        <w:jc w:val="left"/>
      </w:pPr>
      <w:r>
        <w:rPr/>
        <w:t>注</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日，公司与中国工商银行股份有限公司杭州庆春路支行签订了编号为</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EFR</w:t>
      </w:r>
      <w:r>
        <w:rPr/>
        <w:t>）</w:t>
      </w:r>
      <w:r>
        <w:rPr>
          <w:rFonts w:ascii="Times New Roman" w:hAnsi="Times New Roman" w:cs="Times New Roman" w:eastAsia="Times New Roman" w:hint="default"/>
        </w:rPr>
        <w:t>00004</w:t>
      </w:r>
      <w:r>
        <w:rPr/>
        <w:t>号（保理） 的《国内保理业务合同》，以账面价值为人民币</w:t>
      </w:r>
      <w:r>
        <w:rPr>
          <w:rFonts w:ascii="Times New Roman" w:hAnsi="Times New Roman" w:cs="Times New Roman" w:eastAsia="Times New Roman" w:hint="default"/>
        </w:rPr>
        <w:t>91,112,261.44</w:t>
      </w:r>
      <w:r>
        <w:rPr/>
        <w:t>元的应收账款作为质押物，为公司在该行金额为</w:t>
      </w:r>
      <w:r>
        <w:rPr>
          <w:rFonts w:ascii="Times New Roman" w:hAnsi="Times New Roman" w:cs="Times New Roman" w:eastAsia="Times New Roman" w:hint="default"/>
        </w:rPr>
        <w:t>70,000,000.00</w:t>
      </w:r>
      <w:r>
        <w:rPr>
          <w:rFonts w:ascii="Times New Roman" w:hAnsi="Times New Roman" w:cs="Times New Roman" w:eastAsia="Times New Roman" w:hint="default"/>
          <w:spacing w:val="-41"/>
        </w:rPr>
        <w:t> </w:t>
      </w:r>
      <w:r>
        <w:rPr/>
        <w:t>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日的短期借款提供担保。 注</w:t>
      </w:r>
      <w:r>
        <w:rPr>
          <w:rFonts w:ascii="Times New Roman" w:hAnsi="Times New Roman" w:cs="Times New Roman" w:eastAsia="Times New Roman" w:hint="default"/>
        </w:rPr>
        <w:t>2</w:t>
      </w:r>
      <w:r>
        <w:rPr/>
        <w:t>：子公司浙江智尔信息技术有限公司以人民币</w:t>
      </w:r>
      <w:r>
        <w:rPr>
          <w:rFonts w:ascii="Times New Roman" w:hAnsi="Times New Roman" w:cs="Times New Roman" w:eastAsia="Times New Roman" w:hint="default"/>
        </w:rPr>
        <w:t>1,077,941.83</w:t>
      </w:r>
      <w:r>
        <w:rPr/>
        <w:t>元为质押，取得杭州联合农村商业银行股份有限公司科技支行 人民币</w:t>
      </w:r>
      <w:r>
        <w:rPr>
          <w:rFonts w:ascii="Times New Roman" w:hAnsi="Times New Roman" w:cs="Times New Roman" w:eastAsia="Times New Roman" w:hint="default"/>
        </w:rPr>
        <w:t>950,000.00</w:t>
      </w:r>
      <w:r>
        <w:rPr/>
        <w:t>元短期借款，期限为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p>
    <w:p>
      <w:pPr>
        <w:pStyle w:val="BodyText"/>
        <w:spacing w:line="240" w:lineRule="auto" w:before="13"/>
        <w:ind w:right="0"/>
        <w:jc w:val="left"/>
      </w:pPr>
      <w:r>
        <w:rPr/>
        <w:t>注</w:t>
      </w:r>
      <w:r>
        <w:rPr>
          <w:rFonts w:ascii="Times New Roman" w:hAnsi="Times New Roman" w:cs="Times New Roman" w:eastAsia="Times New Roman" w:hint="default"/>
        </w:rPr>
        <w:t>3</w:t>
      </w:r>
      <w:r>
        <w:rPr/>
        <w:t>：与关联方担保相关的借款详见本附注十一、</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25"/>
          <w:szCs w:val="25"/>
        </w:rPr>
      </w:pPr>
    </w:p>
    <w:p>
      <w:pPr>
        <w:spacing w:line="547" w:lineRule="auto" w:before="0"/>
        <w:ind w:left="154" w:right="5693" w:firstLine="0"/>
        <w:jc w:val="left"/>
        <w:rPr>
          <w:rFonts w:ascii="宋体" w:hAnsi="宋体" w:cs="宋体" w:eastAsia="宋体" w:hint="default"/>
          <w:sz w:val="21"/>
          <w:szCs w:val="21"/>
        </w:rPr>
      </w:pPr>
      <w:bookmarkStart w:name="（2）已逾期未偿还的短期借款情况"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7、以公允价值计量且其变动计入当期损益的金融负债" w:id="303"/>
      <w:bookmarkEnd w:id="303"/>
      <w:r>
        <w:rPr>
          <w:rFonts w:ascii="宋体" w:hAnsi="宋体" w:cs="宋体" w:eastAsia="宋体" w:hint="default"/>
          <w:sz w:val="18"/>
          <w:szCs w:val="18"/>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50"/>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304"/>
      <w:bookmarkEnd w:id="30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应付票据及应付账款" w:id="305"/>
      <w:bookmarkEnd w:id="30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121,789,951.88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126,022,484.70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876,023,221.48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870,951,047.76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997,813,173.36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996,973,532.46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6"/>
      <w:bookmarkEnd w:id="30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12,183,120.54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6,462,796.38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109,606,831.34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119,559,688.32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121,789,951.88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126,022,484.70</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7"/>
      <w:bookmarkEnd w:id="30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605,871,738.49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509,630,972.86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101,886,647.59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83,617,060.32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48,239,388.83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120,821,746.06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120,025,446.57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156,881,268.52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876,023,221.48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870,951,047.76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8"/>
      <w:bookmarkEnd w:id="30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杭州东星消防工程有限公司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12,152,577.00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杭州斯沃德电梯有限公司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10,341,900.00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吕梁市建筑安装总公司建筑安装工程处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深圳市东来奇德实业发展有限公司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6,158,990.05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36,191,367.05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309"/>
      <w:bookmarkEnd w:id="30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10"/>
      <w:bookmarkEnd w:id="31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145,463,512.06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132,107,162.93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5,738,035.56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11,794,692.37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7,103,523.78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2,228,253.74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7,192,963.32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8,215,828.66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165,498,034.72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154,345,937.70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2"/>
      <w:bookmarkEnd w:id="31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339,221,206.58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69,489,444.23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439,322,321.88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建造合同形成的已结算未完工项目</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-30,611,671.07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13"/>
      <w:bookmarkEnd w:id="31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4"/>
      <w:bookmarkEnd w:id="31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21,066,213.54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126,467,230.84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126,273,966.21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21,259,478.17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2,248,205.59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10,801,762.73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9,470,817.83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3,579,150.49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23,314,419.13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137,276,593.57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135,752,384.04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24,838,628.66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5"/>
      <w:bookmarkEnd w:id="31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19,037,651.44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107,954,160.99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108,925,516.02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18,066,296.41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4,427,961.74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4,428,361.74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1,815,990.28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9,149,051.27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7,998,179.79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2,966,861.76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1,619,426.35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8,125,359.52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7,103,901.30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2,640,884.57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271,287.63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244,266.44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83,528.18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140,056.94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752,404.12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650,012.05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242,449.01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3,406,302.00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3,406,616.00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195,417.82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1,529,754.84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1,515,292.66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209,880.00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21,066,213.54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126,467,230.84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126,273,966.21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21,259,478.17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6"/>
      <w:bookmarkEnd w:id="31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2,157,646.20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10,425,190.45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9,130,560.65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3,452,276.00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376,572.28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340,257.18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126,874.49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2,248,205.59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10,801,762.73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9,470,817.83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3,579,150.49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应交税费" w:id="317"/>
      <w:bookmarkEnd w:id="31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139,622,208.47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87,427,223.55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68,220,486.59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44,337,067.39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118,358.12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9,918,449.63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6,356,066.12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9,142,857.14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4,242,246.09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2,718,602.04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2,821,013.64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1,806,513.37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601,185.50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364,036.57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1,317,227.38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其他地方税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393,037.45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265,806.21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305,359.25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235,015,691.54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145,016,260.00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8"/>
      <w:bookmarkEnd w:id="31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1,190,044.88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3,084,556.35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210,902,100.98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196,950,088.68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215,574,523.23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201,224,689.91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9"/>
      <w:bookmarkEnd w:id="31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1,190,044.88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1,190,044.88</w:t>
            </w:r>
          </w:p>
        </w:tc>
      </w:tr>
    </w:tbl>
    <w:p>
      <w:pPr>
        <w:pStyle w:val="BodyText"/>
        <w:spacing w:line="360" w:lineRule="auto" w:before="51"/>
        <w:ind w:right="8052"/>
        <w:jc w:val="left"/>
      </w:pPr>
      <w:r>
        <w:rPr/>
        <w:t>重要的已逾期未支付的利息情况：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应付股利" w:id="320"/>
      <w:bookmarkEnd w:id="32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2,954,772.00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3,084,556.35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2,954,772.00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3,084,556.35</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付款" w:id="321"/>
      <w:bookmarkEnd w:id="32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202,889,298.84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189,231,698.42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1,304,560.59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193,850.05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1,898,831.69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3,604,155.55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1,806,409.86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917,384.66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210,902,100.98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196,950,088.68</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安徽中天信息技术有限公司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3,000,694.00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苏州安达金融咨询有限公司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山东智信电子工程有限公司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1,721,809.00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杭州市富阳区浙工大银湖创新创业研究 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1,061,525.30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7,854,028.30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持有待售负债" w:id="322"/>
      <w:bookmarkEnd w:id="32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23"/>
      <w:bookmarkEnd w:id="32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24"/>
      <w:bookmarkEnd w:id="32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307,886,301.36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307,886,301.36</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2"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银江股份 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32"/>
              <w:jc w:val="both"/>
              <w:rPr>
                <w:rFonts w:ascii="宋体" w:hAnsi="宋体" w:cs="宋体" w:eastAsia="宋体" w:hint="default"/>
                <w:sz w:val="18"/>
                <w:szCs w:val="18"/>
              </w:rPr>
            </w:pPr>
            <w:r>
              <w:rPr>
                <w:rFonts w:ascii="宋体" w:hAnsi="宋体" w:cs="宋体" w:eastAsia="宋体" w:hint="default"/>
                <w:sz w:val="18"/>
                <w:szCs w:val="18"/>
              </w:rPr>
              <w:t>度第一期 短期融资 券</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2017/7/10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307,886,3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8,901,369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312,328.7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317,100,0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8,901,369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312,328.7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317,100,0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25"/>
      <w:bookmarkEnd w:id="32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6"/>
      <w:bookmarkEnd w:id="32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付债券" w:id="327"/>
      <w:bookmarkEnd w:id="32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长期应付款" w:id="328"/>
      <w:bookmarkEnd w:id="32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29"/>
      <w:bookmarkEnd w:id="329"/>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预计负债" w:id="330"/>
      <w:bookmarkEnd w:id="330"/>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递延收益" w:id="331"/>
      <w:bookmarkEnd w:id="331"/>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426"/>
        <w:gridCol w:w="850"/>
        <w:gridCol w:w="1277"/>
        <w:gridCol w:w="991"/>
        <w:gridCol w:w="1134"/>
        <w:gridCol w:w="498"/>
        <w:gridCol w:w="1062"/>
        <w:gridCol w:w="1063"/>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3"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0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突发事件应急保障新技术新 方法及装备研究和应用</w:t>
            </w:r>
            <w:r>
              <w:rPr>
                <w:rFonts w:ascii="Times New Roman" w:hAnsi="Times New Roman" w:cs="Times New Roman" w:eastAsia="Times New Roman" w:hint="default"/>
                <w:sz w:val="18"/>
                <w:szCs w:val="18"/>
              </w:rPr>
              <w:t>-</w:t>
            </w:r>
            <w:r>
              <w:rPr>
                <w:rFonts w:ascii="宋体" w:hAnsi="宋体" w:cs="宋体" w:eastAsia="宋体" w:hint="default"/>
                <w:sz w:val="18"/>
                <w:szCs w:val="18"/>
              </w:rPr>
              <w:t>大 数据背景下新型突发事件应 急保障系统、装备研发与应 用示范（注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人工智能技术在特定领域的 应用研究与示范</w:t>
            </w:r>
            <w:r>
              <w:rPr>
                <w:rFonts w:ascii="Times New Roman" w:hAnsi="Times New Roman" w:cs="Times New Roman" w:eastAsia="Times New Roman" w:hint="default"/>
                <w:sz w:val="18"/>
                <w:szCs w:val="18"/>
              </w:rPr>
              <w:t>-</w:t>
            </w:r>
            <w:r>
              <w:rPr>
                <w:rFonts w:ascii="宋体" w:hAnsi="宋体" w:cs="宋体" w:eastAsia="宋体" w:hint="default"/>
                <w:sz w:val="18"/>
                <w:szCs w:val="18"/>
              </w:rPr>
              <w:t>人工智能</w:t>
            </w: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426"/>
        <w:gridCol w:w="850"/>
        <w:gridCol w:w="1277"/>
        <w:gridCol w:w="991"/>
        <w:gridCol w:w="1134"/>
        <w:gridCol w:w="498"/>
        <w:gridCol w:w="1062"/>
        <w:gridCol w:w="1063"/>
      </w:tblGrid>
      <w:tr>
        <w:trPr>
          <w:trHeight w:val="67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技术在城市交通智能管控领 域的示范（注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突发事件应急保障新技术新 方法及装备研究和应用</w:t>
            </w:r>
            <w:r>
              <w:rPr>
                <w:rFonts w:ascii="Times New Roman" w:hAnsi="Times New Roman" w:cs="Times New Roman" w:eastAsia="Times New Roman" w:hint="default"/>
                <w:sz w:val="18"/>
                <w:szCs w:val="18"/>
              </w:rPr>
              <w:t>-</w:t>
            </w:r>
            <w:r>
              <w:rPr>
                <w:rFonts w:ascii="宋体" w:hAnsi="宋体" w:cs="宋体" w:eastAsia="宋体" w:hint="default"/>
                <w:sz w:val="18"/>
                <w:szCs w:val="18"/>
              </w:rPr>
              <w:t>大 数据背景下新型突发事件应 急保障系统、装备研发与应 用示范（注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1122"/>
        <w:jc w:val="left"/>
      </w:pPr>
      <w:r>
        <w:rPr/>
        <w:t>其他说明： 注</w:t>
      </w:r>
      <w:r>
        <w:rPr>
          <w:rFonts w:ascii="宋体" w:hAnsi="宋体" w:cs="宋体" w:eastAsia="宋体" w:hint="default"/>
        </w:rPr>
        <w:t>1</w:t>
      </w:r>
      <w:r>
        <w:rPr/>
        <w:t>：根据浙江省科学技术厅</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28</w:t>
      </w:r>
      <w:r>
        <w:rPr/>
        <w:t>日发布的编号为</w:t>
      </w:r>
      <w:r>
        <w:rPr>
          <w:rFonts w:ascii="宋体" w:hAnsi="宋体" w:cs="宋体" w:eastAsia="宋体" w:hint="default"/>
        </w:rPr>
        <w:t>2018C03042</w:t>
      </w:r>
      <w:r>
        <w:rPr/>
        <w:t>的浙江省科技计划项目合同书，公司于</w:t>
      </w:r>
      <w:r>
        <w:rPr>
          <w:rFonts w:ascii="宋体" w:hAnsi="宋体" w:cs="宋体" w:eastAsia="宋体" w:hint="default"/>
        </w:rPr>
        <w:t>2018</w:t>
      </w:r>
      <w:r>
        <w:rPr/>
        <w:t>年</w:t>
      </w:r>
      <w:r>
        <w:rPr>
          <w:rFonts w:ascii="宋体" w:hAnsi="宋体" w:cs="宋体" w:eastAsia="宋体" w:hint="default"/>
        </w:rPr>
        <w:t>3</w:t>
      </w:r>
      <w:r>
        <w:rPr/>
        <w:t>月收到</w:t>
      </w:r>
      <w:r>
        <w:rPr>
          <w:spacing w:val="-84"/>
        </w:rPr>
        <w:t> </w:t>
      </w:r>
      <w:r>
        <w:rPr/>
        <w:t>政府补助</w:t>
      </w:r>
      <w:r>
        <w:rPr>
          <w:rFonts w:ascii="宋体" w:hAnsi="宋体" w:cs="宋体" w:eastAsia="宋体" w:hint="default"/>
        </w:rPr>
        <w:t>960,000</w:t>
      </w:r>
      <w:r>
        <w:rPr/>
        <w:t>元，属于与收益相关的政府补助，年末研发项目尚未验收，计入递延收益。</w:t>
      </w:r>
    </w:p>
    <w:p>
      <w:pPr>
        <w:pStyle w:val="BodyText"/>
        <w:spacing w:line="316" w:lineRule="auto" w:before="2"/>
        <w:ind w:right="1115"/>
        <w:jc w:val="left"/>
      </w:pPr>
      <w:r>
        <w:rPr/>
        <w:t>注</w:t>
      </w:r>
      <w:r>
        <w:rPr>
          <w:rFonts w:ascii="宋体" w:hAnsi="宋体" w:cs="宋体" w:eastAsia="宋体" w:hint="default"/>
        </w:rPr>
        <w:t>2</w:t>
      </w:r>
      <w:r>
        <w:rPr/>
        <w:t>：</w:t>
      </w:r>
      <w:r>
        <w:rPr>
          <w:spacing w:val="7"/>
        </w:rPr>
        <w:t> </w:t>
      </w:r>
      <w:r>
        <w:rPr/>
        <w:t>根据浙江省科学技术厅</w:t>
      </w:r>
      <w:r>
        <w:rPr>
          <w:rFonts w:ascii="宋体" w:hAnsi="宋体" w:cs="宋体" w:eastAsia="宋体" w:hint="default"/>
        </w:rPr>
        <w:t>2018</w:t>
      </w:r>
      <w:r>
        <w:rPr/>
        <w:t>年发布的编号为</w:t>
      </w:r>
      <w:r>
        <w:rPr>
          <w:rFonts w:ascii="宋体" w:hAnsi="宋体" w:cs="宋体" w:eastAsia="宋体" w:hint="default"/>
        </w:rPr>
        <w:t>2018C01007</w:t>
      </w:r>
      <w:r>
        <w:rPr/>
        <w:t>的浙江省科技计划项目合同书，公司于</w:t>
      </w:r>
      <w:r>
        <w:rPr>
          <w:rFonts w:ascii="宋体" w:hAnsi="宋体" w:cs="宋体" w:eastAsia="宋体" w:hint="default"/>
        </w:rPr>
        <w:t>2018</w:t>
      </w:r>
      <w:r>
        <w:rPr/>
        <w:t>年</w:t>
      </w:r>
      <w:r>
        <w:rPr>
          <w:rFonts w:ascii="宋体" w:hAnsi="宋体" w:cs="宋体" w:eastAsia="宋体" w:hint="default"/>
        </w:rPr>
        <w:t>3</w:t>
      </w:r>
      <w:r>
        <w:rPr/>
        <w:t>月收到政府补 助</w:t>
      </w:r>
      <w:r>
        <w:rPr>
          <w:rFonts w:ascii="宋体" w:hAnsi="宋体" w:cs="宋体" w:eastAsia="宋体" w:hint="default"/>
        </w:rPr>
        <w:t>840,000</w:t>
      </w:r>
      <w:r>
        <w:rPr/>
        <w:t>元，属于与收益相关的政府补助，年末研发项目尚未验收，计入递延收益。 </w:t>
      </w:r>
      <w:r>
        <w:rPr>
          <w:spacing w:val="-2"/>
        </w:rPr>
        <w:t>注</w:t>
      </w:r>
      <w:r>
        <w:rPr>
          <w:rFonts w:ascii="宋体" w:hAnsi="宋体" w:cs="宋体" w:eastAsia="宋体" w:hint="default"/>
          <w:spacing w:val="-2"/>
        </w:rPr>
        <w:t>3</w:t>
      </w:r>
      <w:r>
        <w:rPr>
          <w:spacing w:val="-2"/>
        </w:rPr>
        <w:t>：根据浙江省科学技术厅</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日发布的编号为</w:t>
      </w:r>
      <w:r>
        <w:rPr>
          <w:rFonts w:ascii="宋体" w:hAnsi="宋体" w:cs="宋体" w:eastAsia="宋体" w:hint="default"/>
          <w:spacing w:val="-2"/>
        </w:rPr>
        <w:t>2018C03042</w:t>
      </w:r>
      <w:r>
        <w:rPr>
          <w:spacing w:val="-2"/>
        </w:rPr>
        <w:t>的浙江省科技计划项目合同书，公司全资子公司浙江银</w:t>
      </w:r>
      <w:r>
        <w:rPr>
          <w:spacing w:val="-46"/>
        </w:rPr>
        <w:t> </w:t>
      </w:r>
      <w:r>
        <w:rPr>
          <w:spacing w:val="-46"/>
        </w:rPr>
      </w:r>
      <w:r>
        <w:rPr>
          <w:spacing w:val="-2"/>
        </w:rPr>
        <w:t>江研究院有限公司于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月收到政府补助</w:t>
      </w:r>
      <w:r>
        <w:rPr>
          <w:rFonts w:ascii="宋体" w:hAnsi="宋体" w:cs="宋体" w:eastAsia="宋体" w:hint="default"/>
          <w:spacing w:val="-2"/>
        </w:rPr>
        <w:t>160,000</w:t>
      </w:r>
      <w:r>
        <w:rPr>
          <w:spacing w:val="-2"/>
        </w:rPr>
        <w:t>元，属于与收益相关的政府补助，年末研发项目尚未验收，计入递延收</w:t>
      </w:r>
      <w:r>
        <w:rPr>
          <w:spacing w:val="-54"/>
        </w:rPr>
        <w:t> </w:t>
      </w:r>
      <w:r>
        <w:rPr>
          <w:spacing w:val="-54"/>
        </w:rPr>
      </w:r>
      <w:r>
        <w:rPr/>
        <w:t>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3、其他非流动负债" w:id="332"/>
      <w:bookmarkEnd w:id="332"/>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股本" w:id="333"/>
      <w:bookmarkEnd w:id="333"/>
      <w:r>
        <w:rPr>
          <w:b w:val="0"/>
          <w:bCs w:val="0"/>
        </w:rPr>
      </w:r>
      <w:r>
        <w:rPr>
          <w:rFonts w:ascii="Times New Roman" w:hAnsi="Times New Roman" w:cs="Times New Roman" w:eastAsia="Times New Roman" w:hint="default"/>
        </w:rPr>
        <w:t>44</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655,789,086.00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655,789,086.00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其他权益工具" w:id="334"/>
      <w:bookmarkEnd w:id="334"/>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6、资本公积" w:id="335"/>
      <w:bookmarkEnd w:id="33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1,566,809,540.84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1,566,809,540.84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8,330,793.57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16,989,302.00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25,320,095.57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1,575,140,334.41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16,989,302.00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1,592,129,636.41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2922"/>
        <w:jc w:val="left"/>
      </w:pPr>
      <w:r>
        <w:rPr/>
        <w:t>其他说明，包括本期增减变动情况、变动原因说明： 本年资本公积变动系公司第三次股权激励本期确认激励费用使其他资本公积增加</w:t>
      </w:r>
      <w:r>
        <w:rPr>
          <w:rFonts w:ascii="宋体" w:hAnsi="宋体" w:cs="宋体" w:eastAsia="宋体" w:hint="default"/>
        </w:rPr>
        <w:t>16,989,302.00</w:t>
      </w:r>
      <w:r>
        <w:rPr/>
        <w:t>元。</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7、库存股" w:id="336"/>
      <w:bookmarkEnd w:id="33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其他综合收益" w:id="337"/>
      <w:bookmarkEnd w:id="33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146,345,995.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-110,870,40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8.88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-16,630,561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-94,239,847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52,106,14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146,345,995.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-110,870,40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8.88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-16,630,561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-94,239,847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52,106,14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8.01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146,345,995.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-110,870,40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8.88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-16,630,561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-94,239,847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52,106,14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8.01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专项储备" w:id="338"/>
      <w:bookmarkEnd w:id="33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0、盈余公积" w:id="339"/>
      <w:bookmarkEnd w:id="33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111,659,473.19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10,565,369.72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122,224,842.91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111,659,473.19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10,565,369.72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122,224,842.91</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未分配利润" w:id="340"/>
      <w:bookmarkEnd w:id="34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825,668,583.07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729,984,275.03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825,668,583.07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729,984,275.03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26,444,095.70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138,654,236.34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10,565,369.72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11,442,481.65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31,527,446.65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31,527,446.65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810,019,862.40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825,668,583.07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1"/>
      <w:bookmarkEnd w:id="34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2,402,907,332.72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1,821,633,652.22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1,939,504,905.47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1,419,178,140.31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10,370,474.03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4,937,089.04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2,716,308.81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2,059,859.73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2,413,277,806.75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1,826,570,741.26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1,942,221,214.28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1,421,238,000.04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42"/>
      <w:bookmarkEnd w:id="34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5,450,427.41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4,409,034.65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2,375,197.10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1,922,584.97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2,176,559.11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1,129,072.86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1,245,044.36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706,857.18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1,563,529.45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1,249,929.72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其他地方税种</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3,236,825.20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4,016,867.13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16,047,582.63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13,434,346.51</w:t>
            </w:r>
          </w:p>
        </w:tc>
      </w:tr>
    </w:tbl>
    <w:p>
      <w:pPr>
        <w:pStyle w:val="BodyText"/>
        <w:spacing w:line="357" w:lineRule="auto" w:before="51"/>
        <w:ind w:right="6612"/>
        <w:jc w:val="left"/>
      </w:pPr>
      <w:r>
        <w:rPr/>
        <w:t>其他说明： 注：各项税金及附加的计缴标准详见附注五、税项。</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4、销售费用" w:id="343"/>
      <w:bookmarkEnd w:id="34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20,134,937.01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18,869,891.90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9,131,770.15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8,966,157.60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1,446,780.38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947,569.74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2,760,642.69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1,079,230.42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8,037,676.43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8,224,933.33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2,737,173.89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3,723,388.30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6,107,667.20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5,974,179.71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1,056,282.22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1,492,966.48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382,403.11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504,212.26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498,135.90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823,947.61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3,935,559.09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3,067,901.35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56,229,028.07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53,674,378.70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管理费用" w:id="344"/>
      <w:bookmarkEnd w:id="34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67,022,545.05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67,655,486.79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8,405,213.45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8,644,415.48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24,461,597.28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29,727,199.91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12,114,631.67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12,097,824.50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6,081,203.72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6,264,942.94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821,432.82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953,660.13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4,854,807.89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4,816,100.57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2,626,283.50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2,796,244.20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2,678,416.55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4,231,314.96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7,581,067.32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9,904,740.82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16,989,302.00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5,019,566.50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7,206,430.48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7,159,290.73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160,842,931.73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159,270,787.53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45"/>
      <w:bookmarkEnd w:id="34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26,384,766.15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30,421,064.19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1,373,217.00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620,318.08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4,718,217.62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425,670.08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677,513.25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430,969.81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212,304.12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56,773.16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299,066.85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212,612.73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98,822.90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631,443.88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196,618.86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36,124,581.23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4,936,019.16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11,183,450.07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17,670,594.21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655,262.51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565,106.16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2,350,620.17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181,970.33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358,498.44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83,470,067.15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61,989,409.17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46"/>
      <w:bookmarkEnd w:id="34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62,331,951.92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48,566,769.06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11,194,318.98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20,910,942.98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-59,861.05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1,148,424.72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679,675.92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52,226,196.61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28,335,502.00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47"/>
      <w:bookmarkEnd w:id="34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232,489,502.54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101,465,049.66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36,350,177.83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268,839,680.37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101,465,049.66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收益" w:id="348"/>
      <w:bookmarkEnd w:id="34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0、投资收益" w:id="349"/>
      <w:bookmarkEnd w:id="34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-22,614,988.49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-11,889,386.78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63,600,575.02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6,883,958.12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586,615.92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879,923.88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51,624,340.00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52,216,784.25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93,196,542.45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48,091,279.47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50"/>
      <w:bookmarkEnd w:id="35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2、资产处置收益" w:id="351"/>
      <w:bookmarkEnd w:id="35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-4,696.21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-13,983.36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52"/>
      <w:bookmarkEnd w:id="35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2,639,458.73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7,802,270.90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2,360,976.20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108,369.07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710,393.85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108,369.07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罚款及赔偿利得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48,561.64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12,385.48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48,561.64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2,811,389.44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8,526,550.23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2,532,906.91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198.740005pt;margin-top:274.549988pt;width:26.7pt;height:20.8pt;mso-position-horizontal-relative:page;mso-position-vertical-relative:page;z-index:-1156480" coordorigin="3975,5491" coordsize="534,416">
            <v:group style="position:absolute;left:3986;top:5502;width:2;height:393" coordorigin="3986,5502" coordsize="2,393">
              <v:shape style="position:absolute;left:3986;top:5502;width:2;height:393" coordorigin="3986,5502" coordsize="0,393" path="m3986,5502l3986,5895e" filled="false" stroked="true" strokeweight="1.140pt" strokecolor="#ffffff">
                <v:path arrowok="t"/>
              </v:shape>
            </v:group>
            <v:group style="position:absolute;left:3998;top:5502;width:512;height:393" coordorigin="3998,5502" coordsize="512,393">
              <v:shape style="position:absolute;left:3998;top:5502;width:512;height:393" coordorigin="3998,5502" coordsize="512,393" path="m3998,5895l4509,5895,4509,5502,3998,5502,3998,5895xe" filled="true" fillcolor="#ffffff" stroked="false">
                <v:path arrowok="t"/>
                <v:fill type="solid"/>
              </v:shape>
            </v:group>
            <w10:wrap type="none"/>
          </v:group>
        </w:pict>
      </w:r>
      <w:r>
        <w:rPr/>
        <w:pict>
          <v:group style="position:absolute;margin-left:198.740005pt;margin-top:358.249969pt;width:27.85pt;height:28pt;mso-position-horizontal-relative:page;mso-position-vertical-relative:page;z-index:-1156456" coordorigin="3975,7165" coordsize="557,560">
            <v:group style="position:absolute;left:3986;top:7176;width:2;height:393" coordorigin="3986,7176" coordsize="2,393">
              <v:shape style="position:absolute;left:3986;top:7176;width:2;height:393" coordorigin="3986,7176" coordsize="0,393" path="m3986,7176l3986,7569e" filled="false" stroked="true" strokeweight="1.140pt" strokecolor="#ffffff">
                <v:path arrowok="t"/>
              </v:shape>
            </v:group>
            <v:group style="position:absolute;left:3975;top:7569;width:557;height:156" coordorigin="3975,7569" coordsize="557,156">
              <v:shape style="position:absolute;left:3975;top:7569;width:557;height:156" coordorigin="3975,7569" coordsize="557,156" path="m3975,7725l4532,7725,4532,7569,3975,7569,3975,7725xe" filled="true" fillcolor="#ffffff" stroked="false">
                <v:path arrowok="t"/>
                <v:fill type="solid"/>
              </v:shape>
            </v:group>
            <v:group style="position:absolute;left:3998;top:7176;width:512;height:393" coordorigin="3998,7176" coordsize="512,393">
              <v:shape style="position:absolute;left:3998;top:7176;width:512;height:393" coordorigin="3998,7176" coordsize="512,393" path="m3998,7569l4509,7569,4509,7176,3998,7176,3998,7569xe" filled="true" fillcolor="#ffffff" stroked="false">
                <v:path arrowok="t"/>
                <v:fill type="solid"/>
              </v:shape>
            </v:group>
            <w10:wrap type="none"/>
          </v:group>
        </w:pict>
      </w:r>
    </w:p>
    <w:p>
      <w:pPr>
        <w:pStyle w:val="BodyText"/>
        <w:spacing w:line="240" w:lineRule="auto" w:before="44"/>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568"/>
        <w:gridCol w:w="566"/>
        <w:gridCol w:w="1134"/>
        <w:gridCol w:w="710"/>
        <w:gridCol w:w="1418"/>
        <w:gridCol w:w="708"/>
        <w:gridCol w:w="1063"/>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残疾人用工补助（注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杭财行</w:t>
            </w:r>
            <w:r>
              <w:rPr>
                <w:rFonts w:ascii="Times New Roman" w:hAnsi="Times New Roman" w:cs="Times New Roman" w:eastAsia="Times New Roman" w:hint="default"/>
                <w:sz w:val="18"/>
                <w:szCs w:val="18"/>
              </w:rPr>
              <w:t>[2017]54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号杭州工业与信息 化发展财政专项（注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杭州市专利申请补助（注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杭州市软件登记费补助（注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区科教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201827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年第一季度专 利资助（注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年度人才激励专项资金（注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182,817.00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杭财行</w:t>
            </w:r>
            <w:r>
              <w:rPr>
                <w:rFonts w:ascii="Times New Roman" w:hAnsi="Times New Roman" w:cs="Times New Roman" w:eastAsia="Times New Roman" w:hint="default"/>
                <w:sz w:val="18"/>
                <w:szCs w:val="18"/>
              </w:rPr>
              <w:t>[2018]17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号杭州市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培养 人选自主经费（注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人保局产业扶持资金（注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政府补助（杭财行</w:t>
            </w:r>
            <w:r>
              <w:rPr>
                <w:rFonts w:ascii="Times New Roman" w:hAnsi="Times New Roman" w:cs="Times New Roman" w:eastAsia="Times New Roman" w:hint="default"/>
                <w:sz w:val="18"/>
                <w:szCs w:val="18"/>
              </w:rPr>
              <w:t>[2018]26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年第二批市</w:t>
            </w:r>
            <w:r>
              <w:rPr>
                <w:rFonts w:ascii="宋体" w:hAnsi="宋体" w:cs="宋体" w:eastAsia="宋体" w:hint="default"/>
                <w:spacing w:val="-61"/>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引进国外智</w:t>
            </w:r>
            <w:r>
              <w:rPr>
                <w:rFonts w:ascii="宋体" w:hAnsi="宋体" w:cs="宋体" w:eastAsia="宋体" w:hint="default"/>
                <w:spacing w:val="-90"/>
                <w:sz w:val="18"/>
                <w:szCs w:val="18"/>
              </w:rPr>
              <w:t>力</w:t>
            </w:r>
            <w:r>
              <w:rPr>
                <w:rFonts w:ascii="宋体" w:hAnsi="宋体" w:cs="宋体" w:eastAsia="宋体" w:hint="default"/>
                <w:sz w:val="18"/>
                <w:szCs w:val="18"/>
              </w:rPr>
              <w:t>（注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年重点学会学术活 </w:t>
            </w:r>
            <w:r>
              <w:rPr>
                <w:rFonts w:ascii="宋体" w:hAnsi="宋体" w:cs="宋体" w:eastAsia="宋体" w:hint="default"/>
                <w:spacing w:val="-12"/>
                <w:sz w:val="18"/>
                <w:szCs w:val="18"/>
              </w:rPr>
              <w:t>动补助经费）（注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安博会展位费补助（注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w:t>
            </w:r>
            <w:r>
              <w:rPr>
                <w:rFonts w:ascii="宋体" w:hAnsi="宋体" w:cs="宋体" w:eastAsia="宋体" w:hint="default"/>
                <w:spacing w:val="-6"/>
                <w:sz w:val="18"/>
                <w:szCs w:val="18"/>
              </w:rPr>
              <w:t>助</w:t>
            </w:r>
            <w:r>
              <w:rPr>
                <w:rFonts w:ascii="宋体" w:hAnsi="宋体" w:cs="宋体" w:eastAsia="宋体" w:hint="default"/>
                <w:sz w:val="18"/>
                <w:szCs w:val="18"/>
              </w:rPr>
              <w:t>（重点学术立项项目</w:t>
            </w:r>
            <w:r>
              <w:rPr>
                <w:rFonts w:ascii="宋体" w:hAnsi="宋体" w:cs="宋体" w:eastAsia="宋体" w:hint="default"/>
                <w:spacing w:val="-96"/>
                <w:sz w:val="18"/>
                <w:szCs w:val="18"/>
              </w:rPr>
              <w:t>）</w:t>
            </w:r>
            <w:r>
              <w:rPr>
                <w:rFonts w:ascii="宋体" w:hAnsi="宋体" w:cs="宋体" w:eastAsia="宋体" w:hint="default"/>
                <w:sz w:val="18"/>
                <w:szCs w:val="18"/>
              </w:rPr>
              <w:t>（注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 </w:t>
            </w:r>
            <w:r>
              <w:rPr>
                <w:rFonts w:ascii="宋体" w:hAnsi="宋体" w:cs="宋体" w:eastAsia="宋体" w:hint="default"/>
                <w:sz w:val="18"/>
                <w:szCs w:val="18"/>
              </w:rPr>
              <w:t>专项经费（注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软件产品退税（注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中国博士后基金会引进项目奖励</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软件产品退税（注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267,319.18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区科技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号知识产权奖励（注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区科技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号知识产权奖励（注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杭州市软件登记费补助（注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杭州市授权发明专利补助（注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年发展与改革专项资金杭财企</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产业技术研究与开发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区科技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201838 </w:t>
            </w:r>
            <w:r>
              <w:rPr>
                <w:rFonts w:ascii="宋体" w:hAnsi="宋体" w:cs="宋体" w:eastAsia="宋体" w:hint="default"/>
                <w:sz w:val="18"/>
                <w:szCs w:val="18"/>
              </w:rPr>
              <w:t>号第二季专利资产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568"/>
        <w:gridCol w:w="566"/>
        <w:gridCol w:w="1134"/>
        <w:gridCol w:w="710"/>
        <w:gridCol w:w="1418"/>
        <w:gridCol w:w="708"/>
        <w:gridCol w:w="1063"/>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杭州高新区（滨江）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 度专利资助经费（注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国家和市级高新技术企业首次认定 奖补（注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年优惠政策补贴（注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年高新技术企业补贴（注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年度人才激励专项资金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2,639,458.73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1122"/>
        <w:jc w:val="left"/>
      </w:pPr>
      <w:r>
        <w:rPr/>
        <w:t>其他说明： </w:t>
      </w:r>
      <w:r>
        <w:rPr>
          <w:spacing w:val="-2"/>
        </w:rPr>
        <w:t>注</w:t>
      </w:r>
      <w:r>
        <w:rPr>
          <w:rFonts w:ascii="宋体" w:hAnsi="宋体" w:cs="宋体" w:eastAsia="宋体" w:hint="default"/>
          <w:spacing w:val="-2"/>
        </w:rPr>
        <w:t>1</w:t>
      </w:r>
      <w:r>
        <w:rPr>
          <w:spacing w:val="-2"/>
        </w:rPr>
        <w:t>：根据杭州市劳动和社会保证障局、杭州市财政局发布的《关于印发</w:t>
      </w:r>
      <w:r>
        <w:rPr>
          <w:rFonts w:ascii="宋体" w:hAnsi="宋体" w:cs="宋体" w:eastAsia="宋体" w:hint="default"/>
          <w:spacing w:val="-2"/>
        </w:rPr>
        <w:t>(</w:t>
      </w:r>
      <w:r>
        <w:rPr>
          <w:spacing w:val="-2"/>
        </w:rPr>
        <w:t>用人单位吸纳持</w:t>
      </w:r>
      <w:r>
        <w:rPr>
          <w:rFonts w:ascii="宋体" w:hAnsi="宋体" w:cs="宋体" w:eastAsia="宋体" w:hint="default"/>
          <w:spacing w:val="-2"/>
        </w:rPr>
        <w:t>{</w:t>
      </w:r>
      <w:r>
        <w:rPr>
          <w:spacing w:val="-2"/>
        </w:rPr>
        <w:t>杭州市就业援助证</w:t>
      </w:r>
      <w:r>
        <w:rPr>
          <w:rFonts w:ascii="宋体" w:hAnsi="宋体" w:cs="宋体" w:eastAsia="宋体" w:hint="default"/>
          <w:spacing w:val="-2"/>
        </w:rPr>
        <w:t>}</w:t>
      </w:r>
      <w:r>
        <w:rPr>
          <w:spacing w:val="-2"/>
        </w:rPr>
        <w:t>人员享受用工</w:t>
      </w:r>
      <w:r>
        <w:rPr>
          <w:spacing w:val="-62"/>
        </w:rPr>
        <w:t> </w:t>
      </w:r>
      <w:r>
        <w:rPr/>
        <w:t>补助和社会保险费补贴管理办法</w:t>
      </w:r>
      <w:r>
        <w:rPr>
          <w:rFonts w:ascii="宋体" w:hAnsi="宋体" w:cs="宋体" w:eastAsia="宋体" w:hint="default"/>
        </w:rPr>
        <w:t>)</w:t>
      </w:r>
      <w:r>
        <w:rPr/>
        <w:t>的通知》（杭劳社就【</w:t>
      </w:r>
      <w:r>
        <w:rPr>
          <w:rFonts w:ascii="宋体" w:hAnsi="宋体" w:cs="宋体" w:eastAsia="宋体" w:hint="default"/>
        </w:rPr>
        <w:t>2009</w:t>
      </w:r>
      <w:r>
        <w:rPr/>
        <w:t>】</w:t>
      </w:r>
      <w:r>
        <w:rPr>
          <w:rFonts w:ascii="宋体" w:hAnsi="宋体" w:cs="宋体" w:eastAsia="宋体" w:hint="default"/>
        </w:rPr>
        <w:t>255</w:t>
      </w:r>
      <w:r>
        <w:rPr/>
        <w:t>号），公司于</w:t>
      </w:r>
      <w:r>
        <w:rPr>
          <w:rFonts w:ascii="宋体" w:hAnsi="宋体" w:cs="宋体" w:eastAsia="宋体" w:hint="default"/>
        </w:rPr>
        <w:t>2018</w:t>
      </w:r>
      <w:r>
        <w:rPr/>
        <w:t>年</w:t>
      </w:r>
      <w:r>
        <w:rPr>
          <w:rFonts w:ascii="宋体" w:hAnsi="宋体" w:cs="宋体" w:eastAsia="宋体" w:hint="default"/>
        </w:rPr>
        <w:t>1</w:t>
      </w:r>
      <w:r>
        <w:rPr/>
        <w:t>月收到用人单位吸纳持《杭州市就</w:t>
      </w:r>
    </w:p>
    <w:p>
      <w:pPr>
        <w:pStyle w:val="BodyText"/>
        <w:spacing w:line="316" w:lineRule="auto" w:before="2"/>
        <w:ind w:right="0"/>
        <w:jc w:val="left"/>
      </w:pPr>
      <w:r>
        <w:rPr/>
        <w:t>业援助证》人员享受用工补助和社会保险费补贴</w:t>
      </w:r>
      <w:r>
        <w:rPr>
          <w:rFonts w:ascii="宋体" w:hAnsi="宋体" w:cs="宋体" w:eastAsia="宋体" w:hint="default"/>
        </w:rPr>
        <w:t>33,200</w:t>
      </w:r>
      <w:r>
        <w:rPr/>
        <w:t>元，计入营业外收入。 注</w:t>
      </w:r>
      <w:r>
        <w:rPr>
          <w:rFonts w:ascii="宋体" w:hAnsi="宋体" w:cs="宋体" w:eastAsia="宋体" w:hint="default"/>
        </w:rPr>
        <w:t>2</w:t>
      </w:r>
      <w:r>
        <w:rPr/>
        <w:t>：根据杭州市财政局、杭州市人力资源和社会保障局发布的《关于核拨杭州市博士后科研工作站建站资助和博士后研究</w:t>
      </w:r>
      <w:r>
        <w:rPr>
          <w:spacing w:val="-83"/>
        </w:rPr>
        <w:t> </w:t>
      </w:r>
      <w:r>
        <w:rPr>
          <w:spacing w:val="-83"/>
        </w:rPr>
      </w:r>
      <w:r>
        <w:rPr/>
        <w:t>人员一次性科研补助经费的通知》（杭财行【</w:t>
      </w:r>
      <w:r>
        <w:rPr>
          <w:rFonts w:ascii="宋体" w:hAnsi="宋体" w:cs="宋体" w:eastAsia="宋体" w:hint="default"/>
        </w:rPr>
        <w:t>2017</w:t>
      </w:r>
      <w:r>
        <w:rPr/>
        <w:t>】</w:t>
      </w:r>
      <w:r>
        <w:rPr>
          <w:rFonts w:ascii="宋体" w:hAnsi="宋体" w:cs="宋体" w:eastAsia="宋体" w:hint="default"/>
        </w:rPr>
        <w:t>54</w:t>
      </w:r>
      <w:r>
        <w:rPr/>
        <w:t>号），公司于</w:t>
      </w:r>
      <w:r>
        <w:rPr>
          <w:rFonts w:ascii="宋体" w:hAnsi="宋体" w:cs="宋体" w:eastAsia="宋体" w:hint="default"/>
        </w:rPr>
        <w:t>2018</w:t>
      </w:r>
      <w:r>
        <w:rPr/>
        <w:t>年</w:t>
      </w:r>
      <w:r>
        <w:rPr>
          <w:rFonts w:ascii="宋体" w:hAnsi="宋体" w:cs="宋体" w:eastAsia="宋体" w:hint="default"/>
        </w:rPr>
        <w:t>5</w:t>
      </w:r>
      <w:r>
        <w:rPr/>
        <w:t>月收到杭州市博士后科研工作站建站资助和博</w:t>
      </w:r>
      <w:r>
        <w:rPr>
          <w:spacing w:val="-83"/>
        </w:rPr>
        <w:t> </w:t>
      </w:r>
      <w:r>
        <w:rPr>
          <w:spacing w:val="-83"/>
        </w:rPr>
      </w:r>
      <w:r>
        <w:rPr/>
        <w:t>士后研究人员一次性科研补助经费</w:t>
      </w:r>
      <w:r>
        <w:rPr>
          <w:rFonts w:ascii="宋体" w:hAnsi="宋体" w:cs="宋体" w:eastAsia="宋体" w:hint="default"/>
        </w:rPr>
        <w:t>50,000</w:t>
      </w:r>
      <w:r>
        <w:rPr/>
        <w:t>元，计入营业外收入。 注</w:t>
      </w:r>
      <w:r>
        <w:rPr>
          <w:rFonts w:ascii="宋体" w:hAnsi="宋体" w:cs="宋体" w:eastAsia="宋体" w:hint="default"/>
        </w:rPr>
        <w:t>3</w:t>
      </w:r>
      <w:r>
        <w:rPr/>
        <w:t>：根据杭州市高新技术产业开发区科学技术局、杭州市滨江区科学技术局、杭州市高新技术产业开发区财政局、杭州市</w:t>
      </w:r>
      <w:r>
        <w:rPr>
          <w:spacing w:val="-81"/>
        </w:rPr>
        <w:t> </w:t>
      </w:r>
      <w:r>
        <w:rPr>
          <w:spacing w:val="-81"/>
        </w:rPr>
      </w:r>
      <w:r>
        <w:rPr>
          <w:spacing w:val="-2"/>
        </w:rPr>
        <w:t>滨江区财政局发布的《关于转拨杭州市</w:t>
      </w:r>
      <w:r>
        <w:rPr>
          <w:rFonts w:ascii="宋体" w:hAnsi="宋体" w:cs="宋体" w:eastAsia="宋体" w:hint="default"/>
          <w:spacing w:val="-2"/>
        </w:rPr>
        <w:t>2017</w:t>
      </w:r>
      <w:r>
        <w:rPr>
          <w:spacing w:val="-2"/>
        </w:rPr>
        <w:t>年第四季度专利专项资助经费的通知》（区科技【</w:t>
      </w:r>
      <w:r>
        <w:rPr>
          <w:rFonts w:ascii="宋体" w:hAnsi="宋体" w:cs="宋体" w:eastAsia="宋体" w:hint="default"/>
          <w:spacing w:val="-2"/>
        </w:rPr>
        <w:t>2018</w:t>
      </w:r>
      <w:r>
        <w:rPr>
          <w:spacing w:val="-2"/>
        </w:rPr>
        <w:t>】</w:t>
      </w:r>
      <w:r>
        <w:rPr>
          <w:rFonts w:ascii="宋体" w:hAnsi="宋体" w:cs="宋体" w:eastAsia="宋体" w:hint="default"/>
          <w:spacing w:val="-2"/>
        </w:rPr>
        <w:t>4</w:t>
      </w:r>
      <w:r>
        <w:rPr>
          <w:spacing w:val="-2"/>
        </w:rPr>
        <w:t>号），公司于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rFonts w:ascii="宋体" w:hAnsi="宋体" w:cs="宋体" w:eastAsia="宋体" w:hint="default"/>
          <w:spacing w:val="-55"/>
        </w:rPr>
        <w:t> </w:t>
      </w:r>
      <w:r>
        <w:rPr/>
        <w:t>月收到转拨杭州市专利专项资助经费</w:t>
      </w:r>
      <w:r>
        <w:rPr>
          <w:rFonts w:ascii="宋体" w:hAnsi="宋体" w:cs="宋体" w:eastAsia="宋体" w:hint="default"/>
        </w:rPr>
        <w:t>138,600</w:t>
      </w:r>
      <w:r>
        <w:rPr/>
        <w:t>元，计入营业外收入。 注</w:t>
      </w:r>
      <w:r>
        <w:rPr>
          <w:rFonts w:ascii="宋体" w:hAnsi="宋体" w:cs="宋体" w:eastAsia="宋体" w:hint="default"/>
        </w:rPr>
        <w:t>4</w:t>
      </w:r>
      <w:r>
        <w:rPr/>
        <w:t>：根据杭州市高新技术产业开发区科学技术局、杭州市滨江区科学技术局、杭州市高新技术产业开发区财政局、杭州市</w:t>
      </w:r>
      <w:r>
        <w:rPr>
          <w:spacing w:val="-83"/>
        </w:rPr>
        <w:t> </w:t>
      </w:r>
      <w:r>
        <w:rPr>
          <w:spacing w:val="-83"/>
        </w:rPr>
      </w:r>
      <w:r>
        <w:rPr>
          <w:spacing w:val="-9"/>
        </w:rPr>
        <w:t>滨江区财政局发布的《关于下达杭州高新区（滨江）</w:t>
      </w:r>
      <w:r>
        <w:rPr>
          <w:rFonts w:ascii="宋体" w:hAnsi="宋体" w:cs="宋体" w:eastAsia="宋体" w:hint="default"/>
          <w:spacing w:val="-9"/>
        </w:rPr>
        <w:t>2018</w:t>
      </w:r>
      <w:r>
        <w:rPr>
          <w:spacing w:val="-9"/>
        </w:rPr>
        <w:t>年第一季度专利资助经费的通知》（区科技【</w:t>
      </w:r>
      <w:r>
        <w:rPr>
          <w:rFonts w:ascii="宋体" w:hAnsi="宋体" w:cs="宋体" w:eastAsia="宋体" w:hint="default"/>
          <w:spacing w:val="-9"/>
        </w:rPr>
        <w:t>2018</w:t>
      </w:r>
      <w:r>
        <w:rPr>
          <w:spacing w:val="-9"/>
        </w:rPr>
        <w:t>】</w:t>
      </w:r>
      <w:r>
        <w:rPr>
          <w:rFonts w:ascii="宋体" w:hAnsi="宋体" w:cs="宋体" w:eastAsia="宋体" w:hint="default"/>
          <w:spacing w:val="-9"/>
        </w:rPr>
        <w:t>27</w:t>
      </w:r>
      <w:r>
        <w:rPr>
          <w:spacing w:val="-9"/>
        </w:rPr>
        <w:t>号、区财【</w:t>
      </w:r>
      <w:r>
        <w:rPr>
          <w:rFonts w:ascii="宋体" w:hAnsi="宋体" w:cs="宋体" w:eastAsia="宋体" w:hint="default"/>
          <w:spacing w:val="-9"/>
        </w:rPr>
        <w:t>2018</w:t>
      </w:r>
      <w:r>
        <w:rPr>
          <w:spacing w:val="-9"/>
        </w:rPr>
        <w:t>】</w:t>
      </w:r>
      <w:r>
        <w:rPr>
          <w:spacing w:val="-48"/>
        </w:rPr>
        <w:t> </w:t>
      </w:r>
      <w:r>
        <w:rPr>
          <w:rFonts w:ascii="宋体" w:hAnsi="宋体" w:cs="宋体" w:eastAsia="宋体" w:hint="default"/>
        </w:rPr>
        <w:t>76</w:t>
      </w:r>
      <w:r>
        <w:rPr/>
        <w:t>号），公司于</w:t>
      </w:r>
      <w:r>
        <w:rPr>
          <w:rFonts w:ascii="宋体" w:hAnsi="宋体" w:cs="宋体" w:eastAsia="宋体" w:hint="default"/>
        </w:rPr>
        <w:t>2018</w:t>
      </w:r>
      <w:r>
        <w:rPr/>
        <w:t>年</w:t>
      </w:r>
      <w:r>
        <w:rPr>
          <w:rFonts w:ascii="宋体" w:hAnsi="宋体" w:cs="宋体" w:eastAsia="宋体" w:hint="default"/>
        </w:rPr>
        <w:t>8</w:t>
      </w:r>
      <w:r>
        <w:rPr/>
        <w:t>月收到杭州高新区（滨江）</w:t>
      </w:r>
      <w:r>
        <w:rPr>
          <w:rFonts w:ascii="宋体" w:hAnsi="宋体" w:cs="宋体" w:eastAsia="宋体" w:hint="default"/>
        </w:rPr>
        <w:t>2018</w:t>
      </w:r>
      <w:r>
        <w:rPr/>
        <w:t>年第一季度专利资助经费</w:t>
      </w:r>
      <w:r>
        <w:rPr>
          <w:rFonts w:ascii="宋体" w:hAnsi="宋体" w:cs="宋体" w:eastAsia="宋体" w:hint="default"/>
        </w:rPr>
        <w:t>320,000</w:t>
      </w:r>
      <w:r>
        <w:rPr/>
        <w:t>元，计入营业外收入。 注</w:t>
      </w:r>
      <w:r>
        <w:rPr>
          <w:rFonts w:ascii="宋体" w:hAnsi="宋体" w:cs="宋体" w:eastAsia="宋体" w:hint="default"/>
        </w:rPr>
        <w:t>5</w:t>
      </w:r>
      <w:r>
        <w:rPr/>
        <w:t>：杭州市高新技术产业开发区管理委员会、杭州市滨江区人民政府发布的《区管委会区政府关于创新创业人才激励政策</w:t>
      </w:r>
      <w:r>
        <w:rPr>
          <w:spacing w:val="-83"/>
        </w:rPr>
        <w:t> </w:t>
      </w:r>
      <w:r>
        <w:rPr>
          <w:spacing w:val="-83"/>
        </w:rPr>
      </w:r>
      <w:r>
        <w:rPr/>
        <w:t>的实施意见》（杭高新【</w:t>
      </w:r>
      <w:r>
        <w:rPr>
          <w:rFonts w:ascii="宋体" w:hAnsi="宋体" w:cs="宋体" w:eastAsia="宋体" w:hint="default"/>
        </w:rPr>
        <w:t>2017</w:t>
      </w:r>
      <w:r>
        <w:rPr/>
        <w:t>】</w:t>
      </w:r>
      <w:r>
        <w:rPr>
          <w:rFonts w:ascii="宋体" w:hAnsi="宋体" w:cs="宋体" w:eastAsia="宋体" w:hint="default"/>
        </w:rPr>
        <w:t>72</w:t>
      </w:r>
      <w:r>
        <w:rPr/>
        <w:t>号），公司于</w:t>
      </w:r>
      <w:r>
        <w:rPr>
          <w:rFonts w:ascii="宋体" w:hAnsi="宋体" w:cs="宋体" w:eastAsia="宋体" w:hint="default"/>
        </w:rPr>
        <w:t>2018</w:t>
      </w:r>
      <w:r>
        <w:rPr/>
        <w:t>年</w:t>
      </w:r>
      <w:r>
        <w:rPr>
          <w:rFonts w:ascii="宋体" w:hAnsi="宋体" w:cs="宋体" w:eastAsia="宋体" w:hint="default"/>
        </w:rPr>
        <w:t>9</w:t>
      </w:r>
      <w:r>
        <w:rPr/>
        <w:t>月收到人才激励专项资金</w:t>
      </w:r>
      <w:r>
        <w:rPr>
          <w:rFonts w:ascii="宋体" w:hAnsi="宋体" w:cs="宋体" w:eastAsia="宋体" w:hint="default"/>
        </w:rPr>
        <w:t>182,817</w:t>
      </w:r>
      <w:r>
        <w:rPr/>
        <w:t>元，计入营业外收入。 注</w:t>
      </w:r>
      <w:r>
        <w:rPr>
          <w:rFonts w:ascii="宋体" w:hAnsi="宋体" w:cs="宋体" w:eastAsia="宋体" w:hint="default"/>
        </w:rPr>
        <w:t>6</w:t>
      </w:r>
      <w:r>
        <w:rPr/>
        <w:t>：根据杭州高新技术产业开发区人力资源和社会保障局、杭州市滨江区人力资源和社会保障局、杭州高新技术产业开发</w:t>
      </w:r>
      <w:r>
        <w:rPr>
          <w:spacing w:val="-83"/>
        </w:rPr>
        <w:t> </w:t>
      </w:r>
      <w:r>
        <w:rPr>
          <w:spacing w:val="-83"/>
        </w:rPr>
      </w:r>
      <w:r>
        <w:rPr>
          <w:spacing w:val="-8"/>
        </w:rPr>
        <w:t>区财政局、杭州市滨江区财政局发布的《关于核拨</w:t>
      </w:r>
      <w:r>
        <w:rPr>
          <w:rFonts w:ascii="宋体" w:hAnsi="宋体" w:cs="宋体" w:eastAsia="宋体" w:hint="default"/>
          <w:spacing w:val="-8"/>
        </w:rPr>
        <w:t>2017</w:t>
      </w:r>
      <w:r>
        <w:rPr>
          <w:spacing w:val="-8"/>
        </w:rPr>
        <w:t>年度杭州市“</w:t>
      </w:r>
      <w:r>
        <w:rPr>
          <w:rFonts w:ascii="宋体" w:hAnsi="宋体" w:cs="宋体" w:eastAsia="宋体" w:hint="default"/>
          <w:spacing w:val="-8"/>
        </w:rPr>
        <w:t>131</w:t>
      </w:r>
      <w:r>
        <w:rPr>
          <w:spacing w:val="-8"/>
        </w:rPr>
        <w:t>”培养人选区配套资助经费的通知》（区人社发【</w:t>
      </w:r>
      <w:r>
        <w:rPr>
          <w:rFonts w:ascii="宋体" w:hAnsi="宋体" w:cs="宋体" w:eastAsia="宋体" w:hint="default"/>
          <w:spacing w:val="-8"/>
        </w:rPr>
        <w:t>2018</w:t>
      </w:r>
      <w:r>
        <w:rPr>
          <w:spacing w:val="-8"/>
        </w:rPr>
        <w:t>】</w:t>
      </w:r>
      <w:r>
        <w:rPr>
          <w:spacing w:val="-40"/>
        </w:rPr>
        <w:t> </w:t>
      </w:r>
      <w:r>
        <w:rPr>
          <w:rFonts w:ascii="宋体" w:hAnsi="宋体" w:cs="宋体" w:eastAsia="宋体" w:hint="default"/>
        </w:rPr>
        <w:t>52</w:t>
      </w:r>
      <w:r>
        <w:rPr/>
        <w:t>号），公司于</w:t>
      </w:r>
      <w:r>
        <w:rPr>
          <w:rFonts w:ascii="宋体" w:hAnsi="宋体" w:cs="宋体" w:eastAsia="宋体" w:hint="default"/>
        </w:rPr>
        <w:t>2018</w:t>
      </w:r>
      <w:r>
        <w:rPr/>
        <w:t>年</w:t>
      </w:r>
      <w:r>
        <w:rPr>
          <w:rFonts w:ascii="宋体" w:hAnsi="宋体" w:cs="宋体" w:eastAsia="宋体" w:hint="default"/>
        </w:rPr>
        <w:t>10</w:t>
      </w:r>
      <w:r>
        <w:rPr/>
        <w:t>月收到杭州市“</w:t>
      </w:r>
      <w:r>
        <w:rPr>
          <w:rFonts w:ascii="宋体" w:hAnsi="宋体" w:cs="宋体" w:eastAsia="宋体" w:hint="default"/>
        </w:rPr>
        <w:t>131</w:t>
      </w:r>
      <w:r>
        <w:rPr/>
        <w:t>”培养人选区配套资助经费</w:t>
      </w:r>
      <w:r>
        <w:rPr>
          <w:rFonts w:ascii="宋体" w:hAnsi="宋体" w:cs="宋体" w:eastAsia="宋体" w:hint="default"/>
        </w:rPr>
        <w:t>40,000</w:t>
      </w:r>
      <w:r>
        <w:rPr/>
        <w:t>元，计入营业外收入。 注</w:t>
      </w:r>
      <w:r>
        <w:rPr>
          <w:rFonts w:ascii="宋体" w:hAnsi="宋体" w:cs="宋体" w:eastAsia="宋体" w:hint="default"/>
        </w:rPr>
        <w:t>7</w:t>
      </w:r>
      <w:r>
        <w:rPr/>
        <w:t>：根据杭州高新技术产业开发区人力资源和社会保障局、杭州市滨江区人力资源和社会保障局、杭州高新技术产业开发</w:t>
      </w:r>
      <w:r>
        <w:rPr>
          <w:spacing w:val="-83"/>
        </w:rPr>
        <w:t> </w:t>
      </w:r>
      <w:r>
        <w:rPr>
          <w:spacing w:val="-83"/>
        </w:rPr>
      </w:r>
      <w:r>
        <w:rPr/>
        <w:t>区财政局、杭州市滨江区财政局发布的《关于核拨</w:t>
      </w:r>
      <w:r>
        <w:rPr>
          <w:rFonts w:ascii="宋体" w:hAnsi="宋体" w:cs="宋体" w:eastAsia="宋体" w:hint="default"/>
        </w:rPr>
        <w:t>2017</w:t>
      </w:r>
      <w:r>
        <w:rPr/>
        <w:t>年度杭州市“</w:t>
      </w:r>
      <w:r>
        <w:rPr>
          <w:rFonts w:ascii="宋体" w:hAnsi="宋体" w:cs="宋体" w:eastAsia="宋体" w:hint="default"/>
        </w:rPr>
        <w:t>131</w:t>
      </w:r>
      <w:r>
        <w:rPr/>
        <w:t>”培养人选区配套资助经费的通知及关于核拨</w:t>
      </w:r>
      <w:r>
        <w:rPr>
          <w:rFonts w:ascii="宋体" w:hAnsi="宋体" w:cs="宋体" w:eastAsia="宋体" w:hint="default"/>
        </w:rPr>
        <w:t>2017</w:t>
      </w:r>
      <w:r>
        <w:rPr>
          <w:rFonts w:ascii="宋体" w:hAnsi="宋体" w:cs="宋体" w:eastAsia="宋体" w:hint="default"/>
          <w:spacing w:val="-82"/>
        </w:rPr>
        <w:t> </w:t>
      </w:r>
      <w:r>
        <w:rPr/>
        <w:t>年度第二批杭州市“</w:t>
      </w:r>
      <w:r>
        <w:rPr>
          <w:rFonts w:ascii="宋体" w:hAnsi="宋体" w:cs="宋体" w:eastAsia="宋体" w:hint="default"/>
        </w:rPr>
        <w:t>115</w:t>
      </w:r>
      <w:r>
        <w:rPr/>
        <w:t>”引进国（境）外智力计划项目匹配套资助经费的通知》（区人社发【</w:t>
      </w:r>
      <w:r>
        <w:rPr>
          <w:rFonts w:ascii="宋体" w:hAnsi="宋体" w:cs="宋体" w:eastAsia="宋体" w:hint="default"/>
        </w:rPr>
        <w:t>2018</w:t>
      </w:r>
      <w:r>
        <w:rPr/>
        <w:t>】</w:t>
      </w:r>
      <w:r>
        <w:rPr>
          <w:rFonts w:ascii="宋体" w:hAnsi="宋体" w:cs="宋体" w:eastAsia="宋体" w:hint="default"/>
        </w:rPr>
        <w:t>52</w:t>
      </w:r>
      <w:r>
        <w:rPr/>
        <w:t>号），公司于</w:t>
      </w:r>
      <w:r>
        <w:rPr>
          <w:rFonts w:ascii="宋体" w:hAnsi="宋体" w:cs="宋体" w:eastAsia="宋体" w:hint="default"/>
        </w:rPr>
        <w:t>2018</w:t>
      </w:r>
      <w:r>
        <w:rPr>
          <w:rFonts w:ascii="宋体" w:hAnsi="宋体" w:cs="宋体" w:eastAsia="宋体" w:hint="default"/>
          <w:spacing w:val="-82"/>
        </w:rPr>
        <w:t> </w:t>
      </w:r>
      <w:r>
        <w:rPr/>
        <w:t>年</w:t>
      </w:r>
      <w:r>
        <w:rPr>
          <w:rFonts w:ascii="宋体" w:hAnsi="宋体" w:cs="宋体" w:eastAsia="宋体" w:hint="default"/>
        </w:rPr>
        <w:t>10</w:t>
      </w:r>
      <w:r>
        <w:rPr/>
        <w:t>月收到杭州市“</w:t>
      </w:r>
      <w:r>
        <w:rPr>
          <w:rFonts w:ascii="宋体" w:hAnsi="宋体" w:cs="宋体" w:eastAsia="宋体" w:hint="default"/>
        </w:rPr>
        <w:t>115</w:t>
      </w:r>
      <w:r>
        <w:rPr/>
        <w:t>”引进国（境）外智力计划项目匹配套资助经费</w:t>
      </w:r>
      <w:r>
        <w:rPr>
          <w:rFonts w:ascii="宋体" w:hAnsi="宋体" w:cs="宋体" w:eastAsia="宋体" w:hint="default"/>
        </w:rPr>
        <w:t>90,000</w:t>
      </w:r>
      <w:r>
        <w:rPr/>
        <w:t>元，计入营业外收入。 </w:t>
      </w:r>
      <w:r>
        <w:rPr>
          <w:spacing w:val="-2"/>
        </w:rPr>
        <w:t>注</w:t>
      </w:r>
      <w:r>
        <w:rPr>
          <w:rFonts w:ascii="宋体" w:hAnsi="宋体" w:cs="宋体" w:eastAsia="宋体" w:hint="default"/>
          <w:spacing w:val="-2"/>
        </w:rPr>
        <w:t>8</w:t>
      </w:r>
      <w:r>
        <w:rPr>
          <w:spacing w:val="-2"/>
        </w:rPr>
        <w:t>：杭州市财政局、杭州市人力资源和社会保障局发布的《关于下达</w:t>
      </w:r>
      <w:r>
        <w:rPr>
          <w:rFonts w:ascii="宋体" w:hAnsi="宋体" w:cs="宋体" w:eastAsia="宋体" w:hint="default"/>
          <w:spacing w:val="-2"/>
        </w:rPr>
        <w:t>2017</w:t>
      </w:r>
      <w:r>
        <w:rPr>
          <w:spacing w:val="-2"/>
        </w:rPr>
        <w:t>年度第二批杭州市“</w:t>
      </w:r>
      <w:r>
        <w:rPr>
          <w:rFonts w:ascii="宋体" w:hAnsi="宋体" w:cs="宋体" w:eastAsia="宋体" w:hint="default"/>
          <w:spacing w:val="-2"/>
        </w:rPr>
        <w:t>115</w:t>
      </w:r>
      <w:r>
        <w:rPr>
          <w:spacing w:val="-2"/>
        </w:rPr>
        <w:t>”引进国外智力计划项目</w:t>
      </w:r>
      <w:r>
        <w:rPr>
          <w:spacing w:val="-58"/>
        </w:rPr>
        <w:t> </w:t>
      </w:r>
      <w:r>
        <w:rPr>
          <w:spacing w:val="-58"/>
        </w:rPr>
      </w:r>
      <w:r>
        <w:rPr/>
        <w:t>资助经费的通知》（杭财行【</w:t>
      </w:r>
      <w:r>
        <w:rPr>
          <w:rFonts w:ascii="宋体" w:hAnsi="宋体" w:cs="宋体" w:eastAsia="宋体" w:hint="default"/>
        </w:rPr>
        <w:t>2018</w:t>
      </w:r>
      <w:r>
        <w:rPr/>
        <w:t>】</w:t>
      </w:r>
      <w:r>
        <w:rPr>
          <w:rFonts w:ascii="宋体" w:hAnsi="宋体" w:cs="宋体" w:eastAsia="宋体" w:hint="default"/>
        </w:rPr>
        <w:t>26</w:t>
      </w:r>
      <w:r>
        <w:rPr/>
        <w:t>号），公司于</w:t>
      </w:r>
      <w:r>
        <w:rPr>
          <w:rFonts w:ascii="宋体" w:hAnsi="宋体" w:cs="宋体" w:eastAsia="宋体" w:hint="default"/>
        </w:rPr>
        <w:t>2018</w:t>
      </w:r>
      <w:r>
        <w:rPr/>
        <w:t>年</w:t>
      </w:r>
      <w:r>
        <w:rPr>
          <w:rFonts w:ascii="宋体" w:hAnsi="宋体" w:cs="宋体" w:eastAsia="宋体" w:hint="default"/>
        </w:rPr>
        <w:t>12</w:t>
      </w:r>
      <w:r>
        <w:rPr/>
        <w:t>月收到杭州市“</w:t>
      </w:r>
      <w:r>
        <w:rPr>
          <w:rFonts w:ascii="宋体" w:hAnsi="宋体" w:cs="宋体" w:eastAsia="宋体" w:hint="default"/>
        </w:rPr>
        <w:t>115</w:t>
      </w:r>
      <w:r>
        <w:rPr/>
        <w:t>”引进国外智力计划项目资助经费</w:t>
      </w:r>
      <w:r>
        <w:rPr>
          <w:rFonts w:ascii="宋体" w:hAnsi="宋体" w:cs="宋体" w:eastAsia="宋体" w:hint="default"/>
        </w:rPr>
        <w:t>50,000</w:t>
      </w:r>
      <w:r>
        <w:rPr>
          <w:rFonts w:ascii="宋体" w:hAnsi="宋体" w:cs="宋体" w:eastAsia="宋体" w:hint="default"/>
          <w:spacing w:val="-83"/>
        </w:rPr>
        <w:t> </w:t>
      </w:r>
      <w:r>
        <w:rPr/>
        <w:t>元，计入营业外收入。 注</w:t>
      </w:r>
      <w:r>
        <w:rPr>
          <w:rFonts w:ascii="宋体" w:hAnsi="宋体" w:cs="宋体" w:eastAsia="宋体" w:hint="default"/>
        </w:rPr>
        <w:t>9</w:t>
      </w:r>
      <w:r>
        <w:rPr/>
        <w:t>：杭州市科学技术协会、杭州市财政局发布的《杭州市科协杭州市财政局关于公布</w:t>
      </w:r>
      <w:r>
        <w:rPr>
          <w:rFonts w:ascii="宋体" w:hAnsi="宋体" w:cs="宋体" w:eastAsia="宋体" w:hint="default"/>
        </w:rPr>
        <w:t>2018</w:t>
      </w:r>
      <w:r>
        <w:rPr/>
        <w:t>年杭州市科协重点学术学会活动</w:t>
      </w:r>
      <w:r>
        <w:rPr>
          <w:spacing w:val="-82"/>
        </w:rPr>
        <w:t> </w:t>
      </w:r>
      <w:r>
        <w:rPr>
          <w:spacing w:val="-82"/>
        </w:rPr>
      </w:r>
      <w:r>
        <w:rPr/>
        <w:t>项目及下达补助经费的通知》（杭科协【</w:t>
      </w:r>
      <w:r>
        <w:rPr>
          <w:rFonts w:ascii="宋体" w:hAnsi="宋体" w:cs="宋体" w:eastAsia="宋体" w:hint="default"/>
        </w:rPr>
        <w:t>2018</w:t>
      </w:r>
      <w:r>
        <w:rPr/>
        <w:t>】</w:t>
      </w:r>
      <w:r>
        <w:rPr>
          <w:rFonts w:ascii="宋体" w:hAnsi="宋体" w:cs="宋体" w:eastAsia="宋体" w:hint="default"/>
        </w:rPr>
        <w:t>39</w:t>
      </w:r>
      <w:r>
        <w:rPr/>
        <w:t>号、杭财教会【</w:t>
      </w:r>
      <w:r>
        <w:rPr>
          <w:rFonts w:ascii="宋体" w:hAnsi="宋体" w:cs="宋体" w:eastAsia="宋体" w:hint="default"/>
        </w:rPr>
        <w:t>2018</w:t>
      </w:r>
      <w:r>
        <w:rPr/>
        <w:t>】</w:t>
      </w:r>
      <w:r>
        <w:rPr>
          <w:rFonts w:ascii="宋体" w:hAnsi="宋体" w:cs="宋体" w:eastAsia="宋体" w:hint="default"/>
        </w:rPr>
        <w:t>147</w:t>
      </w:r>
      <w:r>
        <w:rPr/>
        <w:t>号），公司于</w:t>
      </w:r>
      <w:r>
        <w:rPr>
          <w:rFonts w:ascii="宋体" w:hAnsi="宋体" w:cs="宋体" w:eastAsia="宋体" w:hint="default"/>
        </w:rPr>
        <w:t>2018</w:t>
      </w:r>
      <w:r>
        <w:rPr/>
        <w:t>年</w:t>
      </w:r>
      <w:r>
        <w:rPr>
          <w:rFonts w:ascii="宋体" w:hAnsi="宋体" w:cs="宋体" w:eastAsia="宋体" w:hint="default"/>
        </w:rPr>
        <w:t>10</w:t>
      </w:r>
      <w:r>
        <w:rPr/>
        <w:t>月收到</w:t>
      </w:r>
      <w:r>
        <w:rPr>
          <w:rFonts w:ascii="宋体" w:hAnsi="宋体" w:cs="宋体" w:eastAsia="宋体" w:hint="default"/>
        </w:rPr>
        <w:t>2018</w:t>
      </w:r>
      <w:r>
        <w:rPr/>
        <w:t>年杭州市科</w:t>
      </w:r>
      <w:r>
        <w:rPr>
          <w:spacing w:val="-83"/>
        </w:rPr>
        <w:t> </w:t>
      </w:r>
      <w:r>
        <w:rPr>
          <w:spacing w:val="-83"/>
        </w:rPr>
      </w:r>
      <w:r>
        <w:rPr/>
        <w:t>协重点学术学会活动项目及下达补助经费</w:t>
      </w:r>
      <w:r>
        <w:rPr>
          <w:rFonts w:ascii="宋体" w:hAnsi="宋体" w:cs="宋体" w:eastAsia="宋体" w:hint="default"/>
        </w:rPr>
        <w:t>15,000</w:t>
      </w:r>
      <w:r>
        <w:rPr/>
        <w:t>元，计入营业外收入。 </w:t>
      </w:r>
      <w:r>
        <w:rPr>
          <w:spacing w:val="-4"/>
        </w:rPr>
        <w:t>注</w:t>
      </w:r>
      <w:r>
        <w:rPr>
          <w:rFonts w:ascii="宋体" w:hAnsi="宋体" w:cs="宋体" w:eastAsia="宋体" w:hint="default"/>
          <w:spacing w:val="-4"/>
        </w:rPr>
        <w:t>10</w:t>
      </w:r>
      <w:r>
        <w:rPr>
          <w:spacing w:val="-4"/>
        </w:rPr>
        <w:t>：根据杭州高新技术产业开发区发展改革和经济局、杭州市滨江区发展改革和经济局、杭州高新技术产业开发区财政局、</w:t>
      </w:r>
      <w:r>
        <w:rPr>
          <w:spacing w:val="-40"/>
        </w:rPr>
        <w:t> </w:t>
      </w:r>
      <w:r>
        <w:rPr>
          <w:spacing w:val="-40"/>
        </w:rPr>
      </w:r>
      <w:r>
        <w:rPr>
          <w:spacing w:val="-5"/>
        </w:rPr>
        <w:t>杭州市滨江区财政局发布的《关于下达第九届中国（杭州）安博会展位费补助的通知》（区发改【</w:t>
      </w:r>
      <w:r>
        <w:rPr>
          <w:rFonts w:ascii="宋体" w:hAnsi="宋体" w:cs="宋体" w:eastAsia="宋体" w:hint="default"/>
          <w:spacing w:val="-5"/>
        </w:rPr>
        <w:t>2018</w:t>
      </w:r>
      <w:r>
        <w:rPr>
          <w:spacing w:val="-5"/>
        </w:rPr>
        <w:t>】</w:t>
      </w:r>
      <w:r>
        <w:rPr>
          <w:rFonts w:ascii="宋体" w:hAnsi="宋体" w:cs="宋体" w:eastAsia="宋体" w:hint="default"/>
          <w:spacing w:val="-5"/>
        </w:rPr>
        <w:t>91</w:t>
      </w:r>
      <w:r>
        <w:rPr>
          <w:spacing w:val="-5"/>
        </w:rPr>
        <w:t>号），公司于</w:t>
      </w:r>
      <w:r>
        <w:rPr>
          <w:rFonts w:ascii="宋体" w:hAnsi="宋体" w:cs="宋体" w:eastAsia="宋体" w:hint="default"/>
          <w:spacing w:val="-5"/>
        </w:rPr>
        <w:t>2018</w:t>
      </w:r>
      <w:r>
        <w:rPr>
          <w:rFonts w:ascii="宋体" w:hAnsi="宋体" w:cs="宋体" w:eastAsia="宋体" w:hint="default"/>
          <w:spacing w:val="-53"/>
        </w:rPr>
        <w:t> </w:t>
      </w:r>
      <w:r>
        <w:rPr/>
        <w:t>年</w:t>
      </w:r>
      <w:r>
        <w:rPr>
          <w:rFonts w:ascii="宋体" w:hAnsi="宋体" w:cs="宋体" w:eastAsia="宋体" w:hint="default"/>
        </w:rPr>
        <w:t>11</w:t>
      </w:r>
      <w:r>
        <w:rPr/>
        <w:t>月收到第九届中国（杭州）安博会展位费补助</w:t>
      </w:r>
      <w:r>
        <w:rPr>
          <w:rFonts w:ascii="宋体" w:hAnsi="宋体" w:cs="宋体" w:eastAsia="宋体" w:hint="default"/>
        </w:rPr>
        <w:t>24,300</w:t>
      </w:r>
      <w:r>
        <w:rPr/>
        <w:t>元，计入营业外收入。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26"/>
        <w:jc w:val="left"/>
      </w:pPr>
      <w:r>
        <w:rPr>
          <w:spacing w:val="-2"/>
        </w:rPr>
        <w:t>注</w:t>
      </w:r>
      <w:r>
        <w:rPr>
          <w:rFonts w:ascii="宋体" w:hAnsi="宋体" w:cs="宋体" w:eastAsia="宋体" w:hint="default"/>
          <w:spacing w:val="-2"/>
        </w:rPr>
        <w:t>11</w:t>
      </w:r>
      <w:r>
        <w:rPr>
          <w:spacing w:val="-2"/>
        </w:rPr>
        <w:t>：根据杭州高新技术产业开发区科学技术协会、杭州市滨江区科学技术协会发布的《关于下达</w:t>
      </w:r>
      <w:r>
        <w:rPr>
          <w:rFonts w:ascii="宋体" w:hAnsi="宋体" w:cs="宋体" w:eastAsia="宋体" w:hint="default"/>
          <w:spacing w:val="-2"/>
        </w:rPr>
        <w:t>2018</w:t>
      </w:r>
      <w:r>
        <w:rPr>
          <w:spacing w:val="-2"/>
        </w:rPr>
        <w:t>年度杭州高新区（滨</w:t>
      </w:r>
      <w:r>
        <w:rPr>
          <w:spacing w:val="-59"/>
        </w:rPr>
        <w:t> </w:t>
      </w:r>
      <w:r>
        <w:rPr>
          <w:spacing w:val="-59"/>
        </w:rPr>
      </w:r>
      <w:r>
        <w:rPr>
          <w:spacing w:val="-2"/>
        </w:rPr>
        <w:t>江）科协重点学术项目（论坛项目）第一批资助资金的通知》（区科协【</w:t>
      </w:r>
      <w:r>
        <w:rPr>
          <w:rFonts w:ascii="宋体" w:hAnsi="宋体" w:cs="宋体" w:eastAsia="宋体" w:hint="default"/>
          <w:spacing w:val="-2"/>
        </w:rPr>
        <w:t>2018</w:t>
      </w:r>
      <w:r>
        <w:rPr>
          <w:spacing w:val="-2"/>
        </w:rPr>
        <w:t>】</w:t>
      </w:r>
      <w:r>
        <w:rPr>
          <w:rFonts w:ascii="宋体" w:hAnsi="宋体" w:cs="宋体" w:eastAsia="宋体" w:hint="default"/>
          <w:spacing w:val="-2"/>
        </w:rPr>
        <w:t>25</w:t>
      </w:r>
      <w:r>
        <w:rPr>
          <w:spacing w:val="-2"/>
        </w:rPr>
        <w:t>号），公司于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月收到</w:t>
      </w:r>
      <w:r>
        <w:rPr>
          <w:rFonts w:ascii="宋体" w:hAnsi="宋体" w:cs="宋体" w:eastAsia="宋体" w:hint="default"/>
          <w:spacing w:val="-2"/>
        </w:rPr>
        <w:t>2018</w:t>
      </w:r>
      <w:r>
        <w:rPr>
          <w:spacing w:val="-2"/>
        </w:rPr>
        <w:t>年度杭</w:t>
      </w:r>
      <w:r>
        <w:rPr>
          <w:spacing w:val="-53"/>
        </w:rPr>
        <w:t> </w:t>
      </w:r>
      <w:r>
        <w:rPr/>
        <w:t>州高新区（滨江）科协重点学术项目（论坛项目）第一批资助资金</w:t>
      </w:r>
      <w:r>
        <w:rPr>
          <w:rFonts w:ascii="宋体" w:hAnsi="宋体" w:cs="宋体" w:eastAsia="宋体" w:hint="default"/>
        </w:rPr>
        <w:t>10,820</w:t>
      </w:r>
      <w:r>
        <w:rPr/>
        <w:t>元，计入营业外收入。 </w:t>
      </w:r>
      <w:r>
        <w:rPr>
          <w:spacing w:val="-2"/>
        </w:rPr>
        <w:t>注</w:t>
      </w:r>
      <w:r>
        <w:rPr>
          <w:rFonts w:ascii="宋体" w:hAnsi="宋体" w:cs="宋体" w:eastAsia="宋体" w:hint="default"/>
          <w:spacing w:val="-2"/>
        </w:rPr>
        <w:t>12</w:t>
      </w:r>
      <w:r>
        <w:rPr>
          <w:spacing w:val="-2"/>
        </w:rPr>
        <w:t>：根据中共浙江省委组织部、浙江省人力资源和社会保障厅、浙江省科学技术厅、浙江省教育厅、浙江省财政厅、浙江</w:t>
      </w:r>
      <w:r>
        <w:rPr>
          <w:spacing w:val="-66"/>
        </w:rPr>
        <w:t> </w:t>
      </w:r>
      <w:r>
        <w:rPr>
          <w:spacing w:val="-66"/>
        </w:rPr>
      </w:r>
      <w:r>
        <w:rPr/>
        <w:t>省发展和改革委员会、浙江省经济和信息化厅、浙江省科学技术协会发布的《中共浙江省委组织部等</w:t>
      </w:r>
      <w:r>
        <w:rPr>
          <w:rFonts w:ascii="宋体" w:hAnsi="宋体" w:cs="宋体" w:eastAsia="宋体" w:hint="default"/>
        </w:rPr>
        <w:t>8</w:t>
      </w:r>
      <w:r>
        <w:rPr/>
        <w:t>部门关于公布</w:t>
      </w:r>
      <w:r>
        <w:rPr>
          <w:rFonts w:ascii="宋体" w:hAnsi="宋体" w:cs="宋体" w:eastAsia="宋体" w:hint="default"/>
        </w:rPr>
        <w:t>2018</w:t>
      </w:r>
      <w:r>
        <w:rPr/>
        <w:t>年</w:t>
      </w:r>
      <w:r>
        <w:rPr>
          <w:spacing w:val="-81"/>
        </w:rPr>
        <w:t> </w:t>
      </w:r>
      <w:r>
        <w:rPr/>
        <w:t>度浙江省</w:t>
      </w:r>
      <w:r>
        <w:rPr>
          <w:rFonts w:ascii="宋体" w:hAnsi="宋体" w:cs="宋体" w:eastAsia="宋体" w:hint="default"/>
        </w:rPr>
        <w:t>151</w:t>
      </w:r>
      <w:r>
        <w:rPr/>
        <w:t>人才工程培养人员名单的通知》（浙人社发【</w:t>
      </w:r>
      <w:r>
        <w:rPr>
          <w:rFonts w:ascii="宋体" w:hAnsi="宋体" w:cs="宋体" w:eastAsia="宋体" w:hint="default"/>
        </w:rPr>
        <w:t>2018</w:t>
      </w:r>
      <w:r>
        <w:rPr/>
        <w:t>】</w:t>
      </w:r>
      <w:r>
        <w:rPr>
          <w:rFonts w:ascii="宋体" w:hAnsi="宋体" w:cs="宋体" w:eastAsia="宋体" w:hint="default"/>
        </w:rPr>
        <w:t>126</w:t>
      </w:r>
      <w:r>
        <w:rPr/>
        <w:t>号），公司于</w:t>
      </w:r>
      <w:r>
        <w:rPr>
          <w:rFonts w:ascii="宋体" w:hAnsi="宋体" w:cs="宋体" w:eastAsia="宋体" w:hint="default"/>
        </w:rPr>
        <w:t>2018</w:t>
      </w:r>
      <w:r>
        <w:rPr/>
        <w:t>年</w:t>
      </w:r>
      <w:r>
        <w:rPr>
          <w:rFonts w:ascii="宋体" w:hAnsi="宋体" w:cs="宋体" w:eastAsia="宋体" w:hint="default"/>
        </w:rPr>
        <w:t>12</w:t>
      </w:r>
      <w:r>
        <w:rPr/>
        <w:t>月收到</w:t>
      </w:r>
      <w:r>
        <w:rPr>
          <w:rFonts w:ascii="宋体" w:hAnsi="宋体" w:cs="宋体" w:eastAsia="宋体" w:hint="default"/>
        </w:rPr>
        <w:t>151</w:t>
      </w:r>
      <w:r>
        <w:rPr/>
        <w:t>专项经费</w:t>
      </w:r>
      <w:r>
        <w:rPr>
          <w:rFonts w:ascii="宋体" w:hAnsi="宋体" w:cs="宋体" w:eastAsia="宋体" w:hint="default"/>
        </w:rPr>
        <w:t>40,000</w:t>
      </w:r>
      <w:r>
        <w:rPr/>
        <w:t>元，</w:t>
      </w:r>
      <w:r>
        <w:rPr>
          <w:spacing w:val="-83"/>
        </w:rPr>
        <w:t> </w:t>
      </w:r>
      <w:r>
        <w:rPr/>
        <w:t>计入营业外收入。 </w:t>
      </w:r>
      <w:r>
        <w:rPr>
          <w:spacing w:val="-6"/>
        </w:rPr>
        <w:t>注</w:t>
      </w:r>
      <w:r>
        <w:rPr>
          <w:rFonts w:ascii="宋体" w:hAnsi="宋体" w:cs="宋体" w:eastAsia="宋体" w:hint="default"/>
          <w:spacing w:val="-6"/>
        </w:rPr>
        <w:t>13</w:t>
      </w:r>
      <w:r>
        <w:rPr>
          <w:spacing w:val="-6"/>
        </w:rPr>
        <w:t>：根据国家税务总局杭州市滨江区税务局发布的《国家税务总局杭州市滨江区税务局税务事项通知书》（杭滨税通【</w:t>
      </w:r>
      <w:r>
        <w:rPr>
          <w:rFonts w:ascii="宋体" w:hAnsi="宋体" w:cs="宋体" w:eastAsia="宋体" w:hint="default"/>
          <w:spacing w:val="-6"/>
        </w:rPr>
        <w:t>2018</w:t>
      </w:r>
      <w:r>
        <w:rPr>
          <w:spacing w:val="-6"/>
        </w:rPr>
        <w:t>】</w:t>
      </w:r>
      <w:r>
        <w:rPr/>
        <w:t> </w:t>
      </w:r>
      <w:r>
        <w:rPr>
          <w:rFonts w:ascii="宋体" w:hAnsi="宋体" w:cs="宋体" w:eastAsia="宋体" w:hint="default"/>
        </w:rPr>
        <w:t>21412</w:t>
      </w:r>
      <w:r>
        <w:rPr/>
        <w:t>号），公司于</w:t>
      </w:r>
      <w:r>
        <w:rPr>
          <w:rFonts w:ascii="宋体" w:hAnsi="宋体" w:cs="宋体" w:eastAsia="宋体" w:hint="default"/>
        </w:rPr>
        <w:t>2018</w:t>
      </w:r>
      <w:r>
        <w:rPr/>
        <w:t>年</w:t>
      </w:r>
      <w:r>
        <w:rPr>
          <w:rFonts w:ascii="宋体" w:hAnsi="宋体" w:cs="宋体" w:eastAsia="宋体" w:hint="default"/>
        </w:rPr>
        <w:t>12</w:t>
      </w:r>
      <w:r>
        <w:rPr/>
        <w:t>月收到软件产品税即征即退</w:t>
      </w:r>
      <w:r>
        <w:rPr>
          <w:rFonts w:ascii="宋体" w:hAnsi="宋体" w:cs="宋体" w:eastAsia="宋体" w:hint="default"/>
        </w:rPr>
        <w:t>11,163.35</w:t>
      </w:r>
      <w:r>
        <w:rPr/>
        <w:t>元，计入营业外收入。 </w:t>
      </w:r>
      <w:r>
        <w:rPr>
          <w:spacing w:val="-2"/>
        </w:rPr>
        <w:t>注</w:t>
      </w:r>
      <w:r>
        <w:rPr>
          <w:rFonts w:ascii="宋体" w:hAnsi="宋体" w:cs="宋体" w:eastAsia="宋体" w:hint="default"/>
          <w:spacing w:val="-2"/>
        </w:rPr>
        <w:t>14</w:t>
      </w:r>
      <w:r>
        <w:rPr>
          <w:spacing w:val="-2"/>
        </w:rPr>
        <w:t>：根据全国博士后管委会办公室发布的《全国博士后管委会办公室关于</w:t>
      </w:r>
      <w:r>
        <w:rPr>
          <w:rFonts w:ascii="宋体" w:hAnsi="宋体" w:cs="宋体" w:eastAsia="宋体" w:hint="default"/>
          <w:spacing w:val="-2"/>
        </w:rPr>
        <w:t>2018</w:t>
      </w:r>
      <w:r>
        <w:rPr>
          <w:spacing w:val="-2"/>
        </w:rPr>
        <w:t>年度“博士后国际交流计划”引进项目获选</w:t>
      </w:r>
      <w:r>
        <w:rPr>
          <w:spacing w:val="-60"/>
        </w:rPr>
        <w:t> </w:t>
      </w:r>
      <w:r>
        <w:rPr>
          <w:spacing w:val="-60"/>
        </w:rPr>
      </w:r>
      <w:r>
        <w:rPr/>
        <w:t>结果》（博管办【</w:t>
      </w:r>
      <w:r>
        <w:rPr>
          <w:rFonts w:ascii="宋体" w:hAnsi="宋体" w:cs="宋体" w:eastAsia="宋体" w:hint="default"/>
        </w:rPr>
        <w:t>2018</w:t>
      </w:r>
      <w:r>
        <w:rPr/>
        <w:t>】</w:t>
      </w:r>
      <w:r>
        <w:rPr>
          <w:rFonts w:ascii="宋体" w:hAnsi="宋体" w:cs="宋体" w:eastAsia="宋体" w:hint="default"/>
        </w:rPr>
        <w:t>115</w:t>
      </w:r>
      <w:r>
        <w:rPr/>
        <w:t>号），公司于</w:t>
      </w:r>
      <w:r>
        <w:rPr>
          <w:rFonts w:ascii="宋体" w:hAnsi="宋体" w:cs="宋体" w:eastAsia="宋体" w:hint="default"/>
        </w:rPr>
        <w:t>2018</w:t>
      </w:r>
      <w:r>
        <w:rPr/>
        <w:t>年</w:t>
      </w:r>
      <w:r>
        <w:rPr>
          <w:rFonts w:ascii="宋体" w:hAnsi="宋体" w:cs="宋体" w:eastAsia="宋体" w:hint="default"/>
        </w:rPr>
        <w:t>12</w:t>
      </w:r>
      <w:r>
        <w:rPr/>
        <w:t>月收到中国博士后基金会引进项目奖励</w:t>
      </w:r>
      <w:r>
        <w:rPr>
          <w:rFonts w:ascii="宋体" w:hAnsi="宋体" w:cs="宋体" w:eastAsia="宋体" w:hint="default"/>
        </w:rPr>
        <w:t>400,000</w:t>
      </w:r>
      <w:r>
        <w:rPr/>
        <w:t>元，计入营业外收入。 </w:t>
      </w:r>
      <w:r>
        <w:rPr>
          <w:spacing w:val="-6"/>
        </w:rPr>
        <w:t>注</w:t>
      </w:r>
      <w:r>
        <w:rPr>
          <w:rFonts w:ascii="宋体" w:hAnsi="宋体" w:cs="宋体" w:eastAsia="宋体" w:hint="default"/>
          <w:spacing w:val="-6"/>
        </w:rPr>
        <w:t>15</w:t>
      </w:r>
      <w:r>
        <w:rPr>
          <w:spacing w:val="-6"/>
        </w:rPr>
        <w:t>：根据国家税务总局杭州市滨江区税务局发布的《国家税务总局杭州市滨江区税务局税务事项通知书》（杭滨税通【</w:t>
      </w:r>
      <w:r>
        <w:rPr>
          <w:rFonts w:ascii="宋体" w:hAnsi="宋体" w:cs="宋体" w:eastAsia="宋体" w:hint="default"/>
          <w:spacing w:val="-6"/>
        </w:rPr>
        <w:t>2018</w:t>
      </w:r>
      <w:r>
        <w:rPr>
          <w:spacing w:val="-6"/>
        </w:rPr>
        <w:t>】</w:t>
      </w:r>
      <w:r>
        <w:rPr/>
        <w:t> </w:t>
      </w:r>
      <w:r>
        <w:rPr>
          <w:rFonts w:ascii="宋体" w:hAnsi="宋体" w:cs="宋体" w:eastAsia="宋体" w:hint="default"/>
        </w:rPr>
        <w:t>21945</w:t>
      </w:r>
      <w:r>
        <w:rPr/>
        <w:t>号），公司于</w:t>
      </w:r>
      <w:r>
        <w:rPr>
          <w:rFonts w:ascii="宋体" w:hAnsi="宋体" w:cs="宋体" w:eastAsia="宋体" w:hint="default"/>
        </w:rPr>
        <w:t>2018</w:t>
      </w:r>
      <w:r>
        <w:rPr/>
        <w:t>年</w:t>
      </w:r>
      <w:r>
        <w:rPr>
          <w:rFonts w:ascii="宋体" w:hAnsi="宋体" w:cs="宋体" w:eastAsia="宋体" w:hint="default"/>
        </w:rPr>
        <w:t>12</w:t>
      </w:r>
      <w:r>
        <w:rPr/>
        <w:t>月收到软件产品退税</w:t>
      </w:r>
      <w:r>
        <w:rPr>
          <w:rFonts w:ascii="宋体" w:hAnsi="宋体" w:cs="宋体" w:eastAsia="宋体" w:hint="default"/>
        </w:rPr>
        <w:t>267,319.18</w:t>
      </w:r>
      <w:r>
        <w:rPr/>
        <w:t>元，计入营业外收入。 </w:t>
      </w:r>
      <w:r>
        <w:rPr>
          <w:spacing w:val="-2"/>
        </w:rPr>
        <w:t>注</w:t>
      </w:r>
      <w:r>
        <w:rPr>
          <w:rFonts w:ascii="宋体" w:hAnsi="宋体" w:cs="宋体" w:eastAsia="宋体" w:hint="default"/>
          <w:spacing w:val="-2"/>
        </w:rPr>
        <w:t>16</w:t>
      </w:r>
      <w:r>
        <w:rPr>
          <w:spacing w:val="-2"/>
        </w:rPr>
        <w:t>：根据杭州市高新技术产业开发区科学技术局、杭州市滨江区科学技术局、杭州市高新技术产业开发区财政局、杭州市</w:t>
      </w:r>
      <w:r>
        <w:rPr>
          <w:spacing w:val="-64"/>
        </w:rPr>
        <w:t> </w:t>
      </w:r>
      <w:r>
        <w:rPr>
          <w:spacing w:val="-64"/>
        </w:rPr>
      </w:r>
      <w:r>
        <w:rPr/>
        <w:t>滨江区财政局发布的《关于下达杭州市高新区（滨江）</w:t>
      </w:r>
      <w:r>
        <w:rPr>
          <w:rFonts w:ascii="宋体" w:hAnsi="宋体" w:cs="宋体" w:eastAsia="宋体" w:hint="default"/>
        </w:rPr>
        <w:t>2017</w:t>
      </w:r>
      <w:r>
        <w:rPr/>
        <w:t>年度区知识产权奖励资助资金的通知》（区科技【</w:t>
      </w:r>
      <w:r>
        <w:rPr>
          <w:rFonts w:ascii="宋体" w:hAnsi="宋体" w:cs="宋体" w:eastAsia="宋体" w:hint="default"/>
        </w:rPr>
        <w:t>2018</w:t>
      </w:r>
      <w:r>
        <w:rPr/>
        <w:t>】</w:t>
      </w:r>
      <w:r>
        <w:rPr>
          <w:rFonts w:ascii="宋体" w:hAnsi="宋体" w:cs="宋体" w:eastAsia="宋体" w:hint="default"/>
        </w:rPr>
        <w:t>65</w:t>
      </w:r>
      <w:r>
        <w:rPr/>
        <w:t>号、 区财【</w:t>
      </w:r>
      <w:r>
        <w:rPr>
          <w:rFonts w:ascii="宋体" w:hAnsi="宋体" w:cs="宋体" w:eastAsia="宋体" w:hint="default"/>
        </w:rPr>
        <w:t>2018</w:t>
      </w:r>
      <w:r>
        <w:rPr/>
        <w:t>】</w:t>
      </w:r>
      <w:r>
        <w:rPr>
          <w:rFonts w:ascii="宋体" w:hAnsi="宋体" w:cs="宋体" w:eastAsia="宋体" w:hint="default"/>
        </w:rPr>
        <w:t>170</w:t>
      </w:r>
      <w:r>
        <w:rPr/>
        <w:t>号），公司于</w:t>
      </w:r>
      <w:r>
        <w:rPr>
          <w:rFonts w:ascii="宋体" w:hAnsi="宋体" w:cs="宋体" w:eastAsia="宋体" w:hint="default"/>
        </w:rPr>
        <w:t>2018</w:t>
      </w:r>
      <w:r>
        <w:rPr/>
        <w:t>年</w:t>
      </w:r>
      <w:r>
        <w:rPr>
          <w:rFonts w:ascii="宋体" w:hAnsi="宋体" w:cs="宋体" w:eastAsia="宋体" w:hint="default"/>
        </w:rPr>
        <w:t>12</w:t>
      </w:r>
      <w:r>
        <w:rPr/>
        <w:t>月收到知识产权奖励资助资金</w:t>
      </w:r>
      <w:r>
        <w:rPr>
          <w:rFonts w:ascii="宋体" w:hAnsi="宋体" w:cs="宋体" w:eastAsia="宋体" w:hint="default"/>
        </w:rPr>
        <w:t>150,000</w:t>
      </w:r>
      <w:r>
        <w:rPr/>
        <w:t>元，计入营业外收入。 </w:t>
      </w:r>
      <w:r>
        <w:rPr>
          <w:spacing w:val="-2"/>
        </w:rPr>
        <w:t>注</w:t>
      </w:r>
      <w:r>
        <w:rPr>
          <w:rFonts w:ascii="宋体" w:hAnsi="宋体" w:cs="宋体" w:eastAsia="宋体" w:hint="default"/>
          <w:spacing w:val="-2"/>
        </w:rPr>
        <w:t>17</w:t>
      </w:r>
      <w:r>
        <w:rPr>
          <w:spacing w:val="-2"/>
        </w:rPr>
        <w:t>：根据杭州高新技术产业开发区科学技术局、杭州市滨江区科学技术局、杭州高新技术产业开发区财政局、杭州市滨江</w:t>
      </w:r>
      <w:r>
        <w:rPr>
          <w:spacing w:val="-64"/>
        </w:rPr>
        <w:t> </w:t>
      </w:r>
      <w:r>
        <w:rPr>
          <w:spacing w:val="-64"/>
        </w:rPr>
      </w:r>
      <w:r>
        <w:rPr/>
        <w:t>区财政局发布的《关于转拨杭州市</w:t>
      </w:r>
      <w:r>
        <w:rPr>
          <w:rFonts w:ascii="宋体" w:hAnsi="宋体" w:cs="宋体" w:eastAsia="宋体" w:hint="default"/>
        </w:rPr>
        <w:t>2017</w:t>
      </w:r>
      <w:r>
        <w:rPr/>
        <w:t>年第四季度专利专项资助经费的通知》（区科技【</w:t>
      </w:r>
      <w:r>
        <w:rPr>
          <w:rFonts w:ascii="宋体" w:hAnsi="宋体" w:cs="宋体" w:eastAsia="宋体" w:hint="default"/>
        </w:rPr>
        <w:t>2018</w:t>
      </w:r>
      <w:r>
        <w:rPr/>
        <w:t>】</w:t>
      </w:r>
      <w:r>
        <w:rPr>
          <w:rFonts w:ascii="宋体" w:hAnsi="宋体" w:cs="宋体" w:eastAsia="宋体" w:hint="default"/>
        </w:rPr>
        <w:t>4</w:t>
      </w:r>
      <w:r>
        <w:rPr/>
        <w:t>号），子公司浙江银江研</w:t>
      </w:r>
      <w:r>
        <w:rPr>
          <w:spacing w:val="-82"/>
        </w:rPr>
        <w:t> </w:t>
      </w:r>
      <w:r>
        <w:rPr>
          <w:spacing w:val="-82"/>
        </w:rPr>
      </w:r>
      <w:r>
        <w:rPr/>
        <w:t>究院有限公司于</w:t>
      </w:r>
      <w:r>
        <w:rPr>
          <w:rFonts w:ascii="宋体" w:hAnsi="宋体" w:cs="宋体" w:eastAsia="宋体" w:hint="default"/>
        </w:rPr>
        <w:t>2018</w:t>
      </w:r>
      <w:r>
        <w:rPr/>
        <w:t>年</w:t>
      </w:r>
      <w:r>
        <w:rPr>
          <w:rFonts w:ascii="宋体" w:hAnsi="宋体" w:cs="宋体" w:eastAsia="宋体" w:hint="default"/>
        </w:rPr>
        <w:t>6</w:t>
      </w:r>
      <w:r>
        <w:rPr/>
        <w:t>月收到政府软件登记费补助</w:t>
      </w:r>
      <w:r>
        <w:rPr>
          <w:rFonts w:ascii="宋体" w:hAnsi="宋体" w:cs="宋体" w:eastAsia="宋体" w:hint="default"/>
        </w:rPr>
        <w:t>35,300</w:t>
      </w:r>
      <w:r>
        <w:rPr/>
        <w:t>元，计入营业外收入。 </w:t>
      </w:r>
      <w:r>
        <w:rPr>
          <w:spacing w:val="-4"/>
        </w:rPr>
        <w:t>注</w:t>
      </w:r>
      <w:r>
        <w:rPr>
          <w:rFonts w:ascii="宋体" w:hAnsi="宋体" w:cs="宋体" w:eastAsia="宋体" w:hint="default"/>
          <w:spacing w:val="-4"/>
        </w:rPr>
        <w:t>18</w:t>
      </w:r>
      <w:r>
        <w:rPr>
          <w:spacing w:val="-4"/>
        </w:rPr>
        <w:t>：根据杭州高新技术产业开发区发展改革和经济局、杭州市滨江区发展改革和经济局、杭州高新技术产业开发区财政局、</w:t>
      </w:r>
      <w:r>
        <w:rPr>
          <w:spacing w:val="-40"/>
        </w:rPr>
        <w:t> </w:t>
      </w:r>
      <w:r>
        <w:rPr>
          <w:spacing w:val="-40"/>
        </w:rPr>
      </w:r>
      <w:r>
        <w:rPr>
          <w:spacing w:val="-2"/>
        </w:rPr>
        <w:t>杭州市滨江区财政局发布的《关于下达</w:t>
      </w:r>
      <w:r>
        <w:rPr>
          <w:rFonts w:ascii="宋体" w:hAnsi="宋体" w:cs="宋体" w:eastAsia="宋体" w:hint="default"/>
          <w:spacing w:val="-2"/>
        </w:rPr>
        <w:t>2016</w:t>
      </w:r>
      <w:r>
        <w:rPr>
          <w:spacing w:val="-2"/>
        </w:rPr>
        <w:t>年市现代服务业引导和循环经济发展专项资金的通知》（区发改（</w:t>
      </w:r>
      <w:r>
        <w:rPr>
          <w:rFonts w:ascii="宋体" w:hAnsi="宋体" w:cs="宋体" w:eastAsia="宋体" w:hint="default"/>
          <w:spacing w:val="-2"/>
        </w:rPr>
        <w:t>2017</w:t>
      </w:r>
      <w:r>
        <w:rPr>
          <w:spacing w:val="-2"/>
        </w:rPr>
        <w:t>）</w:t>
      </w:r>
      <w:r>
        <w:rPr>
          <w:rFonts w:ascii="宋体" w:hAnsi="宋体" w:cs="宋体" w:eastAsia="宋体" w:hint="default"/>
          <w:spacing w:val="-2"/>
        </w:rPr>
        <w:t>115</w:t>
      </w:r>
      <w:r>
        <w:rPr>
          <w:spacing w:val="-2"/>
        </w:rPr>
        <w:t>号、</w:t>
      </w:r>
      <w:r>
        <w:rPr>
          <w:spacing w:val="-54"/>
        </w:rPr>
        <w:t> </w:t>
      </w:r>
      <w:r>
        <w:rPr/>
        <w:t>区财（</w:t>
      </w:r>
      <w:r>
        <w:rPr>
          <w:rFonts w:ascii="宋体" w:hAnsi="宋体" w:cs="宋体" w:eastAsia="宋体" w:hint="default"/>
        </w:rPr>
        <w:t>2017</w:t>
      </w:r>
      <w:r>
        <w:rPr/>
        <w:t>）</w:t>
      </w:r>
      <w:r>
        <w:rPr>
          <w:rFonts w:ascii="宋体" w:hAnsi="宋体" w:cs="宋体" w:eastAsia="宋体" w:hint="default"/>
        </w:rPr>
        <w:t>180</w:t>
      </w:r>
      <w:r>
        <w:rPr/>
        <w:t>号），子公司浙江银江研究院有限公司于</w:t>
      </w:r>
      <w:r>
        <w:rPr>
          <w:rFonts w:ascii="宋体" w:hAnsi="宋体" w:cs="宋体" w:eastAsia="宋体" w:hint="default"/>
        </w:rPr>
        <w:t>2018</w:t>
      </w:r>
      <w:r>
        <w:rPr/>
        <w:t>年</w:t>
      </w:r>
      <w:r>
        <w:rPr>
          <w:rFonts w:ascii="宋体" w:hAnsi="宋体" w:cs="宋体" w:eastAsia="宋体" w:hint="default"/>
        </w:rPr>
        <w:t>7</w:t>
      </w:r>
      <w:r>
        <w:rPr/>
        <w:t>月收到发展与改革专项资金</w:t>
      </w:r>
      <w:r>
        <w:rPr>
          <w:rFonts w:ascii="宋体" w:hAnsi="宋体" w:cs="宋体" w:eastAsia="宋体" w:hint="default"/>
        </w:rPr>
        <w:t>60,000</w:t>
      </w:r>
      <w:r>
        <w:rPr/>
        <w:t>元，计入营业外收入。 </w:t>
      </w:r>
      <w:r>
        <w:rPr>
          <w:spacing w:val="-2"/>
        </w:rPr>
        <w:t>注</w:t>
      </w:r>
      <w:r>
        <w:rPr>
          <w:rFonts w:ascii="宋体" w:hAnsi="宋体" w:cs="宋体" w:eastAsia="宋体" w:hint="default"/>
          <w:spacing w:val="-2"/>
        </w:rPr>
        <w:t>19</w:t>
      </w:r>
      <w:r>
        <w:rPr>
          <w:spacing w:val="-2"/>
        </w:rPr>
        <w:t>：根据杭州高新技术产业开发区科学技术局、杭州市滨江区科学技术局、杭州高新技术产业开发区财政局、杭州市滨江</w:t>
      </w:r>
      <w:r>
        <w:rPr>
          <w:spacing w:val="-64"/>
        </w:rPr>
        <w:t> </w:t>
      </w:r>
      <w:r>
        <w:rPr>
          <w:spacing w:val="-64"/>
        </w:rPr>
      </w:r>
      <w:r>
        <w:rPr>
          <w:spacing w:val="-3"/>
        </w:rPr>
        <w:t>区财政局发布的《关于下达杭州高新区（滨江）</w:t>
      </w:r>
      <w:r>
        <w:rPr>
          <w:rFonts w:ascii="宋体" w:hAnsi="宋体" w:cs="宋体" w:eastAsia="宋体" w:hint="default"/>
          <w:spacing w:val="-3"/>
        </w:rPr>
        <w:t>2018</w:t>
      </w:r>
      <w:r>
        <w:rPr>
          <w:spacing w:val="-3"/>
        </w:rPr>
        <w:t>年第二季度专利资助经费的通知》（区科技（</w:t>
      </w:r>
      <w:r>
        <w:rPr>
          <w:rFonts w:ascii="宋体" w:hAnsi="宋体" w:cs="宋体" w:eastAsia="宋体" w:hint="default"/>
          <w:spacing w:val="-3"/>
        </w:rPr>
        <w:t>2018</w:t>
      </w:r>
      <w:r>
        <w:rPr>
          <w:spacing w:val="-3"/>
        </w:rPr>
        <w:t>）</w:t>
      </w:r>
      <w:r>
        <w:rPr>
          <w:rFonts w:ascii="宋体" w:hAnsi="宋体" w:cs="宋体" w:eastAsia="宋体" w:hint="default"/>
          <w:spacing w:val="-3"/>
        </w:rPr>
        <w:t>38</w:t>
      </w:r>
      <w:r>
        <w:rPr>
          <w:spacing w:val="-3"/>
        </w:rPr>
        <w:t>号、区财（</w:t>
      </w:r>
      <w:r>
        <w:rPr>
          <w:rFonts w:ascii="宋体" w:hAnsi="宋体" w:cs="宋体" w:eastAsia="宋体" w:hint="default"/>
          <w:spacing w:val="-3"/>
        </w:rPr>
        <w:t>2018</w:t>
      </w:r>
      <w:r>
        <w:rPr>
          <w:spacing w:val="-3"/>
        </w:rPr>
        <w:t>）</w:t>
      </w:r>
      <w:r>
        <w:rPr>
          <w:spacing w:val="-82"/>
        </w:rPr>
        <w:t> </w:t>
      </w:r>
      <w:r>
        <w:rPr>
          <w:rFonts w:ascii="宋体" w:hAnsi="宋体" w:cs="宋体" w:eastAsia="宋体" w:hint="default"/>
        </w:rPr>
        <w:t>107</w:t>
      </w:r>
      <w:r>
        <w:rPr/>
        <w:t>号），子公司浙江银江研究院有限公司于</w:t>
      </w:r>
      <w:r>
        <w:rPr>
          <w:rFonts w:ascii="宋体" w:hAnsi="宋体" w:cs="宋体" w:eastAsia="宋体" w:hint="default"/>
        </w:rPr>
        <w:t>2018</w:t>
      </w:r>
      <w:r>
        <w:rPr/>
        <w:t>年</w:t>
      </w:r>
      <w:r>
        <w:rPr>
          <w:rFonts w:ascii="宋体" w:hAnsi="宋体" w:cs="宋体" w:eastAsia="宋体" w:hint="default"/>
        </w:rPr>
        <w:t>10</w:t>
      </w:r>
      <w:r>
        <w:rPr/>
        <w:t>月收到专利资助经费</w:t>
      </w:r>
      <w:r>
        <w:rPr>
          <w:rFonts w:ascii="宋体" w:hAnsi="宋体" w:cs="宋体" w:eastAsia="宋体" w:hint="default"/>
        </w:rPr>
        <w:t>90,000</w:t>
      </w:r>
      <w:r>
        <w:rPr/>
        <w:t>元，计入营业外收入。 </w:t>
      </w:r>
      <w:r>
        <w:rPr>
          <w:spacing w:val="-2"/>
        </w:rPr>
        <w:t>注</w:t>
      </w:r>
      <w:r>
        <w:rPr>
          <w:rFonts w:ascii="宋体" w:hAnsi="宋体" w:cs="宋体" w:eastAsia="宋体" w:hint="default"/>
          <w:spacing w:val="-2"/>
        </w:rPr>
        <w:t>20</w:t>
      </w:r>
      <w:r>
        <w:rPr>
          <w:spacing w:val="-2"/>
        </w:rPr>
        <w:t>：据杭州高新技术产业开发区科学技术局、杭州市滨江区科学技术局、杭州高新技术产业开发区财政局、杭州市滨江区</w:t>
      </w:r>
      <w:r>
        <w:rPr>
          <w:spacing w:val="-64"/>
        </w:rPr>
        <w:t> </w:t>
      </w:r>
      <w:r>
        <w:rPr>
          <w:spacing w:val="-64"/>
        </w:rPr>
      </w:r>
      <w:r>
        <w:rPr/>
        <w:t>财政局发布的《关于下达杭州高新区（滨江）</w:t>
      </w:r>
      <w:r>
        <w:rPr>
          <w:rFonts w:ascii="宋体" w:hAnsi="宋体" w:cs="宋体" w:eastAsia="宋体" w:hint="default"/>
        </w:rPr>
        <w:t>2018</w:t>
      </w:r>
      <w:r>
        <w:rPr/>
        <w:t>年第二季度专利资助经费的通知》（区科技（</w:t>
      </w:r>
      <w:r>
        <w:rPr>
          <w:rFonts w:ascii="宋体" w:hAnsi="宋体" w:cs="宋体" w:eastAsia="宋体" w:hint="default"/>
        </w:rPr>
        <w:t>2018</w:t>
      </w:r>
      <w:r>
        <w:rPr/>
        <w:t>）</w:t>
      </w:r>
      <w:r>
        <w:rPr>
          <w:rFonts w:ascii="宋体" w:hAnsi="宋体" w:cs="宋体" w:eastAsia="宋体" w:hint="default"/>
        </w:rPr>
        <w:t>38</w:t>
      </w:r>
      <w:r>
        <w:rPr/>
        <w:t>号、区财（</w:t>
      </w:r>
      <w:r>
        <w:rPr>
          <w:rFonts w:ascii="宋体" w:hAnsi="宋体" w:cs="宋体" w:eastAsia="宋体" w:hint="default"/>
        </w:rPr>
        <w:t>2018</w:t>
      </w:r>
      <w:r>
        <w:rPr/>
        <w:t>） </w:t>
      </w:r>
      <w:r>
        <w:rPr>
          <w:rFonts w:ascii="宋体" w:hAnsi="宋体" w:cs="宋体" w:eastAsia="宋体" w:hint="default"/>
        </w:rPr>
        <w:t>107</w:t>
      </w:r>
      <w:r>
        <w:rPr/>
        <w:t>号），子公司健康宝互联网技术有限公司于</w:t>
      </w:r>
      <w:r>
        <w:rPr>
          <w:rFonts w:ascii="宋体" w:hAnsi="宋体" w:cs="宋体" w:eastAsia="宋体" w:hint="default"/>
        </w:rPr>
        <w:t>2018</w:t>
      </w:r>
      <w:r>
        <w:rPr/>
        <w:t>年</w:t>
      </w:r>
      <w:r>
        <w:rPr>
          <w:rFonts w:ascii="宋体" w:hAnsi="宋体" w:cs="宋体" w:eastAsia="宋体" w:hint="default"/>
        </w:rPr>
        <w:t>10</w:t>
      </w:r>
      <w:r>
        <w:rPr/>
        <w:t>月收到专利补贴</w:t>
      </w:r>
      <w:r>
        <w:rPr>
          <w:rFonts w:ascii="宋体" w:hAnsi="宋体" w:cs="宋体" w:eastAsia="宋体" w:hint="default"/>
        </w:rPr>
        <w:t>10,000</w:t>
      </w:r>
      <w:r>
        <w:rPr/>
        <w:t>元，计入营业外收入。 </w:t>
      </w:r>
      <w:r>
        <w:rPr>
          <w:spacing w:val="-3"/>
        </w:rPr>
        <w:t>注</w:t>
      </w:r>
      <w:r>
        <w:rPr>
          <w:rFonts w:ascii="宋体" w:hAnsi="宋体" w:cs="宋体" w:eastAsia="宋体" w:hint="default"/>
          <w:spacing w:val="-3"/>
        </w:rPr>
        <w:t>21</w:t>
      </w:r>
      <w:r>
        <w:rPr>
          <w:spacing w:val="-3"/>
        </w:rPr>
        <w:t>：根据杭州高新技术产业开发区科学技术局发布的《关于下达杭州高新区（滨江）</w:t>
      </w:r>
      <w:r>
        <w:rPr>
          <w:rFonts w:ascii="宋体" w:hAnsi="宋体" w:cs="宋体" w:eastAsia="宋体" w:hint="default"/>
          <w:spacing w:val="-3"/>
        </w:rPr>
        <w:t>2018</w:t>
      </w:r>
      <w:r>
        <w:rPr>
          <w:spacing w:val="-3"/>
        </w:rPr>
        <w:t>年第二季度专利资助经费的通知》</w:t>
      </w:r>
      <w:r>
        <w:rPr/>
        <w:t> </w:t>
      </w:r>
      <w:r>
        <w:rPr>
          <w:rFonts w:ascii="宋体" w:hAnsi="宋体" w:cs="宋体" w:eastAsia="宋体" w:hint="default"/>
          <w:spacing w:val="2"/>
        </w:rPr>
        <w:t>(</w:t>
      </w:r>
      <w:r>
        <w:rPr>
          <w:spacing w:val="2"/>
        </w:rPr>
        <w:t>区科技</w:t>
      </w:r>
      <w:r>
        <w:rPr>
          <w:rFonts w:ascii="宋体" w:hAnsi="宋体" w:cs="宋体" w:eastAsia="宋体" w:hint="default"/>
          <w:spacing w:val="2"/>
        </w:rPr>
        <w:t>[2018]38</w:t>
      </w:r>
      <w:r>
        <w:rPr>
          <w:spacing w:val="2"/>
        </w:rPr>
        <w:t>号区财</w:t>
      </w:r>
      <w:r>
        <w:rPr>
          <w:rFonts w:ascii="宋体" w:hAnsi="宋体" w:cs="宋体" w:eastAsia="宋体" w:hint="default"/>
          <w:spacing w:val="2"/>
        </w:rPr>
        <w:t>[2018]107</w:t>
      </w:r>
      <w:r>
        <w:rPr>
          <w:spacing w:val="2"/>
        </w:rPr>
        <w:t>号</w:t>
      </w:r>
      <w:r>
        <w:rPr>
          <w:rFonts w:ascii="宋体" w:hAnsi="宋体" w:cs="宋体" w:eastAsia="宋体" w:hint="default"/>
          <w:spacing w:val="2"/>
        </w:rPr>
        <w:t>),</w:t>
      </w:r>
      <w:r>
        <w:rPr>
          <w:spacing w:val="2"/>
        </w:rPr>
        <w:t>子公司杭州银江智慧健康集团有限公司于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月收到专利资助经费</w:t>
      </w:r>
      <w:r>
        <w:rPr>
          <w:rFonts w:ascii="宋体" w:hAnsi="宋体" w:cs="宋体" w:eastAsia="宋体" w:hint="default"/>
          <w:spacing w:val="2"/>
        </w:rPr>
        <w:t>20,000.00</w:t>
      </w:r>
      <w:r>
        <w:rPr>
          <w:rFonts w:ascii="宋体" w:hAnsi="宋体" w:cs="宋体" w:eastAsia="宋体" w:hint="default"/>
          <w:spacing w:val="-72"/>
        </w:rPr>
        <w:t> </w:t>
      </w:r>
      <w:r>
        <w:rPr>
          <w:rFonts w:ascii="宋体" w:hAnsi="宋体" w:cs="宋体" w:eastAsia="宋体" w:hint="default"/>
          <w:spacing w:val="-72"/>
        </w:rPr>
      </w:r>
      <w:r>
        <w:rPr/>
        <w:t>元，计入营业外收入。 </w:t>
      </w:r>
      <w:r>
        <w:rPr>
          <w:spacing w:val="-2"/>
        </w:rPr>
        <w:t>注</w:t>
      </w:r>
      <w:r>
        <w:rPr>
          <w:rFonts w:ascii="宋体" w:hAnsi="宋体" w:cs="宋体" w:eastAsia="宋体" w:hint="default"/>
          <w:spacing w:val="-2"/>
        </w:rPr>
        <w:t>22</w:t>
      </w:r>
      <w:r>
        <w:rPr>
          <w:spacing w:val="-2"/>
        </w:rPr>
        <w:t>：根据西安市科技技术局《西安市高新技术企业认定管理办法》及《</w:t>
      </w:r>
      <w:r>
        <w:rPr>
          <w:rFonts w:ascii="宋体" w:hAnsi="宋体" w:cs="宋体" w:eastAsia="宋体" w:hint="default"/>
          <w:spacing w:val="-2"/>
        </w:rPr>
        <w:t>2018</w:t>
      </w:r>
      <w:r>
        <w:rPr>
          <w:spacing w:val="-2"/>
        </w:rPr>
        <w:t>年度西安市科技计划项目申报指南》，西安市</w:t>
      </w:r>
      <w:r>
        <w:rPr>
          <w:spacing w:val="-60"/>
        </w:rPr>
        <w:t> </w:t>
      </w:r>
      <w:r>
        <w:rPr>
          <w:spacing w:val="-60"/>
        </w:rPr>
      </w:r>
      <w:r>
        <w:rPr>
          <w:spacing w:val="-2"/>
        </w:rPr>
        <w:t>科技技术局发布的《关于对于</w:t>
      </w:r>
      <w:r>
        <w:rPr>
          <w:rFonts w:ascii="宋体" w:hAnsi="宋体" w:cs="宋体" w:eastAsia="宋体" w:hint="default"/>
          <w:spacing w:val="-2"/>
        </w:rPr>
        <w:t>2017</w:t>
      </w:r>
      <w:r>
        <w:rPr>
          <w:spacing w:val="-2"/>
        </w:rPr>
        <w:t>年度首次认定的高新技术企业进行奖励补助的通知》，子公司西安银江智慧城市技术有限</w:t>
      </w:r>
      <w:r>
        <w:rPr>
          <w:spacing w:val="-62"/>
        </w:rPr>
        <w:t> </w:t>
      </w:r>
      <w:r>
        <w:rPr>
          <w:spacing w:val="-62"/>
        </w:rPr>
      </w:r>
      <w:r>
        <w:rPr/>
        <w:t>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30</w:t>
      </w:r>
      <w:r>
        <w:rPr/>
        <w:t>日收到</w:t>
      </w:r>
      <w:r>
        <w:rPr>
          <w:rFonts w:ascii="宋体" w:hAnsi="宋体" w:cs="宋体" w:eastAsia="宋体" w:hint="default"/>
        </w:rPr>
        <w:t>100,000.00</w:t>
      </w:r>
      <w:r>
        <w:rPr/>
        <w:t>元补助奖励，计入营业外收入。 </w:t>
      </w:r>
      <w:r>
        <w:rPr>
          <w:spacing w:val="-2"/>
        </w:rPr>
        <w:t>注</w:t>
      </w:r>
      <w:r>
        <w:rPr>
          <w:rFonts w:ascii="宋体" w:hAnsi="宋体" w:cs="宋体" w:eastAsia="宋体" w:hint="default"/>
          <w:spacing w:val="-2"/>
        </w:rPr>
        <w:t>23</w:t>
      </w:r>
      <w:r>
        <w:rPr>
          <w:spacing w:val="-2"/>
        </w:rPr>
        <w:t>：根据西安市高新区工信局（信用服务中心）发布的《关于</w:t>
      </w:r>
      <w:r>
        <w:rPr>
          <w:rFonts w:ascii="宋体" w:hAnsi="宋体" w:cs="宋体" w:eastAsia="宋体" w:hint="default"/>
          <w:spacing w:val="-2"/>
        </w:rPr>
        <w:t>2017</w:t>
      </w:r>
      <w:r>
        <w:rPr>
          <w:spacing w:val="-2"/>
        </w:rPr>
        <w:t>年度“三次创业”系列优惠政策拨付资金的通知（第一</w:t>
      </w:r>
      <w:r>
        <w:rPr>
          <w:spacing w:val="-64"/>
        </w:rPr>
        <w:t> </w:t>
      </w:r>
      <w:r>
        <w:rPr>
          <w:spacing w:val="-64"/>
        </w:rPr>
      </w:r>
      <w:r>
        <w:rPr/>
        <w:t>批）》，子公司西安银江智慧城市技术有限公司于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日收到</w:t>
      </w:r>
      <w:r>
        <w:rPr>
          <w:rFonts w:ascii="宋体" w:hAnsi="宋体" w:cs="宋体" w:eastAsia="宋体" w:hint="default"/>
        </w:rPr>
        <w:t>420,000.00</w:t>
      </w:r>
      <w:r>
        <w:rPr/>
        <w:t>元拨付资金，计入营业外收入。 </w:t>
      </w:r>
      <w:r>
        <w:rPr>
          <w:spacing w:val="-2"/>
        </w:rPr>
        <w:t>注</w:t>
      </w:r>
      <w:r>
        <w:rPr>
          <w:rFonts w:ascii="宋体" w:hAnsi="宋体" w:cs="宋体" w:eastAsia="宋体" w:hint="default"/>
          <w:spacing w:val="-2"/>
        </w:rPr>
        <w:t>24</w:t>
      </w:r>
      <w:r>
        <w:rPr>
          <w:spacing w:val="-2"/>
        </w:rPr>
        <w:t>：根据西安市创新发展局《获得</w:t>
      </w:r>
      <w:r>
        <w:rPr>
          <w:rFonts w:ascii="宋体" w:hAnsi="宋体" w:cs="宋体" w:eastAsia="宋体" w:hint="default"/>
          <w:spacing w:val="-2"/>
        </w:rPr>
        <w:t>2017</w:t>
      </w:r>
      <w:r>
        <w:rPr>
          <w:spacing w:val="-2"/>
        </w:rPr>
        <w:t>年度国家级高新技术企业奖励的通知》，子公司西安银江智慧城市技术有限公司于</w:t>
      </w:r>
      <w:r>
        <w:rPr>
          <w:spacing w:val="-60"/>
        </w:rPr>
        <w:t> </w:t>
      </w:r>
      <w:r>
        <w:rPr>
          <w:spacing w:val="-60"/>
        </w:rPr>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日收到</w:t>
      </w:r>
      <w:r>
        <w:rPr>
          <w:rFonts w:ascii="宋体" w:hAnsi="宋体" w:cs="宋体" w:eastAsia="宋体" w:hint="default"/>
        </w:rPr>
        <w:t>50,000.00</w:t>
      </w:r>
      <w:r>
        <w:rPr/>
        <w:t>元奖励，计入营业外收入。 注</w:t>
      </w:r>
      <w:r>
        <w:rPr>
          <w:rFonts w:ascii="宋体" w:hAnsi="宋体" w:cs="宋体" w:eastAsia="宋体" w:hint="default"/>
        </w:rPr>
        <w:t>25</w:t>
      </w:r>
      <w:r>
        <w:rPr/>
        <w:t>：根据厦门市人力资源和社会保障局发布的《厦门市人力资源和社会保障局 厦门市财政局关于做好失业保险支持企业</w:t>
      </w:r>
      <w:r>
        <w:rPr>
          <w:spacing w:val="-82"/>
        </w:rPr>
        <w:t> </w:t>
      </w:r>
      <w:r>
        <w:rPr>
          <w:spacing w:val="-82"/>
        </w:rPr>
      </w:r>
      <w:r>
        <w:rPr/>
        <w:t>稳定岗位工作有关问题的通知》，公司分别于</w:t>
      </w:r>
      <w:r>
        <w:rPr>
          <w:rFonts w:ascii="宋体" w:hAnsi="宋体" w:cs="宋体" w:eastAsia="宋体" w:hint="default"/>
        </w:rPr>
        <w:t>2018</w:t>
      </w:r>
      <w:r>
        <w:rPr/>
        <w:t>年</w:t>
      </w:r>
      <w:r>
        <w:rPr>
          <w:rFonts w:ascii="宋体" w:hAnsi="宋体" w:cs="宋体" w:eastAsia="宋体" w:hint="default"/>
        </w:rPr>
        <w:t>5</w:t>
      </w:r>
      <w:r>
        <w:rPr/>
        <w:t>月和</w:t>
      </w:r>
      <w:r>
        <w:rPr>
          <w:rFonts w:ascii="宋体" w:hAnsi="宋体" w:cs="宋体" w:eastAsia="宋体" w:hint="default"/>
        </w:rPr>
        <w:t>2018</w:t>
      </w:r>
      <w:r>
        <w:rPr/>
        <w:t>年</w:t>
      </w:r>
      <w:r>
        <w:rPr>
          <w:rFonts w:ascii="宋体" w:hAnsi="宋体" w:cs="宋体" w:eastAsia="宋体" w:hint="default"/>
        </w:rPr>
        <w:t>6</w:t>
      </w:r>
      <w:r>
        <w:rPr/>
        <w:t>月收到社保补贴合计</w:t>
      </w:r>
      <w:r>
        <w:rPr>
          <w:rFonts w:ascii="宋体" w:hAnsi="宋体" w:cs="宋体" w:eastAsia="宋体" w:hint="default"/>
        </w:rPr>
        <w:t>19,383.20</w:t>
      </w:r>
      <w:r>
        <w:rPr/>
        <w:t>元，计入营业外收入。 注</w:t>
      </w:r>
      <w:r>
        <w:rPr>
          <w:rFonts w:ascii="宋体" w:hAnsi="宋体" w:cs="宋体" w:eastAsia="宋体" w:hint="default"/>
        </w:rPr>
        <w:t>26</w:t>
      </w:r>
      <w:r>
        <w:rPr/>
        <w:t>：根据厦门市人力资源和社会保障局发布的《厦门市财政局关于调整和规范</w:t>
      </w:r>
      <w:r>
        <w:rPr>
          <w:rFonts w:ascii="宋体" w:hAnsi="宋体" w:cs="宋体" w:eastAsia="宋体" w:hint="default"/>
        </w:rPr>
        <w:t>&lt;</w:t>
      </w:r>
      <w:r>
        <w:rPr/>
        <w:t>厦门市人力资源和社会保障局</w:t>
      </w:r>
      <w:r>
        <w:rPr>
          <w:spacing w:val="-40"/>
        </w:rPr>
        <w:t> </w:t>
      </w:r>
      <w:r>
        <w:rPr/>
        <w:t>厦门市财政 </w:t>
      </w:r>
      <w:r>
        <w:rPr>
          <w:spacing w:val="-2"/>
        </w:rPr>
        <w:t>局关于进一步做好促进本市居民就业和企业用工服务工作的若干意见</w:t>
      </w:r>
      <w:r>
        <w:rPr>
          <w:rFonts w:ascii="宋体" w:hAnsi="宋体" w:cs="宋体" w:eastAsia="宋体" w:hint="default"/>
          <w:spacing w:val="-2"/>
        </w:rPr>
        <w:t>&gt;</w:t>
      </w:r>
      <w:r>
        <w:rPr>
          <w:spacing w:val="-2"/>
        </w:rPr>
        <w:t>执行口径的通知》（厦人社〔</w:t>
      </w:r>
      <w:r>
        <w:rPr>
          <w:rFonts w:ascii="宋体" w:hAnsi="宋体" w:cs="宋体" w:eastAsia="宋体" w:hint="default"/>
          <w:spacing w:val="-2"/>
        </w:rPr>
        <w:t>2015</w:t>
      </w:r>
      <w:r>
        <w:rPr>
          <w:spacing w:val="-2"/>
        </w:rPr>
        <w:t>〕</w:t>
      </w:r>
      <w:r>
        <w:rPr>
          <w:rFonts w:ascii="宋体" w:hAnsi="宋体" w:cs="宋体" w:eastAsia="宋体" w:hint="default"/>
          <w:spacing w:val="-2"/>
        </w:rPr>
        <w:t>148</w:t>
      </w:r>
      <w:r>
        <w:rPr>
          <w:spacing w:val="-2"/>
        </w:rPr>
        <w:t>号），公司分</w:t>
      </w:r>
      <w:r>
        <w:rPr>
          <w:spacing w:val="-59"/>
        </w:rPr>
        <w:t> </w:t>
      </w:r>
      <w:r>
        <w:rPr>
          <w:spacing w:val="-59"/>
        </w:rPr>
      </w:r>
      <w:r>
        <w:rPr/>
        <w:t>别于</w:t>
      </w:r>
      <w:r>
        <w:rPr>
          <w:rFonts w:ascii="宋体" w:hAnsi="宋体" w:cs="宋体" w:eastAsia="宋体" w:hint="default"/>
        </w:rPr>
        <w:t>2018</w:t>
      </w:r>
      <w:r>
        <w:rPr/>
        <w:t>年</w:t>
      </w:r>
      <w:r>
        <w:rPr>
          <w:rFonts w:ascii="宋体" w:hAnsi="宋体" w:cs="宋体" w:eastAsia="宋体" w:hint="default"/>
        </w:rPr>
        <w:t>10</w:t>
      </w:r>
      <w:r>
        <w:rPr/>
        <w:t>月和</w:t>
      </w:r>
      <w:r>
        <w:rPr>
          <w:rFonts w:ascii="宋体" w:hAnsi="宋体" w:cs="宋体" w:eastAsia="宋体" w:hint="default"/>
        </w:rPr>
        <w:t>2018</w:t>
      </w:r>
      <w:r>
        <w:rPr/>
        <w:t>年</w:t>
      </w:r>
      <w:r>
        <w:rPr>
          <w:rFonts w:ascii="宋体" w:hAnsi="宋体" w:cs="宋体" w:eastAsia="宋体" w:hint="default"/>
        </w:rPr>
        <w:t>12</w:t>
      </w:r>
      <w:r>
        <w:rPr/>
        <w:t>月收到应届生补贴共</w:t>
      </w:r>
      <w:r>
        <w:rPr>
          <w:rFonts w:ascii="宋体" w:hAnsi="宋体" w:cs="宋体" w:eastAsia="宋体" w:hint="default"/>
        </w:rPr>
        <w:t>11,556</w:t>
      </w:r>
      <w:r>
        <w:rPr/>
        <w:t>元，计入营业外收入。</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4、营业外支出" w:id="353"/>
      <w:bookmarkEnd w:id="35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10,138.91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291,090.33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834,527.08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291,090.33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291,090.33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844,665.99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291,090.33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54"/>
      <w:bookmarkEnd w:id="35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5"/>
      <w:bookmarkEnd w:id="35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55,106,173.38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32,110,516.23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-33,414,063.30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-9,243,238.55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21,692,110.08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22,867,277.68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56"/>
      <w:bookmarkEnd w:id="35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44,763,724.28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6,714,558.65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-4,350,738.06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330,964.47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-87,992.39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8,168,036.12</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22,742,426.67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按照税法规定可以额外税前扣除的部分影响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-12,417,141.34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外地预缴所得税额的影响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591,995.96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21,692,110.08</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8855" w:firstLine="0"/>
        <w:jc w:val="left"/>
        <w:rPr>
          <w:rFonts w:ascii="宋体" w:hAnsi="宋体" w:cs="宋体" w:eastAsia="宋体" w:hint="default"/>
          <w:sz w:val="21"/>
          <w:szCs w:val="21"/>
        </w:rPr>
      </w:pPr>
      <w:bookmarkStart w:name="66、其他综合收益" w:id="357"/>
      <w:bookmarkEnd w:id="357"/>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bookmarkStart w:name="67、现金流量表项目" w:id="358"/>
      <w:bookmarkEnd w:id="358"/>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59"/>
      <w:bookmarkEnd w:id="35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2,360,976.20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7,601,616.00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108,369.07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710,393.85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11,194,318.98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20,910,942.98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收回暂付款及收到暂收款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245,798,765.54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265,937,798.99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63,737,215.37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31,134,628.45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经营性租赁租金收入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5,152,772.30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2,716,308.81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3,481,132.09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333,857,111.19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329,025,574.56</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0"/>
      <w:bookmarkEnd w:id="36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10,834,712.67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10,757,700.04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7,672,223.74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6,194,397.84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9,244,047.69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10,665,844.49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20,152,308.10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20,322,757.83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1,446,780.38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947,569.74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1,750,538.53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2,810,902.74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2,891,029.28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4,330,137.86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8,212,511.20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10,101,359.68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3,129,785.41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3,512,760.58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6,107,667.20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5,974,179.71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9,131,770.15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8,966,157.60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1,148,424.72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679,675.92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支付暂收款及支付暂付款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207,679,599.43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183,865,641.88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36,124,581.23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4,936,019.16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研发材料费用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11,183,450.07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17,670,594.21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655,262.51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565,106.16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2,350,620.17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181,970.33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67,840,329.87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55,376,023.52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11,497,545.36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10,984,219.56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419,053,187.71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358,843,018.85</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61"/>
      <w:bookmarkEnd w:id="36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与投资活动相关的股权投资预付款退回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62"/>
      <w:bookmarkEnd w:id="36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63"/>
      <w:bookmarkEnd w:id="36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退回银行保证金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78,752,162.21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55,964,693.38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36,374,486.25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本期收回的与筹资活动相关保证金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78,752,162.21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130,139,179.63</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64"/>
      <w:bookmarkEnd w:id="36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56.369995pt;width:151.25pt;height:40.9pt;mso-position-horizontal-relative:page;mso-position-vertical-relative:page;z-index:-1156432" coordorigin="4467,9127" coordsize="3025,818">
            <v:group style="position:absolute;left:4478;top:9139;width:2;height:393" coordorigin="4478,9139" coordsize="2,393">
              <v:shape style="position:absolute;left:4478;top:9139;width:2;height:393" coordorigin="4478,9139" coordsize="0,393" path="m4478,9139l4478,9531e" filled="false" stroked="true" strokeweight="1.140pt" strokecolor="#ffffff">
                <v:path arrowok="t"/>
              </v:shape>
            </v:group>
            <v:group style="position:absolute;left:4490;top:9139;width:3002;height:393" coordorigin="4490,9139" coordsize="3002,393">
              <v:shape style="position:absolute;left:4490;top:9139;width:3002;height:393" coordorigin="4490,9139" coordsize="3002,393" path="m4490,9531l7491,9531,7491,9139,4490,9139,4490,9531xe" filled="true" fillcolor="#ffffff" stroked="false">
                <v:path arrowok="t"/>
                <v:fill type="solid"/>
              </v:shape>
            </v:group>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本期支出的与筹资活动相关保证金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71,636,524.58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69,335,904.57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71,636,524.58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69,335,904.57</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现金流量表补充资料" w:id="365"/>
      <w:bookmarkEnd w:id="36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66"/>
      <w:bookmarkEnd w:id="36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23,071,614.20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135,705,643.34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268,839,680.37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101,465,049.66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18,288,755.42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17,192,651.22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12,335,468.61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17,428,206.43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1,788,809.97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2,042,321.36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4,696.21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13,983.36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62,272,090.87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48,566,769.06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-93,196,542.45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-48,091,279.47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-35,244,027.62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-9,243,238.55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1,829,964.32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-128,958,205.93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-408,216,881.55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-252,928,186.02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-165,852,144.84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119,100,828.38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111,389,318.92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16,088,150.03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-17,772,624.18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13,293,096.36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-215,372,225.24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604,309,223.92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1,128,651,737.06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1,128,651,737.06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987,478,718.87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-524,342,513.14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141,173,018.19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本期支付的取得子公司的现金净额" w:id="367"/>
      <w:bookmarkEnd w:id="36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68"/>
      <w:bookmarkEnd w:id="36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1,949.71</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1,949.71</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178,998,050.29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69"/>
      <w:bookmarkEnd w:id="36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604,309,223.92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1,128,651,737.06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56,517.39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359,445.82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604,252,706.53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1,066,575,552.39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61,716,738.85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604,309,223.92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1,128,651,737.06</w:t>
            </w:r>
          </w:p>
        </w:tc>
      </w:tr>
    </w:tbl>
    <w:p>
      <w:pPr>
        <w:pStyle w:val="BodyText"/>
        <w:spacing w:line="338" w:lineRule="auto" w:before="51"/>
        <w:ind w:right="1122"/>
        <w:jc w:val="left"/>
      </w:pPr>
      <w:r>
        <w:rPr/>
        <w:t>其他说明： </w:t>
      </w:r>
      <w:r>
        <w:rPr>
          <w:spacing w:val="-2"/>
        </w:rPr>
        <w:t>上表其他系股份支付确认资本公积、经营活动相关的其他货币资金变动、收到政府补助与本期实际摊销差异以及前期开发支</w:t>
      </w:r>
      <w:r>
        <w:rPr>
          <w:spacing w:val="-64"/>
        </w:rPr>
        <w:t> </w:t>
      </w:r>
      <w:r>
        <w:rPr>
          <w:spacing w:val="-64"/>
        </w:rPr>
      </w:r>
      <w:r>
        <w:rPr/>
        <w:t>出未形成成果费用化形成，具体明细如下：</w:t>
      </w:r>
    </w:p>
    <w:tbl>
      <w:tblPr>
        <w:tblW w:w="0" w:type="auto"/>
        <w:jc w:val="left"/>
        <w:tblInd w:w="149" w:type="dxa"/>
        <w:tblLayout w:type="fixed"/>
        <w:tblCellMar>
          <w:top w:w="0" w:type="dxa"/>
          <w:left w:w="0" w:type="dxa"/>
          <w:bottom w:w="0" w:type="dxa"/>
          <w:right w:w="0" w:type="dxa"/>
        </w:tblCellMar>
        <w:tblLook w:val="01E0"/>
      </w:tblPr>
      <w:tblGrid>
        <w:gridCol w:w="4537"/>
        <w:gridCol w:w="2553"/>
        <w:gridCol w:w="2410"/>
      </w:tblGrid>
      <w:tr>
        <w:trPr>
          <w:trHeight w:val="341" w:hRule="exact"/>
        </w:trPr>
        <w:tc>
          <w:tcPr>
            <w:tcW w:w="4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其他具体事项</w:t>
            </w:r>
          </w:p>
        </w:tc>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股份支付确认资本公积</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16,989,302.00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z w:val="18"/>
              </w:rPr>
              <w:t>5,019,566.50</w:t>
            </w:r>
          </w:p>
        </w:tc>
      </w:tr>
      <w:tr>
        <w:trPr>
          <w:trHeight w:val="34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经营活动相关的其他货币资金变动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right"/>
              <w:rPr>
                <w:rFonts w:ascii="宋体" w:hAnsi="宋体" w:cs="宋体" w:eastAsia="宋体" w:hint="default"/>
                <w:sz w:val="18"/>
                <w:szCs w:val="18"/>
              </w:rPr>
            </w:pPr>
            <w:r>
              <w:rPr>
                <w:rFonts w:ascii="宋体"/>
                <w:sz w:val="18"/>
              </w:rPr>
              <w:t>-4,103,114.50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-24,241,395.07</w:t>
            </w:r>
          </w:p>
        </w:tc>
      </w:tr>
      <w:tr>
        <w:trPr>
          <w:trHeight w:val="34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收到政府补助与本期实际摊销的差异</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right"/>
              <w:rPr>
                <w:rFonts w:ascii="宋体" w:hAnsi="宋体" w:cs="宋体" w:eastAsia="宋体" w:hint="default"/>
                <w:sz w:val="18"/>
                <w:szCs w:val="18"/>
              </w:rPr>
            </w:pPr>
            <w:r>
              <w:rPr>
                <w:rFonts w:ascii="宋体"/>
                <w:sz w:val="18"/>
              </w:rPr>
              <w:t>1,960,000.00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前期开发支出未形成成果费用化</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right"/>
              <w:rPr>
                <w:rFonts w:ascii="宋体" w:hAnsi="宋体" w:cs="宋体" w:eastAsia="宋体" w:hint="default"/>
                <w:sz w:val="18"/>
                <w:szCs w:val="18"/>
              </w:rPr>
            </w:pPr>
            <w:r>
              <w:rPr>
                <w:rFonts w:ascii="宋体"/>
                <w:sz w:val="18"/>
              </w:rPr>
              <w:t>1,241,962.53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1,449,204.39</w:t>
            </w:r>
          </w:p>
        </w:tc>
      </w:tr>
      <w:tr>
        <w:trPr>
          <w:trHeight w:val="34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right"/>
              <w:rPr>
                <w:rFonts w:ascii="宋体" w:hAnsi="宋体" w:cs="宋体" w:eastAsia="宋体" w:hint="default"/>
                <w:sz w:val="18"/>
                <w:szCs w:val="18"/>
              </w:rPr>
            </w:pPr>
            <w:r>
              <w:rPr>
                <w:rFonts w:ascii="宋体"/>
                <w:sz w:val="18"/>
              </w:rPr>
              <w:t>16,088,150.03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-17,772,624.18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44" w:lineRule="auto" w:before="186"/>
        <w:ind w:left="154" w:right="5372" w:firstLine="0"/>
        <w:jc w:val="left"/>
        <w:rPr>
          <w:rFonts w:ascii="宋体" w:hAnsi="宋体" w:cs="宋体" w:eastAsia="宋体" w:hint="default"/>
          <w:sz w:val="21"/>
          <w:szCs w:val="21"/>
        </w:rPr>
      </w:pPr>
      <w:bookmarkStart w:name="69、所有者权益变动表项目注释" w:id="370"/>
      <w:bookmarkEnd w:id="370"/>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1"/>
      <w:bookmarkEnd w:id="371"/>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74,733,583.22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承兑汇票、银行保函、农民工保证金等</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91,112,261.44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用于质押的应收账款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165,845,844.66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1、外币货币性项目" w:id="372"/>
      <w:bookmarkEnd w:id="37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套期" w:id="373"/>
      <w:bookmarkEnd w:id="373"/>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政府补助" w:id="374"/>
      <w:bookmarkEnd w:id="37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75"/>
      <w:bookmarkEnd w:id="37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政府补助退回情况" w:id="376"/>
      <w:bookmarkEnd w:id="37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spacing w:line="487" w:lineRule="auto" w:before="0"/>
        <w:ind w:left="154" w:right="8328" w:firstLine="0"/>
        <w:jc w:val="left"/>
        <w:rPr>
          <w:rFonts w:ascii="宋体" w:hAnsi="宋体" w:cs="宋体" w:eastAsia="宋体" w:hint="default"/>
          <w:sz w:val="21"/>
          <w:szCs w:val="21"/>
        </w:rPr>
      </w:pPr>
      <w:bookmarkStart w:name="74、其他" w:id="377"/>
      <w:bookmarkEnd w:id="37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78"/>
      <w:bookmarkEnd w:id="37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79"/>
      <w:bookmarkEnd w:id="3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80"/>
      <w:bookmarkEnd w:id="38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合并成本及商誉" w:id="381"/>
      <w:bookmarkEnd w:id="38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82"/>
      <w:bookmarkEnd w:id="38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383"/>
      <w:bookmarkEnd w:id="38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84"/>
      <w:bookmarkEnd w:id="38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85"/>
      <w:bookmarkEnd w:id="38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86"/>
      <w:bookmarkEnd w:id="38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87"/>
      <w:bookmarkEnd w:id="38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388"/>
      <w:bookmarkEnd w:id="38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合并日被合并方资产、负债的账面价值" w:id="389"/>
      <w:bookmarkEnd w:id="38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反向购买" w:id="390"/>
      <w:bookmarkEnd w:id="39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处置子公司" w:id="391"/>
      <w:bookmarkEnd w:id="39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10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3"/>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both"/>
              <w:rPr>
                <w:rFonts w:ascii="宋体" w:hAnsi="宋体" w:cs="宋体" w:eastAsia="宋体" w:hint="default"/>
                <w:sz w:val="18"/>
                <w:szCs w:val="18"/>
              </w:rPr>
            </w:pPr>
            <w:r>
              <w:rPr>
                <w:rFonts w:ascii="宋体" w:hAnsi="宋体" w:cs="宋体" w:eastAsia="宋体" w:hint="default"/>
                <w:sz w:val="18"/>
                <w:szCs w:val="18"/>
              </w:rPr>
              <w:t>按照公 允价值 重新计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285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浙江交 通宝互 联网技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股权变 更工商 登记完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51,400,8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7,800,23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12,199,7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both"/>
              <w:rPr>
                <w:rFonts w:ascii="宋体" w:hAnsi="宋体" w:cs="宋体" w:eastAsia="宋体" w:hint="default"/>
                <w:sz w:val="18"/>
                <w:szCs w:val="18"/>
              </w:rPr>
            </w:pPr>
            <w:r>
              <w:rPr>
                <w:rFonts w:ascii="宋体" w:hAnsi="宋体" w:cs="宋体" w:eastAsia="宋体" w:hint="default"/>
                <w:sz w:val="18"/>
                <w:szCs w:val="18"/>
              </w:rPr>
              <w:t>处置日 公司估 值</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92"/>
      <w:bookmarkEnd w:id="39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122"/>
        <w:jc w:val="left"/>
      </w:pPr>
      <w:r>
        <w:rPr/>
        <w:t>说明其他原因导致的合并范围变动（如，新设子公司、清算子公司等）及其相关情况： </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月，公司注销了重庆银江交通工程有限公司，自注销之日起，重庆银江交通工程有限公司不再纳入公司合并财务报</w:t>
      </w:r>
      <w:r>
        <w:rPr>
          <w:spacing w:val="-60"/>
        </w:rPr>
        <w:t> </w:t>
      </w:r>
      <w:r>
        <w:rPr>
          <w:spacing w:val="-60"/>
        </w:rPr>
      </w:r>
      <w:r>
        <w:rPr/>
        <w:t>表范围。</w:t>
      </w:r>
    </w:p>
    <w:p>
      <w:pPr>
        <w:spacing w:line="240" w:lineRule="auto" w:before="4"/>
        <w:rPr>
          <w:rFonts w:ascii="宋体" w:hAnsi="宋体" w:cs="宋体" w:eastAsia="宋体" w:hint="default"/>
          <w:sz w:val="21"/>
          <w:szCs w:val="21"/>
        </w:rPr>
      </w:pPr>
    </w:p>
    <w:p>
      <w:pPr>
        <w:spacing w:line="487" w:lineRule="auto" w:before="0"/>
        <w:ind w:left="154" w:right="7692" w:firstLine="0"/>
        <w:jc w:val="left"/>
        <w:rPr>
          <w:rFonts w:ascii="宋体" w:hAnsi="宋体" w:cs="宋体" w:eastAsia="宋体" w:hint="default"/>
          <w:sz w:val="21"/>
          <w:szCs w:val="21"/>
        </w:rPr>
      </w:pPr>
      <w:bookmarkStart w:name="6、其他" w:id="393"/>
      <w:bookmarkEnd w:id="39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4"/>
      <w:bookmarkEnd w:id="39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5"/>
      <w:bookmarkEnd w:id="39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96"/>
      <w:bookmarkEnd w:id="39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1134"/>
        <w:gridCol w:w="709"/>
        <w:gridCol w:w="1276"/>
        <w:gridCol w:w="851"/>
        <w:gridCol w:w="834"/>
        <w:gridCol w:w="1366"/>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山东银江交通技术有限公司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2"/>
        <w:gridCol w:w="1134"/>
        <w:gridCol w:w="709"/>
        <w:gridCol w:w="1276"/>
        <w:gridCol w:w="851"/>
        <w:gridCol w:w="834"/>
        <w:gridCol w:w="1366"/>
      </w:tblGrid>
      <w:tr>
        <w:trPr>
          <w:trHeight w:val="36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广东银江智慧城市建设技术有限公司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湖南银江交通技术有限公司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山西银江交通信息技术有限公司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杭州银江智慧医疗健康集团有限公司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医疗技术开发 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软件技术开发 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物联网技术服 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弱电技术开发 及服务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软件技术开发 及服务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物联网技术服 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物联网技术服 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东丰银江智慧城市技术有限公司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浙江城市宝互联网技术有限公司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软件技术开发 及服务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江苏银江智慧城市信息技术有限公司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2"/>
        <w:gridCol w:w="1134"/>
        <w:gridCol w:w="709"/>
        <w:gridCol w:w="1276"/>
        <w:gridCol w:w="851"/>
        <w:gridCol w:w="834"/>
        <w:gridCol w:w="13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湖北银江智慧城市技术有限公司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浙江银江智慧医疗研究院有限公司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浙江银江智慧交通工程技术研究院有限公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浙江银江智慧城市信息技术研究院有限公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38" w:lineRule="auto" w:before="51"/>
        <w:ind w:right="1122"/>
        <w:jc w:val="left"/>
      </w:pPr>
      <w:r>
        <w:rPr/>
        <w:t>在子公司的持股比例不同于表决权比例的说明： 注</w:t>
      </w:r>
      <w:r>
        <w:rPr>
          <w:rFonts w:ascii="宋体" w:hAnsi="宋体" w:cs="宋体" w:eastAsia="宋体" w:hint="default"/>
        </w:rPr>
        <w:t>1</w:t>
      </w:r>
      <w:r>
        <w:rPr/>
        <w:t>：本公司对浙江浙大健康管理有限公司投资</w:t>
      </w:r>
      <w:r>
        <w:rPr>
          <w:rFonts w:ascii="宋体" w:hAnsi="宋体" w:cs="宋体" w:eastAsia="宋体" w:hint="default"/>
        </w:rPr>
        <w:t>307.622</w:t>
      </w:r>
      <w:r>
        <w:rPr/>
        <w:t>万元，占被投资单位注册资本总额的</w:t>
      </w:r>
      <w:r>
        <w:rPr>
          <w:rFonts w:ascii="宋体" w:hAnsi="宋体" w:cs="宋体" w:eastAsia="宋体" w:hint="default"/>
        </w:rPr>
        <w:t>49%</w:t>
      </w:r>
      <w:r>
        <w:rPr/>
        <w:t>，根据浙江浙大健康管理有</w:t>
      </w:r>
      <w:r>
        <w:rPr>
          <w:spacing w:val="-84"/>
        </w:rPr>
        <w:t> </w:t>
      </w:r>
      <w:r>
        <w:rPr>
          <w:spacing w:val="-84"/>
        </w:rPr>
      </w:r>
      <w:r>
        <w:rPr/>
        <w:t>限公司章程第十五条规定，公司设董事会，其成员为七人，其中本公司推选四名董事；根据</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25</w:t>
      </w:r>
      <w:r>
        <w:rPr/>
        <w:t>日股东会决议，七</w:t>
      </w:r>
    </w:p>
    <w:p>
      <w:pPr>
        <w:pStyle w:val="BodyText"/>
        <w:spacing w:line="316" w:lineRule="auto" w:before="2"/>
        <w:ind w:right="1122"/>
        <w:jc w:val="left"/>
      </w:pPr>
      <w:r>
        <w:rPr>
          <w:spacing w:val="-2"/>
        </w:rPr>
        <w:t>名董事中本公司推选的董事超过半数成员。因此认定公司能实际控制该公司，初始投资成本按非同一控制下企业合并取得的</w:t>
      </w:r>
      <w:r>
        <w:rPr>
          <w:spacing w:val="-64"/>
        </w:rPr>
        <w:t> </w:t>
      </w:r>
      <w:r>
        <w:rPr>
          <w:spacing w:val="-64"/>
        </w:rPr>
      </w:r>
      <w:r>
        <w:rPr/>
        <w:t>长期股权投资确定，后续计量按成本法核算。 </w:t>
      </w:r>
      <w:r>
        <w:rPr>
          <w:spacing w:val="-2"/>
        </w:rPr>
        <w:t>注</w:t>
      </w:r>
      <w:r>
        <w:rPr>
          <w:rFonts w:ascii="宋体" w:hAnsi="宋体" w:cs="宋体" w:eastAsia="宋体" w:hint="default"/>
          <w:spacing w:val="-2"/>
        </w:rPr>
        <w:t>2</w:t>
      </w:r>
      <w:r>
        <w:rPr>
          <w:spacing w:val="-2"/>
        </w:rPr>
        <w:t>：福建银江智慧城市信息技术有限公司（以下简称“福建银江”）按照工商资料显示福建银江注册资本</w:t>
      </w:r>
      <w:r>
        <w:rPr>
          <w:rFonts w:ascii="宋体" w:hAnsi="宋体" w:cs="宋体" w:eastAsia="宋体" w:hint="default"/>
          <w:spacing w:val="-2"/>
        </w:rPr>
        <w:t>1,111</w:t>
      </w:r>
      <w:r>
        <w:rPr>
          <w:spacing w:val="-2"/>
        </w:rPr>
        <w:t>万元，其中</w:t>
      </w:r>
      <w:r>
        <w:rPr>
          <w:spacing w:val="-62"/>
        </w:rPr>
        <w:t> </w:t>
      </w:r>
      <w:r>
        <w:rPr>
          <w:spacing w:val="-62"/>
        </w:rPr>
      </w:r>
      <w:r>
        <w:rPr/>
        <w:t>本公司出资</w:t>
      </w:r>
      <w:r>
        <w:rPr>
          <w:rFonts w:ascii="宋体" w:hAnsi="宋体" w:cs="宋体" w:eastAsia="宋体" w:hint="default"/>
        </w:rPr>
        <w:t>1,000</w:t>
      </w:r>
      <w:r>
        <w:rPr/>
        <w:t>万元，持股比例为</w:t>
      </w:r>
      <w:r>
        <w:rPr>
          <w:rFonts w:ascii="宋体" w:hAnsi="宋体" w:cs="宋体" w:eastAsia="宋体" w:hint="default"/>
        </w:rPr>
        <w:t>90.01%</w:t>
      </w:r>
      <w:r>
        <w:rPr/>
        <w:t>，其他少数股东出资</w:t>
      </w:r>
      <w:r>
        <w:rPr>
          <w:rFonts w:ascii="宋体" w:hAnsi="宋体" w:cs="宋体" w:eastAsia="宋体" w:hint="default"/>
        </w:rPr>
        <w:t>111</w:t>
      </w:r>
      <w:r>
        <w:rPr/>
        <w:t>万元，持股</w:t>
      </w:r>
      <w:r>
        <w:rPr>
          <w:rFonts w:ascii="宋体" w:hAnsi="宋体" w:cs="宋体" w:eastAsia="宋体" w:hint="default"/>
        </w:rPr>
        <w:t>9.99%</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日，少数股东实际</w:t>
      </w:r>
      <w:r>
        <w:rPr>
          <w:spacing w:val="-83"/>
        </w:rPr>
        <w:t> </w:t>
      </w:r>
      <w:r>
        <w:rPr>
          <w:spacing w:val="-83"/>
        </w:rPr>
      </w:r>
      <w:r>
        <w:rPr>
          <w:spacing w:val="2"/>
        </w:rPr>
        <w:t>出资</w:t>
      </w:r>
      <w:r>
        <w:rPr>
          <w:rFonts w:ascii="宋体" w:hAnsi="宋体" w:cs="宋体" w:eastAsia="宋体" w:hint="default"/>
          <w:spacing w:val="2"/>
        </w:rPr>
        <w:t>33.30</w:t>
      </w:r>
      <w:r>
        <w:rPr>
          <w:spacing w:val="2"/>
        </w:rPr>
        <w:t>万元，本期按照实际出资比例纳入合并财务报表，按照实际出资口径计算本公司年末对福建银江的持股比例为</w:t>
      </w:r>
      <w:r>
        <w:rPr>
          <w:spacing w:val="-42"/>
        </w:rPr>
        <w:t> </w:t>
      </w:r>
      <w:r>
        <w:rPr>
          <w:spacing w:val="-42"/>
        </w:rPr>
      </w:r>
      <w:r>
        <w:rPr>
          <w:rFonts w:ascii="宋体" w:hAnsi="宋体" w:cs="宋体" w:eastAsia="宋体" w:hint="default"/>
        </w:rPr>
        <w:t>96.78%</w:t>
      </w:r>
      <w:r>
        <w:rPr/>
        <w:t>。</w:t>
      </w:r>
    </w:p>
    <w:p>
      <w:pPr>
        <w:pStyle w:val="BodyText"/>
        <w:spacing w:line="316" w:lineRule="auto" w:before="19"/>
        <w:ind w:right="1032"/>
        <w:jc w:val="left"/>
      </w:pPr>
      <w:r>
        <w:rPr>
          <w:spacing w:val="-2"/>
        </w:rPr>
        <w:t>注</w:t>
      </w:r>
      <w:r>
        <w:rPr>
          <w:rFonts w:ascii="宋体" w:hAnsi="宋体" w:cs="宋体" w:eastAsia="宋体" w:hint="default"/>
          <w:spacing w:val="-2"/>
        </w:rPr>
        <w:t>3</w:t>
      </w:r>
      <w:r>
        <w:rPr>
          <w:spacing w:val="-2"/>
        </w:rPr>
        <w:t>：西安银江智慧城市技术有限公司（以下简称“西安银江”）按照工商资料显示西安银江注册资本</w:t>
      </w:r>
      <w:r>
        <w:rPr>
          <w:rFonts w:ascii="宋体" w:hAnsi="宋体" w:cs="宋体" w:eastAsia="宋体" w:hint="default"/>
          <w:spacing w:val="-2"/>
        </w:rPr>
        <w:t>1,111</w:t>
      </w:r>
      <w:r>
        <w:rPr>
          <w:spacing w:val="-2"/>
        </w:rPr>
        <w:t>万元，其中本公</w:t>
      </w:r>
      <w:r>
        <w:rPr>
          <w:spacing w:val="-61"/>
        </w:rPr>
        <w:t> </w:t>
      </w:r>
      <w:r>
        <w:rPr>
          <w:spacing w:val="-61"/>
        </w:rPr>
      </w:r>
      <w:r>
        <w:rPr/>
        <w:t>司出资</w:t>
      </w:r>
      <w:r>
        <w:rPr>
          <w:rFonts w:ascii="宋体" w:hAnsi="宋体" w:cs="宋体" w:eastAsia="宋体" w:hint="default"/>
        </w:rPr>
        <w:t>1,000</w:t>
      </w:r>
      <w:r>
        <w:rPr/>
        <w:t>万元，持股比例为</w:t>
      </w:r>
      <w:r>
        <w:rPr>
          <w:rFonts w:ascii="宋体" w:hAnsi="宋体" w:cs="宋体" w:eastAsia="宋体" w:hint="default"/>
        </w:rPr>
        <w:t>90.01%</w:t>
      </w:r>
      <w:r>
        <w:rPr/>
        <w:t>，其他少数股东出资</w:t>
      </w:r>
      <w:r>
        <w:rPr>
          <w:rFonts w:ascii="宋体" w:hAnsi="宋体" w:cs="宋体" w:eastAsia="宋体" w:hint="default"/>
        </w:rPr>
        <w:t>111</w:t>
      </w:r>
      <w:r>
        <w:rPr/>
        <w:t>万元，持股</w:t>
      </w:r>
      <w:r>
        <w:rPr>
          <w:rFonts w:ascii="宋体" w:hAnsi="宋体" w:cs="宋体" w:eastAsia="宋体" w:hint="default"/>
        </w:rPr>
        <w:t>9.99%</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日，少数股东实际出资</w:t>
      </w:r>
      <w:r>
        <w:rPr>
          <w:spacing w:val="-83"/>
        </w:rPr>
        <w:t> </w:t>
      </w:r>
      <w:r>
        <w:rPr>
          <w:spacing w:val="-83"/>
        </w:rPr>
      </w:r>
      <w:r>
        <w:rPr>
          <w:rFonts w:ascii="宋体" w:hAnsi="宋体" w:cs="宋体" w:eastAsia="宋体" w:hint="default"/>
          <w:spacing w:val="-2"/>
        </w:rPr>
        <w:t>33.30</w:t>
      </w:r>
      <w:r>
        <w:rPr>
          <w:spacing w:val="-2"/>
        </w:rPr>
        <w:t>万元，本期按照实际出资比例纳入合并财务报表，按照实际出资口径计算本公司年末对西安银江的持股比例为</w:t>
      </w:r>
      <w:r>
        <w:rPr>
          <w:rFonts w:ascii="宋体" w:hAnsi="宋体" w:cs="宋体" w:eastAsia="宋体" w:hint="default"/>
          <w:spacing w:val="-2"/>
        </w:rPr>
        <w:t>96.78%</w:t>
      </w:r>
      <w:r>
        <w:rPr>
          <w:spacing w:val="-2"/>
        </w:rPr>
        <w:t>。</w:t>
      </w:r>
      <w:r>
        <w:rPr>
          <w:spacing w:val="-51"/>
        </w:rPr>
        <w:t> </w:t>
      </w:r>
      <w:r>
        <w:rPr>
          <w:spacing w:val="-2"/>
        </w:rPr>
        <w:t>注</w:t>
      </w:r>
      <w:r>
        <w:rPr>
          <w:rFonts w:ascii="宋体" w:hAnsi="宋体" w:cs="宋体" w:eastAsia="宋体" w:hint="default"/>
          <w:spacing w:val="-2"/>
        </w:rPr>
        <w:t>4</w:t>
      </w:r>
      <w:r>
        <w:rPr>
          <w:spacing w:val="-2"/>
        </w:rPr>
        <w:t>：浙江银江云计算技术有限公司（以下简称“银江云计算”）按照工商资料显示银江云计算注册资本</w:t>
      </w:r>
      <w:r>
        <w:rPr>
          <w:rFonts w:ascii="宋体" w:hAnsi="宋体" w:cs="宋体" w:eastAsia="宋体" w:hint="default"/>
          <w:spacing w:val="-2"/>
        </w:rPr>
        <w:t>1,110</w:t>
      </w:r>
      <w:r>
        <w:rPr>
          <w:spacing w:val="-2"/>
        </w:rPr>
        <w:t>万元，其中本</w:t>
      </w:r>
      <w:r>
        <w:rPr>
          <w:spacing w:val="-61"/>
        </w:rPr>
        <w:t> </w:t>
      </w:r>
      <w:r>
        <w:rPr>
          <w:spacing w:val="-61"/>
        </w:rPr>
      </w:r>
      <w:r>
        <w:rPr/>
        <w:t>公司出资</w:t>
      </w:r>
      <w:r>
        <w:rPr>
          <w:rFonts w:ascii="宋体" w:hAnsi="宋体" w:cs="宋体" w:eastAsia="宋体" w:hint="default"/>
        </w:rPr>
        <w:t>1,000</w:t>
      </w:r>
      <w:r>
        <w:rPr/>
        <w:t>万元，持股比例为</w:t>
      </w:r>
      <w:r>
        <w:rPr>
          <w:rFonts w:ascii="宋体" w:hAnsi="宋体" w:cs="宋体" w:eastAsia="宋体" w:hint="default"/>
        </w:rPr>
        <w:t>90.09%</w:t>
      </w:r>
      <w:r>
        <w:rPr/>
        <w:t>，其他少数股东出资</w:t>
      </w:r>
      <w:r>
        <w:rPr>
          <w:rFonts w:ascii="宋体" w:hAnsi="宋体" w:cs="宋体" w:eastAsia="宋体" w:hint="default"/>
        </w:rPr>
        <w:t>110</w:t>
      </w:r>
      <w:r>
        <w:rPr/>
        <w:t>万元，持股</w:t>
      </w:r>
      <w:r>
        <w:rPr>
          <w:rFonts w:ascii="宋体" w:hAnsi="宋体" w:cs="宋体" w:eastAsia="宋体" w:hint="default"/>
        </w:rPr>
        <w:t>9.91%</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日，少数股东实际出</w:t>
      </w:r>
      <w:r>
        <w:rPr>
          <w:spacing w:val="-83"/>
        </w:rPr>
        <w:t> </w:t>
      </w:r>
      <w:r>
        <w:rPr>
          <w:spacing w:val="-83"/>
        </w:rPr>
      </w:r>
      <w:r>
        <w:rPr>
          <w:spacing w:val="6"/>
        </w:rPr>
        <w:t>资</w:t>
      </w:r>
      <w:r>
        <w:rPr>
          <w:rFonts w:ascii="宋体" w:hAnsi="宋体" w:cs="宋体" w:eastAsia="宋体" w:hint="default"/>
          <w:spacing w:val="6"/>
        </w:rPr>
        <w:t>33.00</w:t>
      </w:r>
      <w:r>
        <w:rPr>
          <w:spacing w:val="6"/>
        </w:rPr>
        <w:t>万元，本期按照实际出资比例纳入合并财务报表，按照实际出资口径计算本公司年末对西安银江的持股比例为</w:t>
      </w:r>
      <w:r>
        <w:rPr>
          <w:spacing w:val="-59"/>
        </w:rPr>
        <w:t> </w:t>
      </w:r>
      <w:r>
        <w:rPr>
          <w:spacing w:val="-59"/>
        </w:rPr>
      </w:r>
      <w:r>
        <w:rPr>
          <w:rFonts w:ascii="宋体" w:hAnsi="宋体" w:cs="宋体" w:eastAsia="宋体" w:hint="default"/>
        </w:rPr>
        <w:t>96.81%</w:t>
      </w:r>
      <w:r>
        <w:rPr/>
        <w:t>。</w:t>
      </w:r>
    </w:p>
    <w:p>
      <w:pPr>
        <w:pStyle w:val="BodyText"/>
        <w:spacing w:line="316" w:lineRule="auto" w:before="19"/>
        <w:ind w:right="1129"/>
        <w:jc w:val="both"/>
      </w:pPr>
      <w:r>
        <w:rPr>
          <w:spacing w:val="-2"/>
        </w:rPr>
        <w:t>注</w:t>
      </w:r>
      <w:r>
        <w:rPr>
          <w:rFonts w:ascii="宋体" w:hAnsi="宋体" w:cs="宋体" w:eastAsia="宋体" w:hint="default"/>
          <w:spacing w:val="-2"/>
        </w:rPr>
        <w:t>5</w:t>
      </w:r>
      <w:r>
        <w:rPr>
          <w:spacing w:val="-2"/>
        </w:rPr>
        <w:t>：浙江智尔信息技术有限公司（以下简称“智尔信息”）按照工商资料显示智尔信息注册资本</w:t>
      </w:r>
      <w:r>
        <w:rPr>
          <w:rFonts w:ascii="宋体" w:hAnsi="宋体" w:cs="宋体" w:eastAsia="宋体" w:hint="default"/>
          <w:spacing w:val="-2"/>
        </w:rPr>
        <w:t>1,112</w:t>
      </w:r>
      <w:r>
        <w:rPr>
          <w:spacing w:val="-2"/>
        </w:rPr>
        <w:t>万元，其中本公司出</w:t>
      </w:r>
      <w:r>
        <w:rPr>
          <w:spacing w:val="-61"/>
        </w:rPr>
        <w:t> </w:t>
      </w:r>
      <w:r>
        <w:rPr>
          <w:spacing w:val="-61"/>
        </w:rPr>
      </w:r>
      <w:r>
        <w:rPr>
          <w:spacing w:val="-5"/>
        </w:rPr>
        <w:t>资</w:t>
      </w:r>
      <w:r>
        <w:rPr>
          <w:rFonts w:ascii="宋体" w:hAnsi="宋体" w:cs="宋体" w:eastAsia="宋体" w:hint="default"/>
          <w:spacing w:val="-5"/>
        </w:rPr>
        <w:t>1,001.00</w:t>
      </w:r>
      <w:r>
        <w:rPr>
          <w:spacing w:val="-5"/>
        </w:rPr>
        <w:t>万元，持股比例为</w:t>
      </w:r>
      <w:r>
        <w:rPr>
          <w:rFonts w:ascii="宋体" w:hAnsi="宋体" w:cs="宋体" w:eastAsia="宋体" w:hint="default"/>
          <w:spacing w:val="-5"/>
        </w:rPr>
        <w:t>90.02%</w:t>
      </w:r>
      <w:r>
        <w:rPr>
          <w:spacing w:val="-5"/>
        </w:rPr>
        <w:t>，其他少数股东出资</w:t>
      </w:r>
      <w:r>
        <w:rPr>
          <w:rFonts w:ascii="宋体" w:hAnsi="宋体" w:cs="宋体" w:eastAsia="宋体" w:hint="default"/>
          <w:spacing w:val="-5"/>
        </w:rPr>
        <w:t>111</w:t>
      </w:r>
      <w:r>
        <w:rPr>
          <w:spacing w:val="-5"/>
        </w:rPr>
        <w:t>万元，持股</w:t>
      </w:r>
      <w:r>
        <w:rPr>
          <w:rFonts w:ascii="宋体" w:hAnsi="宋体" w:cs="宋体" w:eastAsia="宋体" w:hint="default"/>
          <w:spacing w:val="-5"/>
        </w:rPr>
        <w:t>9.98%</w:t>
      </w:r>
      <w:r>
        <w:rPr>
          <w:spacing w:val="-5"/>
        </w:rPr>
        <w:t>。截至</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日，少数股东实际出资</w:t>
      </w:r>
      <w:r>
        <w:rPr>
          <w:rFonts w:ascii="宋体" w:hAnsi="宋体" w:cs="宋体" w:eastAsia="宋体" w:hint="default"/>
          <w:spacing w:val="-5"/>
        </w:rPr>
        <w:t>37.00</w:t>
      </w:r>
      <w:r>
        <w:rPr>
          <w:rFonts w:ascii="宋体" w:hAnsi="宋体" w:cs="宋体" w:eastAsia="宋体" w:hint="default"/>
          <w:spacing w:val="-83"/>
        </w:rPr>
        <w:t> </w:t>
      </w:r>
      <w:r>
        <w:rPr>
          <w:rFonts w:ascii="宋体" w:hAnsi="宋体" w:cs="宋体" w:eastAsia="宋体" w:hint="default"/>
          <w:spacing w:val="-83"/>
        </w:rPr>
      </w:r>
      <w:r>
        <w:rPr/>
        <w:t>万元，本期按照实际出资比例纳入合并财务报表，按照实际出资口径计算本公司年末对智尔信息的持股比例为</w:t>
      </w:r>
      <w:r>
        <w:rPr>
          <w:rFonts w:ascii="宋体" w:hAnsi="宋体" w:cs="宋体" w:eastAsia="宋体" w:hint="default"/>
        </w:rPr>
        <w:t>96.44%</w:t>
      </w:r>
      <w:r>
        <w:rPr/>
        <w:t>。</w:t>
      </w:r>
    </w:p>
    <w:p>
      <w:pPr>
        <w:pStyle w:val="BodyText"/>
        <w:spacing w:line="360" w:lineRule="auto" w:before="59"/>
        <w:ind w:right="2832"/>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97"/>
      <w:bookmarkEnd w:id="39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851"/>
        <w:gridCol w:w="1276"/>
        <w:gridCol w:w="1420"/>
        <w:gridCol w:w="1913"/>
      </w:tblGrid>
      <w:tr>
        <w:trPr>
          <w:trHeight w:val="75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 w:right="59"/>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92" w:right="91"/>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4" w:right="75"/>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7"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山东银江交通技术有限公司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49.01%</w:t>
            </w:r>
          </w:p>
        </w:tc>
        <w:tc>
          <w:tcPr>
            <w:tcW w:w="1276"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-2,313,634.32</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10,033,208.35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福建银江智慧城市信息技术有限公司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-61,363.04</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-61,475.70</w:t>
            </w:r>
            <w:r>
              <w:rPr>
                <w:rFonts w:ascii="Times New Roman"/>
                <w:sz w:val="18"/>
              </w:rPr>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江西银江智慧城市信息技术有限公司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375,878.76</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96,408.99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2"/>
        <w:gridCol w:w="851"/>
        <w:gridCol w:w="1276"/>
        <w:gridCol w:w="1420"/>
        <w:gridCol w:w="1913"/>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-66,343.09</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246,288.04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湖南银江交通技术有限公司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-471,647.07</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584,877.52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山西银江交通信息技术有限公司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373,014.05</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1,962,092.28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-10,398.86</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-30,904.89</w:t>
            </w:r>
            <w:r>
              <w:rPr>
                <w:rFonts w:ascii="Times New Roman"/>
                <w:sz w:val="18"/>
              </w:rPr>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-180,319.25</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-1,506,341.27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289,535.86</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-65,873.84</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33,114.84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-752,602.95</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2,641,624.79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-52,836.34</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1,022,354.84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-22,292.17</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475,347.72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-413,599.24</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28,004,221.55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-3,372,481.50</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43,500,817.06</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98"/>
      <w:bookmarkEnd w:id="39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山东银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25,755,9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97.28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25,817,2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5,345,54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5,345,54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30,044,9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30,116,6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4,924,13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4,924,13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0.58</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福建银 江智慧 城市信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6,287,84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6,832,69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8,741,88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8,741,88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6,419,50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7,126,70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7,130,20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7,130,20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1.26</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江西银 江智慧 城市信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11,082,8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11,510,2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10,546,1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10,546,1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7,430,32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7,706,76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10,501,4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10,501,4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61.09</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西安银 江智慧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9,947,65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16,086,7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26,034,4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18,385,7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51.22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18,385,7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13,251,1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13,761,7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4,052,71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4,052,71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城市技 术有限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2,122,45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2,320,97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858,784.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2,361,73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3,027,36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山西银 江交通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5,018,16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138,035.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5,156,20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2,817,23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2,817,23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2,028,39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159,394.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2,187,78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810,075.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810,075.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浙江银 江云计 算技术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19,099,1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1,268,18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20,367,2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21,336,0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99.58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21,336,0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11,441,6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293,464.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11,735,0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12,377,9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18.31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12,377,9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18.31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浙江浙 大健康 管理有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3,537,84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3,537,84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3,477,84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3,477,84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浙江智 尔信息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10,524,9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76.23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10,794,2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9,865,72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9,865,72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7,254,22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160,355.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7,414,57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6.11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6.11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健康宝 互联网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14,587,6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62.87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5,839,11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20,426,7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8,515,85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2.72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8,515,85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15,621,5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7,380,78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23,002,2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7,328,34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7,328,34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杭州众 嗨网络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2,868,23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2,868,23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3,018,72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3,018,72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济南银 江信息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9,552,56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9,566,83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9,960,97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9,960,97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8,174.20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8,174.20</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沈阳智 享大健 康信息 科技有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28,708,2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73.53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124,993,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998.42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153,702,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271.95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19,045,7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67.33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19,045,7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67.33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135,134,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379.57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1,550,60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136,684,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984.08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570,055.35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-4,720,739.27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-4,720,739.27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-24,774.99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967,381.76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-2,384,350.14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-2,384,350.14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594,764.90</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2,039,669.89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-1,905,684.51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-1,905,684.51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-498,515.32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1,222,553.59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-2,148,336.25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-2,148,336.25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-2,462,241.02</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江西银江智 慧城市信息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11,740,707.0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3,758,787.58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3,758,787.58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-458,053.19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5,206,404.24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-2,018,143.54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-2,018,143.54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-1,275,618.92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西安银江智 慧城市技术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17,155,871.2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-2,060,344.44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-2,060,344.44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-7,466,602.04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6,707,172.43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96,539.16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96,539.16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277,294.28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974,720.76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-1,179,117.67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-1,179,117.67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-179,256.54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-1,836,718.00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-1,836,718.00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-1,356,882.91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4,163,401.47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761,253.16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761,253.16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-878,824.92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951,564.41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-375,624.80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-375,624.80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-349,787.18</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浙江银江云 计算技术有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19,637,879.6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-325,983.19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-325,983.19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1,527,502.93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9,291,226.42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1,955,638.81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1,955,638.81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-4,147,868.67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-353,567.16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-353,567.16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-65,815.36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61,113.36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-250,904.58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-250,904.58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-37,305.29</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6,424,962.49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-1,850,388.81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-1,850,388.81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-615,564.98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4,596,491.21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-717,870.22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-717,870.22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-1,211,280.79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2,007,867.92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-3,763,014.71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-3,763,014.71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-1,026,954.56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-1,334,928.58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-1,334,928.58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-3,390,885.05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杭州众嗨网 络技术有限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-146,767.60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-146,767.60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-130,196.95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-697,615.47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-697,615.47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-774,342.91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-445,843.23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-445,843.23</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-391,209.37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-263,028.08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122,350,845.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-1,988,763.84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-1,988,763.84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-10,716,688.1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-56,796,378.5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399"/>
      <w:bookmarkEnd w:id="39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00"/>
      <w:bookmarkEnd w:id="40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01"/>
      <w:bookmarkEnd w:id="40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02"/>
      <w:bookmarkEnd w:id="40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03"/>
      <w:bookmarkEnd w:id="40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杭州银江智慧产 业创业投资合伙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pict>
          <v:shape style="position:absolute;margin-left:74.343002pt;margin-top:-16.098282pt;width:119.1pt;height:15.6pt;mso-position-horizontal-relative:page;mso-position-vertical-relative:paragraph;z-index:-1156384" type="#_x0000_t202" filled="false" stroked="false">
            <v:textbox inset="0,0,0,0">
              <w:txbxContent>
                <w:p>
                  <w:pPr>
                    <w:pStyle w:val="BodyText"/>
                    <w:spacing w:line="208" w:lineRule="exact"/>
                    <w:ind w:left="0" w:right="0"/>
                    <w:jc w:val="left"/>
                  </w:pPr>
                  <w:r>
                    <w:rPr/>
                    <w:t>（有限合伙）</w:t>
                  </w:r>
                </w:p>
              </w:txbxContent>
            </v:textbox>
            <w10:wrap type="none"/>
          </v:shape>
        </w:pict>
      </w: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04"/>
      <w:bookmarkEnd w:id="40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05"/>
      <w:bookmarkEnd w:id="40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7,743,450.50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38,072,887.72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686,960,099.37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360,664,532.58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694,703,549.87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398,737,420.30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9,062,333.30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6,226,295.33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9,062,333.30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6,226,295.33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1,147,358.97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3,009,666.87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248,243,105.69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272,651,020.67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242,834,666.67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482,811,663.97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276,851,020.67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-58,007,600.50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-18,868,091.51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归属于合营企业净利润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-58,007,600.50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-18,868,091.51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前期利润比例差异部分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-8,266,108.39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1122"/>
        <w:jc w:val="left"/>
      </w:pPr>
      <w:r>
        <w:rPr/>
        <w:t>其他说明 </w:t>
      </w:r>
      <w:r>
        <w:rPr>
          <w:spacing w:val="-2"/>
        </w:rPr>
        <w:t>注：本年度按持股比例计算的净资产份额与对联营企业权益投资的账面价值不一致的原因系股东尚未同步增资，其中本公司</w:t>
      </w:r>
      <w:r>
        <w:rPr>
          <w:spacing w:val="-64"/>
        </w:rPr>
        <w:t> </w:t>
      </w:r>
      <w:r>
        <w:rPr>
          <w:spacing w:val="-64"/>
        </w:rPr>
      </w:r>
      <w:r>
        <w:rPr/>
        <w:t>尚未出资</w:t>
      </w:r>
      <w:r>
        <w:rPr>
          <w:rFonts w:ascii="宋体" w:hAnsi="宋体" w:cs="宋体" w:eastAsia="宋体" w:hint="default"/>
        </w:rPr>
        <w:t>23,000,000.00</w:t>
      </w:r>
      <w:r>
        <w:rPr/>
        <w:t>元，其他股东尚未出资</w:t>
      </w:r>
      <w:r>
        <w:rPr>
          <w:rFonts w:ascii="宋体" w:hAnsi="宋体" w:cs="宋体" w:eastAsia="宋体" w:hint="default"/>
        </w:rPr>
        <w:t>710,000,000.00</w:t>
      </w:r>
      <w:r>
        <w:rPr/>
        <w:t>元，导致按持股比例计算的净资产份额比公司对联营企业权</w:t>
      </w:r>
    </w:p>
    <w:p>
      <w:pPr>
        <w:pStyle w:val="BodyText"/>
        <w:spacing w:line="240" w:lineRule="auto" w:before="2"/>
        <w:ind w:right="0"/>
        <w:jc w:val="left"/>
      </w:pPr>
      <w:r>
        <w:rPr/>
        <w:t>益投资的账面价值金额相差</w:t>
      </w:r>
      <w:r>
        <w:rPr>
          <w:rFonts w:ascii="宋体" w:hAnsi="宋体" w:cs="宋体" w:eastAsia="宋体" w:hint="default"/>
        </w:rPr>
        <w:t>242,834,666.67</w:t>
      </w:r>
      <w:r>
        <w:rPr/>
        <w:t>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06"/>
      <w:bookmarkEnd w:id="40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130,695,682.23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147,517,791.85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-1,575,631.79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1,318,277.28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-1,575,631.79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1,318,277.28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07"/>
      <w:bookmarkEnd w:id="40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08"/>
      <w:bookmarkEnd w:id="40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与合营企业投资相关的未确认承诺" w:id="409"/>
      <w:bookmarkEnd w:id="40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10"/>
      <w:bookmarkEnd w:id="41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11"/>
      <w:bookmarkEnd w:id="41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12"/>
      <w:bookmarkEnd w:id="41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 w:id="413"/>
      <w:bookmarkEnd w:id="41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14"/>
      <w:bookmarkEnd w:id="41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rFonts w:ascii="宋体" w:hAnsi="宋体" w:cs="宋体" w:eastAsia="宋体" w:hint="default"/>
        </w:rPr>
        <w:t>1</w:t>
      </w:r>
      <w:r>
        <w:rPr/>
        <w:t>、市场风险</w:t>
      </w:r>
      <w:r>
        <w:rPr>
          <w:b w:val="0"/>
          <w:bCs w:val="0"/>
        </w:rPr>
      </w:r>
    </w:p>
    <w:p>
      <w:pPr>
        <w:pStyle w:val="BodyText"/>
        <w:spacing w:line="316" w:lineRule="auto" w:before="76"/>
        <w:ind w:right="1122"/>
        <w:jc w:val="left"/>
      </w:pPr>
      <w:r>
        <w:rPr/>
        <w:t>（</w:t>
      </w:r>
      <w:r>
        <w:rPr>
          <w:rFonts w:ascii="宋体" w:hAnsi="宋体" w:cs="宋体" w:eastAsia="宋体" w:hint="default"/>
        </w:rPr>
        <w:t>1</w:t>
      </w:r>
      <w:r>
        <w:rPr/>
        <w:t>）外汇风险 </w:t>
      </w:r>
      <w:r>
        <w:rPr>
          <w:spacing w:val="-2"/>
        </w:rPr>
        <w:t>外汇风险指因汇率变动产生损失的风险。本公司承受外汇风险主要与美元有关，公司年末拥有金额较小的外币资产，该等外</w:t>
      </w:r>
      <w:r>
        <w:rPr>
          <w:spacing w:val="-66"/>
        </w:rPr>
        <w:t> </w:t>
      </w:r>
      <w:r>
        <w:rPr>
          <w:spacing w:val="-66"/>
        </w:rPr>
      </w:r>
      <w:r>
        <w:rPr/>
        <w:t>币余额的资产产生的外汇风险对本公司的经营业绩不会产生重要影响。</w:t>
      </w:r>
    </w:p>
    <w:p>
      <w:pPr>
        <w:pStyle w:val="BodyText"/>
        <w:spacing w:line="319" w:lineRule="auto" w:before="19"/>
        <w:ind w:right="0"/>
        <w:jc w:val="left"/>
      </w:pPr>
      <w:r>
        <w:rPr/>
        <w:t>（</w:t>
      </w:r>
      <w:r>
        <w:rPr>
          <w:rFonts w:ascii="宋体" w:hAnsi="宋体" w:cs="宋体" w:eastAsia="宋体" w:hint="default"/>
        </w:rPr>
        <w:t>2</w:t>
      </w:r>
      <w:r>
        <w:rPr/>
        <w:t>）利率风险－现金流量变动风险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w:t>
      </w:r>
    </w:p>
    <w:p>
      <w:pPr>
        <w:pStyle w:val="BodyText"/>
        <w:spacing w:line="316" w:lineRule="auto" w:before="17"/>
        <w:ind w:right="1131"/>
        <w:jc w:val="both"/>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日，公司短期借款余额</w:t>
      </w:r>
      <w:r>
        <w:rPr>
          <w:rFonts w:ascii="宋体" w:hAnsi="宋体" w:cs="宋体" w:eastAsia="宋体" w:hint="default"/>
        </w:rPr>
        <w:t>1,150,950,000.00</w:t>
      </w:r>
      <w:r>
        <w:rPr/>
        <w:t>元，利率维持在</w:t>
      </w:r>
      <w:r>
        <w:rPr>
          <w:rFonts w:ascii="宋体" w:hAnsi="宋体" w:cs="宋体" w:eastAsia="宋体" w:hint="default"/>
        </w:rPr>
        <w:t>4.7850%-6.2400%</w:t>
      </w:r>
      <w:r>
        <w:rPr/>
        <w:t>。如未来贷款利率上升或下降</w:t>
      </w:r>
      <w:r>
        <w:rPr>
          <w:spacing w:val="-85"/>
        </w:rPr>
        <w:t> </w:t>
      </w:r>
      <w:r>
        <w:rPr>
          <w:spacing w:val="-85"/>
        </w:rPr>
      </w:r>
      <w:r>
        <w:rPr>
          <w:rFonts w:ascii="宋体" w:hAnsi="宋体" w:cs="宋体" w:eastAsia="宋体" w:hint="default"/>
          <w:spacing w:val="-2"/>
        </w:rPr>
        <w:t>10.00%</w:t>
      </w:r>
      <w:r>
        <w:rPr>
          <w:spacing w:val="-2"/>
        </w:rPr>
        <w:t>，则本公司的净利润将减少或增加</w:t>
      </w:r>
      <w:r>
        <w:rPr>
          <w:rFonts w:ascii="宋体" w:hAnsi="宋体" w:cs="宋体" w:eastAsia="宋体" w:hint="default"/>
          <w:spacing w:val="-2"/>
        </w:rPr>
        <w:t>5,910,978.00</w:t>
      </w:r>
      <w:r>
        <w:rPr>
          <w:spacing w:val="-2"/>
        </w:rPr>
        <w:t>元。管理层认为</w:t>
      </w:r>
      <w:r>
        <w:rPr>
          <w:rFonts w:ascii="宋体" w:hAnsi="宋体" w:cs="宋体" w:eastAsia="宋体" w:hint="default"/>
          <w:spacing w:val="-2"/>
        </w:rPr>
        <w:t>10.00%</w:t>
      </w:r>
      <w:r>
        <w:rPr>
          <w:spacing w:val="-2"/>
        </w:rPr>
        <w:t>波动比例合理反映了下一年度利率可能发生变</w:t>
      </w:r>
      <w:r>
        <w:rPr>
          <w:spacing w:val="-40"/>
        </w:rPr>
        <w:t> </w:t>
      </w:r>
      <w:r>
        <w:rPr/>
        <w:t>动的合理范围。</w:t>
      </w:r>
    </w:p>
    <w:p>
      <w:pPr>
        <w:pStyle w:val="BodyText"/>
        <w:spacing w:line="316" w:lineRule="auto" w:before="19"/>
        <w:ind w:right="112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6"/>
        </w:rPr>
        <w:t> </w:t>
      </w:r>
      <w:r>
        <w:rPr>
          <w:spacing w:val="-66"/>
        </w:rPr>
      </w:r>
      <w:r>
        <w:rPr/>
        <w:t>获取时）。 公司通过对已有客户信用评级的季度监控以及应收账款账龄分析的月度审核来确保公司的整体信用风险在可控的范围内。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rFonts w:ascii="宋体" w:hAnsi="宋体" w:cs="宋体" w:eastAsia="宋体" w:hint="default"/>
        </w:rPr>
        <w:t>12</w:t>
      </w:r>
      <w:r>
        <w:rPr/>
        <w:t>个月现金流量的滚动预测，确保公司在所有合理预测的情况下拥有充足的资金偿还债务。 本公司主要金融负债按到期日列示如下：</w:t>
      </w:r>
    </w:p>
    <w:tbl>
      <w:tblPr>
        <w:tblW w:w="0" w:type="auto"/>
        <w:jc w:val="left"/>
        <w:tblInd w:w="149" w:type="dxa"/>
        <w:tblLayout w:type="fixed"/>
        <w:tblCellMar>
          <w:top w:w="0" w:type="dxa"/>
          <w:left w:w="0" w:type="dxa"/>
          <w:bottom w:w="0" w:type="dxa"/>
          <w:right w:w="0" w:type="dxa"/>
        </w:tblCellMar>
        <w:tblLook w:val="01E0"/>
      </w:tblPr>
      <w:tblGrid>
        <w:gridCol w:w="1257"/>
        <w:gridCol w:w="1686"/>
        <w:gridCol w:w="1588"/>
        <w:gridCol w:w="1470"/>
        <w:gridCol w:w="1530"/>
        <w:gridCol w:w="1686"/>
      </w:tblGrid>
      <w:tr>
        <w:trPr>
          <w:trHeight w:val="342" w:hRule="exact"/>
        </w:trPr>
        <w:tc>
          <w:tcPr>
            <w:tcW w:w="125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9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257" w:type="dxa"/>
            <w:vMerge/>
            <w:tcBorders>
              <w:left w:val="single" w:sz="4" w:space="0" w:color="000000"/>
              <w:bottom w:val="single" w:sz="4" w:space="0" w:color="000000"/>
              <w:right w:val="single" w:sz="4" w:space="0" w:color="000000"/>
            </w:tcBorders>
            <w:shd w:val="clear" w:color="auto" w:fill="D9D9D9"/>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1,150,950,000.00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1,150,950,000.00</w:t>
            </w:r>
          </w:p>
        </w:tc>
      </w:tr>
      <w:tr>
        <w:trPr>
          <w:trHeight w:val="34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121,789,951.88</w:t>
            </w:r>
          </w:p>
        </w:tc>
        <w:tc>
          <w:tcPr>
            <w:tcW w:w="158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121,789,951.88</w:t>
            </w:r>
          </w:p>
        </w:tc>
      </w:tr>
      <w:tr>
        <w:trPr>
          <w:trHeight w:val="34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605,871,738.49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101,886,647.59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48,239,388.83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120,025,446.57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876,023,221.48</w:t>
            </w:r>
          </w:p>
        </w:tc>
      </w:tr>
      <w:tr>
        <w:trPr>
          <w:trHeight w:val="343"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145,463,512.06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5,738,035.56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7,103,523.78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7,192,963.32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165,498,034.72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15"/>
      <w:bookmarkEnd w:id="41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16"/>
      <w:bookmarkEnd w:id="41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215,581,350.60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215,581,350.60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215,581,350.60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215,581,350.60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215,581,350.60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215,581,350.60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17"/>
      <w:bookmarkEnd w:id="41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公司持有的上市公司浙江金科娱乐文化股份有限公司</w:t>
      </w:r>
      <w:r>
        <w:rPr>
          <w:rFonts w:ascii="宋体" w:hAnsi="宋体" w:cs="宋体" w:eastAsia="宋体" w:hint="default"/>
          <w:spacing w:val="-2"/>
        </w:rPr>
        <w:t>29,330,796</w:t>
      </w:r>
      <w:r>
        <w:rPr>
          <w:spacing w:val="-2"/>
        </w:rPr>
        <w:t>股股份，划分为以公允价值计量的可供出售金融资产，确定</w:t>
      </w:r>
      <w:r>
        <w:rPr>
          <w:spacing w:val="-54"/>
        </w:rPr>
        <w:t> </w:t>
      </w:r>
      <w:r>
        <w:rPr>
          <w:spacing w:val="-54"/>
        </w:rPr>
      </w:r>
      <w:r>
        <w:rPr/>
        <w:t>其股票的年末的市价作为公允价值依据。</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持续和非持续第二层次公允价值计量项目，采用的估值技术和重要参数的定性及定量信" w:id="418"/>
      <w:bookmarkEnd w:id="41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19"/>
      <w:bookmarkEnd w:id="41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20"/>
      <w:bookmarkEnd w:id="42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21"/>
      <w:bookmarkEnd w:id="42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22"/>
      <w:bookmarkEnd w:id="42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23"/>
      <w:bookmarkEnd w:id="42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24"/>
      <w:bookmarkEnd w:id="42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25"/>
      <w:bookmarkEnd w:id="42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26"/>
      <w:bookmarkEnd w:id="42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银江科技集团有限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电子智能</w:t>
            </w:r>
            <w:r>
              <w:rPr>
                <w:rFonts w:ascii="宋体" w:hAnsi="宋体" w:cs="宋体" w:eastAsia="宋体" w:hint="default"/>
                <w:spacing w:val="-82"/>
                <w:sz w:val="18"/>
                <w:szCs w:val="18"/>
              </w:rPr>
              <w:t>、</w:t>
            </w:r>
            <w:r>
              <w:rPr>
                <w:rFonts w:ascii="宋体" w:hAnsi="宋体" w:cs="宋体" w:eastAsia="宋体" w:hint="default"/>
                <w:sz w:val="18"/>
                <w:szCs w:val="18"/>
              </w:rPr>
              <w:t>投资开发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27.02%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598"/>
        <w:gridCol w:w="1595"/>
        <w:gridCol w:w="1594"/>
        <w:gridCol w:w="1594"/>
        <w:gridCol w:w="1595"/>
        <w:gridCol w:w="1595"/>
      </w:tblGrid>
      <w:tr>
        <w:trPr>
          <w:trHeight w:val="36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8052"/>
        <w:jc w:val="left"/>
      </w:pPr>
      <w:r>
        <w:rPr/>
        <w:t>本企业的母公司情况的说明 本企业最终控制方是王辉、刘健。 其他说明：</w:t>
      </w:r>
    </w:p>
    <w:p>
      <w:pPr>
        <w:spacing w:line="240" w:lineRule="auto" w:before="12"/>
        <w:rPr>
          <w:rFonts w:ascii="宋体" w:hAnsi="宋体" w:cs="宋体" w:eastAsia="宋体" w:hint="default"/>
          <w:sz w:val="19"/>
          <w:szCs w:val="19"/>
        </w:rPr>
      </w:pPr>
    </w:p>
    <w:p>
      <w:pPr>
        <w:spacing w:line="547" w:lineRule="auto" w:before="0"/>
        <w:ind w:left="154" w:right="4272" w:firstLine="0"/>
        <w:jc w:val="left"/>
        <w:rPr>
          <w:rFonts w:ascii="宋体" w:hAnsi="宋体" w:cs="宋体" w:eastAsia="宋体" w:hint="default"/>
          <w:sz w:val="21"/>
          <w:szCs w:val="21"/>
        </w:rPr>
      </w:pPr>
      <w:bookmarkStart w:name="2、本企业的子公司情况" w:id="427"/>
      <w:bookmarkEnd w:id="4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28"/>
      <w:bookmarkEnd w:id="42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2"/>
        <w:jc w:val="left"/>
      </w:pPr>
      <w:r>
        <w:rPr/>
        <w:t>本企业重要的合营或联营企业详见附注八、</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29"/>
      <w:bookmarkEnd w:id="42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30"/>
      <w:bookmarkEnd w:id="43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31"/>
      <w:bookmarkEnd w:id="43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1419"/>
        <w:gridCol w:w="1559"/>
        <w:gridCol w:w="851"/>
        <w:gridCol w:w="850"/>
        <w:gridCol w:w="1489"/>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423,100.00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52,071,000.00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3,858,700.00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4,558,600.00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5,363,300.00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13,572,400.00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13,874,100.00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874,600.00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1,613,000.00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844"/>
        <w:gridCol w:w="1844"/>
        <w:gridCol w:w="2479"/>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建造合同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38,338,700.00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2" w:right="0"/>
              <w:jc w:val="left"/>
              <w:rPr>
                <w:rFonts w:ascii="Times New Roman" w:hAnsi="Times New Roman" w:cs="Times New Roman" w:eastAsia="Times New Roman" w:hint="default"/>
                <w:sz w:val="18"/>
                <w:szCs w:val="18"/>
              </w:rPr>
            </w:pPr>
            <w:r>
              <w:rPr>
                <w:rFonts w:ascii="Times New Roman"/>
                <w:sz w:val="18"/>
              </w:rPr>
              <w:t>75,242,100.00</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32"/>
      <w:bookmarkEnd w:id="43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33"/>
      <w:bookmarkEnd w:id="43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9"/>
        <w:gridCol w:w="2126"/>
        <w:gridCol w:w="1844"/>
        <w:gridCol w:w="177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经营租入资产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282,800.00</w:t>
            </w:r>
          </w:p>
        </w:tc>
      </w:tr>
    </w:tbl>
    <w:p>
      <w:pPr>
        <w:pStyle w:val="BodyText"/>
        <w:spacing w:line="357" w:lineRule="auto" w:before="51"/>
        <w:ind w:right="9132"/>
        <w:jc w:val="left"/>
      </w:pPr>
      <w:r>
        <w:rPr/>
        <w:t>本公司作为承租方： 不适用 关联租赁情况说明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关联担保情况" w:id="434"/>
      <w:bookmarkEnd w:id="43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51"/>
        <w:ind w:right="9132"/>
        <w:jc w:val="left"/>
      </w:pPr>
      <w:r>
        <w:rPr/>
        <w:t>本公司作为被担保方 不适用 关联担保情况说明</w:t>
      </w:r>
    </w:p>
    <w:p>
      <w:pPr>
        <w:pStyle w:val="BodyText"/>
        <w:spacing w:line="316" w:lineRule="auto" w:before="26"/>
        <w:ind w:right="1129"/>
        <w:jc w:val="both"/>
      </w:pPr>
      <w:r>
        <w:rPr/>
        <w:t>注（</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27</w:t>
      </w:r>
      <w:r>
        <w:rPr/>
        <w:t>日，银江科技集团有限公司与中国工商银行股份有限公司杭州庆春路支行签订的最高额</w:t>
      </w:r>
      <w:r>
        <w:rPr>
          <w:rFonts w:ascii="宋体" w:hAnsi="宋体" w:cs="宋体" w:eastAsia="宋体" w:hint="default"/>
        </w:rPr>
        <w:t>30,000.00</w:t>
      </w:r>
      <w:r>
        <w:rPr/>
        <w:t>万元</w:t>
      </w:r>
      <w:r>
        <w:rPr>
          <w:spacing w:val="-83"/>
        </w:rPr>
        <w:t> </w:t>
      </w:r>
      <w:r>
        <w:rPr/>
        <w:t>的</w:t>
      </w:r>
      <w:r>
        <w:rPr>
          <w:rFonts w:ascii="宋体" w:hAnsi="宋体" w:cs="宋体" w:eastAsia="宋体" w:hint="default"/>
        </w:rPr>
        <w:t>2015</w:t>
      </w:r>
      <w:r>
        <w:rPr/>
        <w:t>年庆春（保）字</w:t>
      </w:r>
      <w:r>
        <w:rPr>
          <w:rFonts w:ascii="宋体" w:hAnsi="宋体" w:cs="宋体" w:eastAsia="宋体" w:hint="default"/>
        </w:rPr>
        <w:t>0009</w:t>
      </w:r>
      <w:r>
        <w:rPr/>
        <w:t>号《最高额保证合同》，合同到期后担保事项履行完毕。</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27</w:t>
      </w:r>
      <w:r>
        <w:rPr/>
        <w:t>日，银江科技集团有限公</w:t>
      </w:r>
      <w:r>
        <w:rPr>
          <w:spacing w:val="-83"/>
        </w:rPr>
        <w:t> </w:t>
      </w:r>
      <w:r>
        <w:rPr>
          <w:spacing w:val="-83"/>
        </w:rPr>
      </w:r>
      <w:r>
        <w:rPr/>
        <w:t>司与中国工商银行股份有限公司杭州庆春路支行签订的最高额</w:t>
      </w:r>
      <w:r>
        <w:rPr>
          <w:rFonts w:ascii="宋体" w:hAnsi="宋体" w:cs="宋体" w:eastAsia="宋体" w:hint="default"/>
        </w:rPr>
        <w:t>30,000.00</w:t>
      </w:r>
      <w:r>
        <w:rPr/>
        <w:t>万元的</w:t>
      </w:r>
      <w:r>
        <w:rPr>
          <w:rFonts w:ascii="宋体" w:hAnsi="宋体" w:cs="宋体" w:eastAsia="宋体" w:hint="default"/>
        </w:rPr>
        <w:t>2018</w:t>
      </w:r>
      <w:r>
        <w:rPr/>
        <w:t>年庆春（保）字</w:t>
      </w:r>
      <w:r>
        <w:rPr>
          <w:rFonts w:ascii="宋体" w:hAnsi="宋体" w:cs="宋体" w:eastAsia="宋体" w:hint="default"/>
        </w:rPr>
        <w:t>0012</w:t>
      </w:r>
      <w:r>
        <w:rPr/>
        <w:t>号《最高额保证合</w:t>
      </w:r>
      <w:r>
        <w:rPr>
          <w:spacing w:val="-83"/>
        </w:rPr>
        <w:t> </w:t>
      </w:r>
      <w:r>
        <w:rPr>
          <w:spacing w:val="-83"/>
        </w:rPr>
      </w:r>
      <w:r>
        <w:rPr/>
        <w:t>同》，为公司以下①以应收账款质押产生的有追索权的保理融资借款及②</w:t>
      </w:r>
      <w:r>
        <w:rPr>
          <w:rFonts w:ascii="宋体" w:hAnsi="宋体" w:cs="宋体" w:eastAsia="宋体" w:hint="default"/>
        </w:rPr>
        <w:t>-</w:t>
      </w:r>
      <w:r>
        <w:rPr/>
        <w:t>⑦短期借款提供担保：</w:t>
      </w:r>
    </w:p>
    <w:p>
      <w:pPr>
        <w:pStyle w:val="BodyText"/>
        <w:spacing w:line="316" w:lineRule="auto" w:before="19"/>
        <w:ind w:right="1122"/>
        <w:jc w:val="left"/>
      </w:pPr>
      <w:r>
        <w:rPr/>
        <w:t>①为公司金额为</w:t>
      </w:r>
      <w:r>
        <w:rPr>
          <w:rFonts w:ascii="宋体" w:hAnsi="宋体" w:cs="宋体" w:eastAsia="宋体" w:hint="default"/>
        </w:rPr>
        <w:t>7,000.00</w:t>
      </w:r>
      <w:r>
        <w:rPr/>
        <w:t>万元（期限为</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31</w:t>
      </w:r>
      <w:r>
        <w:rPr/>
        <w:t>日至</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日）的短期借款提供担保，截止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日，以上</w:t>
      </w:r>
      <w:r>
        <w:rPr>
          <w:spacing w:val="-84"/>
        </w:rPr>
        <w:t> </w:t>
      </w:r>
      <w:r>
        <w:rPr>
          <w:spacing w:val="-84"/>
        </w:rPr>
      </w:r>
      <w:r>
        <w:rPr/>
        <w:t>合同担保下的短期借款余额为</w:t>
      </w:r>
      <w:r>
        <w:rPr>
          <w:rFonts w:ascii="宋体" w:hAnsi="宋体" w:cs="宋体" w:eastAsia="宋体" w:hint="default"/>
        </w:rPr>
        <w:t>7,000.00</w:t>
      </w:r>
      <w:r>
        <w:rPr/>
        <w:t>万元。</w:t>
      </w:r>
    </w:p>
    <w:p>
      <w:pPr>
        <w:pStyle w:val="BodyText"/>
        <w:spacing w:line="316" w:lineRule="auto" w:before="19"/>
        <w:ind w:right="0"/>
        <w:jc w:val="left"/>
      </w:pPr>
      <w:r>
        <w:rPr>
          <w:spacing w:val="-2"/>
        </w:rPr>
        <w:t>②为公司金额为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5,000.00</w:t>
      </w:r>
      <w:r>
        <w:rPr/>
        <w:t>万元。</w:t>
      </w:r>
    </w:p>
    <w:p>
      <w:pPr>
        <w:pStyle w:val="BodyText"/>
        <w:spacing w:line="316" w:lineRule="auto" w:before="19"/>
        <w:ind w:right="0"/>
        <w:jc w:val="left"/>
      </w:pPr>
      <w:r>
        <w:rPr>
          <w:spacing w:val="-2"/>
        </w:rPr>
        <w:t>③为公司金额为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5</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w:t>
      </w:r>
      <w:r>
        <w:rPr>
          <w:spacing w:val="-39"/>
        </w:rPr>
        <w:t> </w:t>
      </w:r>
      <w:r>
        <w:rPr>
          <w:spacing w:val="-39"/>
        </w:rPr>
      </w:r>
      <w:r>
        <w:rPr/>
        <w:t>同担保下的短期借款余额为</w:t>
      </w:r>
      <w:r>
        <w:rPr>
          <w:rFonts w:ascii="宋体" w:hAnsi="宋体" w:cs="宋体" w:eastAsia="宋体" w:hint="default"/>
        </w:rPr>
        <w:t>3,000.00</w:t>
      </w:r>
      <w:r>
        <w:rPr/>
        <w:t>万元。</w:t>
      </w:r>
    </w:p>
    <w:p>
      <w:pPr>
        <w:pStyle w:val="BodyText"/>
        <w:spacing w:line="316" w:lineRule="auto" w:before="19"/>
        <w:ind w:right="0"/>
        <w:jc w:val="left"/>
      </w:pPr>
      <w:r>
        <w:rPr>
          <w:spacing w:val="-2"/>
        </w:rPr>
        <w:t>④为公司金额为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5,000.00</w:t>
      </w:r>
      <w:r>
        <w:rPr/>
        <w:t>万元。</w:t>
      </w:r>
    </w:p>
    <w:p>
      <w:pPr>
        <w:pStyle w:val="BodyText"/>
        <w:spacing w:line="316" w:lineRule="auto" w:before="19"/>
        <w:ind w:right="0"/>
        <w:jc w:val="left"/>
      </w:pPr>
      <w:r>
        <w:rPr>
          <w:spacing w:val="-2"/>
        </w:rPr>
        <w:t>⑤为公司金额为</w:t>
      </w:r>
      <w:r>
        <w:rPr>
          <w:rFonts w:ascii="宋体" w:hAnsi="宋体" w:cs="宋体" w:eastAsia="宋体" w:hint="default"/>
          <w:spacing w:val="-2"/>
        </w:rPr>
        <w:t>2,000.00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2,000.00</w:t>
      </w:r>
      <w:r>
        <w:rPr/>
        <w:t>万元。</w:t>
      </w:r>
    </w:p>
    <w:p>
      <w:pPr>
        <w:pStyle w:val="BodyText"/>
        <w:spacing w:line="316" w:lineRule="auto" w:before="19"/>
        <w:ind w:right="0"/>
        <w:jc w:val="left"/>
      </w:pPr>
      <w:r>
        <w:rPr>
          <w:spacing w:val="-2"/>
        </w:rPr>
        <w:t>⑥为公司金额为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5,000.00</w:t>
      </w:r>
      <w:r>
        <w:rPr/>
        <w:t>万元。</w:t>
      </w:r>
    </w:p>
    <w:p>
      <w:pPr>
        <w:pStyle w:val="BodyText"/>
        <w:spacing w:line="316" w:lineRule="auto" w:before="19"/>
        <w:ind w:right="1122"/>
        <w:jc w:val="left"/>
      </w:pPr>
      <w:r>
        <w:rPr>
          <w:spacing w:val="-2"/>
        </w:rPr>
        <w:t>⑦为公司金额为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3,000.00</w:t>
      </w:r>
      <w:r>
        <w:rPr/>
        <w:t>万元。 注（</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19</w:t>
      </w:r>
      <w:r>
        <w:rPr/>
        <w:t>日，银江科技集团有限公司与中国银行股份有限公司杭州钱江新城支行签订的最高额为</w:t>
      </w:r>
      <w:r>
        <w:rPr>
          <w:rFonts w:ascii="宋体" w:hAnsi="宋体" w:cs="宋体" w:eastAsia="宋体" w:hint="default"/>
        </w:rPr>
        <w:t>30,000.00</w:t>
      </w:r>
      <w:r>
        <w:rPr/>
        <w:t>万元</w:t>
      </w:r>
      <w:r>
        <w:rPr>
          <w:spacing w:val="-83"/>
        </w:rPr>
        <w:t> </w:t>
      </w:r>
      <w:r>
        <w:rPr/>
        <w:t>的编号为</w:t>
      </w:r>
      <w:r>
        <w:rPr>
          <w:rFonts w:ascii="宋体" w:hAnsi="宋体" w:cs="宋体" w:eastAsia="宋体" w:hint="default"/>
        </w:rPr>
        <w:t>18QRB031</w:t>
      </w:r>
      <w:r>
        <w:rPr/>
        <w:t>的《最高额保证合同》为公司以下短期借款提供担保</w:t>
      </w:r>
      <w:r>
        <w:rPr>
          <w:rFonts w:ascii="宋体" w:hAnsi="宋体" w:cs="宋体" w:eastAsia="宋体" w:hint="default"/>
        </w:rPr>
        <w:t>,</w:t>
      </w:r>
      <w:r>
        <w:rPr/>
        <w:t>为公司金额为</w:t>
      </w:r>
      <w:r>
        <w:rPr>
          <w:rFonts w:ascii="宋体" w:hAnsi="宋体" w:cs="宋体" w:eastAsia="宋体" w:hint="default"/>
        </w:rPr>
        <w:t>3,000.00</w:t>
      </w:r>
      <w:r>
        <w:rPr/>
        <w:t>万元（期限为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30</w:t>
      </w:r>
      <w:r>
        <w:rPr>
          <w:rFonts w:ascii="宋体" w:hAnsi="宋体" w:cs="宋体" w:eastAsia="宋体" w:hint="default"/>
          <w:spacing w:val="-4"/>
        </w:rPr>
        <w:t> </w:t>
      </w:r>
      <w:r>
        <w:rPr/>
        <w:t>日至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日）的短期借款提供担保，截止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日，以上合同担保下的短期借款余额为</w:t>
      </w:r>
      <w:r>
        <w:rPr>
          <w:rFonts w:ascii="宋体" w:hAnsi="宋体" w:cs="宋体" w:eastAsia="宋体" w:hint="default"/>
        </w:rPr>
        <w:t>3,000.00</w:t>
      </w:r>
      <w:r>
        <w:rPr/>
        <w:t>万元。 </w:t>
      </w:r>
      <w:r>
        <w:rPr>
          <w:spacing w:val="-2"/>
        </w:rPr>
        <w:t>注（</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日，银江科技集团有限公司与上海浦东发展银行杭州分行保俶支行签订的最高额</w:t>
      </w:r>
      <w:r>
        <w:rPr>
          <w:rFonts w:ascii="宋体" w:hAnsi="宋体" w:cs="宋体" w:eastAsia="宋体" w:hint="default"/>
          <w:spacing w:val="-2"/>
        </w:rPr>
        <w:t>5,000.00</w:t>
      </w:r>
      <w:r>
        <w:rPr>
          <w:spacing w:val="-2"/>
        </w:rPr>
        <w:t>万元的编号为</w:t>
      </w:r>
      <w:r>
        <w:rPr>
          <w:spacing w:val="-50"/>
        </w:rPr>
        <w:t> </w:t>
      </w:r>
      <w:r>
        <w:rPr>
          <w:rFonts w:ascii="宋体" w:hAnsi="宋体" w:cs="宋体" w:eastAsia="宋体" w:hint="default"/>
        </w:rPr>
        <w:t>ZB9503201700000006</w:t>
      </w:r>
      <w:r>
        <w:rPr/>
        <w:t>的《最高额保证合同》为公司以下短期借款提供担保：</w:t>
      </w:r>
    </w:p>
    <w:p>
      <w:pPr>
        <w:pStyle w:val="BodyText"/>
        <w:spacing w:line="316" w:lineRule="auto" w:before="19"/>
        <w:ind w:right="0"/>
        <w:jc w:val="left"/>
      </w:pPr>
      <w:r>
        <w:rPr>
          <w:spacing w:val="-2"/>
        </w:rPr>
        <w:t>①为公司金额为</w:t>
      </w:r>
      <w:r>
        <w:rPr>
          <w:rFonts w:ascii="宋体" w:hAnsi="宋体" w:cs="宋体" w:eastAsia="宋体" w:hint="default"/>
          <w:spacing w:val="-2"/>
        </w:rPr>
        <w:t>2,700.00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2,700.00</w:t>
      </w:r>
      <w:r>
        <w:rPr/>
        <w:t>万元。</w:t>
      </w:r>
    </w:p>
    <w:p>
      <w:pPr>
        <w:pStyle w:val="BodyText"/>
        <w:spacing w:line="316" w:lineRule="auto" w:before="19"/>
        <w:ind w:right="1122"/>
        <w:jc w:val="left"/>
      </w:pPr>
      <w:r>
        <w:rPr>
          <w:spacing w:val="-2"/>
        </w:rPr>
        <w:t>②为公司金额为</w:t>
      </w:r>
      <w:r>
        <w:rPr>
          <w:rFonts w:ascii="宋体" w:hAnsi="宋体" w:cs="宋体" w:eastAsia="宋体" w:hint="default"/>
          <w:spacing w:val="-2"/>
        </w:rPr>
        <w:t>2,300.00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w:t>
      </w:r>
      <w:r>
        <w:rPr>
          <w:rFonts w:ascii="宋体" w:hAnsi="宋体" w:cs="宋体" w:eastAsia="宋体" w:hint="default"/>
        </w:rPr>
        <w:t>2,300.00</w:t>
      </w:r>
      <w:r>
        <w:rPr/>
        <w:t>万元。 </w:t>
      </w:r>
      <w:r>
        <w:rPr>
          <w:spacing w:val="-2"/>
        </w:rPr>
        <w:t>注（</w:t>
      </w: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日，银江科技集团有限公司与中信银行股份有限公司杭州分行签订的最高额</w:t>
      </w:r>
      <w:r>
        <w:rPr>
          <w:rFonts w:ascii="宋体" w:hAnsi="宋体" w:cs="宋体" w:eastAsia="宋体" w:hint="default"/>
          <w:spacing w:val="-2"/>
        </w:rPr>
        <w:t>19,500.00</w:t>
      </w:r>
      <w:r>
        <w:rPr>
          <w:spacing w:val="-2"/>
        </w:rPr>
        <w:t>万元的</w:t>
      </w:r>
      <w:r>
        <w:rPr>
          <w:rFonts w:ascii="宋体" w:hAnsi="宋体" w:cs="宋体" w:eastAsia="宋体" w:hint="default"/>
          <w:spacing w:val="-2"/>
        </w:rPr>
        <w:t>2017</w:t>
      </w:r>
      <w:r>
        <w:rPr>
          <w:spacing w:val="-2"/>
        </w:rPr>
        <w:t>信银</w:t>
      </w:r>
      <w:r>
        <w:rPr>
          <w:spacing w:val="-44"/>
        </w:rPr>
        <w:t> </w:t>
      </w:r>
      <w:r>
        <w:rPr/>
        <w:t>杭玉最保字第</w:t>
      </w:r>
      <w:r>
        <w:rPr>
          <w:rFonts w:ascii="宋体" w:hAnsi="宋体" w:cs="宋体" w:eastAsia="宋体" w:hint="default"/>
        </w:rPr>
        <w:t>811088112872</w:t>
      </w:r>
      <w:r>
        <w:rPr/>
        <w:t>号《最高额保证合同》，合同到期后担保事项履行完毕。</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5</w:t>
      </w:r>
      <w:r>
        <w:rPr/>
        <w:t>日，银江科技集团有限公</w:t>
      </w:r>
      <w:r>
        <w:rPr>
          <w:spacing w:val="-84"/>
        </w:rPr>
        <w:t> </w:t>
      </w:r>
      <w:r>
        <w:rPr>
          <w:spacing w:val="-84"/>
        </w:rPr>
      </w:r>
      <w:r>
        <w:rPr/>
        <w:t>司与中信银行股份有限公司杭州分行签订的最高额</w:t>
      </w:r>
      <w:r>
        <w:rPr>
          <w:rFonts w:ascii="宋体" w:hAnsi="宋体" w:cs="宋体" w:eastAsia="宋体" w:hint="default"/>
        </w:rPr>
        <w:t>19,500.00</w:t>
      </w:r>
      <w:r>
        <w:rPr/>
        <w:t>万元的</w:t>
      </w:r>
      <w:r>
        <w:rPr>
          <w:rFonts w:ascii="宋体" w:hAnsi="宋体" w:cs="宋体" w:eastAsia="宋体" w:hint="default"/>
        </w:rPr>
        <w:t>2018</w:t>
      </w:r>
      <w:r>
        <w:rPr/>
        <w:t>信银杭玉最保字第</w:t>
      </w:r>
      <w:r>
        <w:rPr>
          <w:rFonts w:ascii="宋体" w:hAnsi="宋体" w:cs="宋体" w:eastAsia="宋体" w:hint="default"/>
        </w:rPr>
        <w:t>811088156176</w:t>
      </w:r>
      <w:r>
        <w:rPr/>
        <w:t>号《最高额保证合</w:t>
      </w:r>
      <w:r>
        <w:rPr>
          <w:spacing w:val="-84"/>
        </w:rPr>
        <w:t> </w:t>
      </w:r>
      <w:r>
        <w:rPr>
          <w:spacing w:val="-84"/>
        </w:rPr>
      </w:r>
      <w:r>
        <w:rPr/>
        <w:t>同》为公司以下短期借款提供担保：</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①为公司金额为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6</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w:t>
      </w:r>
      <w:r>
        <w:rPr>
          <w:spacing w:val="-39"/>
        </w:rPr>
        <w:t> </w:t>
      </w:r>
      <w:r>
        <w:rPr>
          <w:spacing w:val="-39"/>
        </w:rPr>
      </w:r>
      <w:r>
        <w:rPr/>
        <w:t>同担保下的短期借款余额为</w:t>
      </w:r>
      <w:r>
        <w:rPr>
          <w:rFonts w:ascii="宋体" w:hAnsi="宋体" w:cs="宋体" w:eastAsia="宋体" w:hint="default"/>
        </w:rPr>
        <w:t>5,000.00</w:t>
      </w:r>
      <w:r>
        <w:rPr/>
        <w:t>万元。</w:t>
      </w:r>
    </w:p>
    <w:p>
      <w:pPr>
        <w:pStyle w:val="BodyText"/>
        <w:spacing w:line="316" w:lineRule="auto" w:before="19"/>
        <w:ind w:right="0"/>
        <w:jc w:val="left"/>
      </w:pPr>
      <w:r>
        <w:rPr>
          <w:spacing w:val="-2"/>
        </w:rPr>
        <w:t>②为公司金额为</w:t>
      </w:r>
      <w:r>
        <w:rPr>
          <w:rFonts w:ascii="宋体" w:hAnsi="宋体" w:cs="宋体" w:eastAsia="宋体" w:hint="default"/>
          <w:spacing w:val="-2"/>
        </w:rPr>
        <w:t>6,000.00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37"/>
        </w:rPr>
        <w:t> </w:t>
      </w:r>
      <w:r>
        <w:rPr>
          <w:spacing w:val="-37"/>
        </w:rPr>
      </w:r>
      <w:r>
        <w:rPr/>
        <w:t>合同担保下的短期借款余额为</w:t>
      </w:r>
      <w:r>
        <w:rPr>
          <w:rFonts w:ascii="宋体" w:hAnsi="宋体" w:cs="宋体" w:eastAsia="宋体" w:hint="default"/>
        </w:rPr>
        <w:t>6,000.00</w:t>
      </w:r>
      <w:r>
        <w:rPr/>
        <w:t>万元。</w:t>
      </w:r>
    </w:p>
    <w:p>
      <w:pPr>
        <w:pStyle w:val="BodyText"/>
        <w:spacing w:line="316" w:lineRule="auto" w:before="19"/>
        <w:ind w:right="1125"/>
        <w:jc w:val="left"/>
      </w:pPr>
      <w:r>
        <w:rPr>
          <w:spacing w:val="-3"/>
        </w:rPr>
        <w:t>注（</w:t>
      </w:r>
      <w:r>
        <w:rPr>
          <w:rFonts w:ascii="宋体" w:hAnsi="宋体" w:cs="宋体" w:eastAsia="宋体" w:hint="default"/>
          <w:spacing w:val="-3"/>
        </w:rPr>
        <w:t>5</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10</w:t>
      </w:r>
      <w:r>
        <w:rPr>
          <w:spacing w:val="-3"/>
        </w:rPr>
        <w:t>日，银江科技集团有限公司与杭州联合农村商业银行股份有限公司科技支行签订的保证担保金额为</w:t>
      </w:r>
      <w:r>
        <w:rPr>
          <w:rFonts w:ascii="宋体" w:hAnsi="宋体" w:cs="宋体" w:eastAsia="宋体" w:hint="default"/>
          <w:spacing w:val="-3"/>
        </w:rPr>
        <w:t>7,000</w:t>
      </w:r>
      <w:r>
        <w:rPr>
          <w:rFonts w:ascii="宋体" w:hAnsi="宋体" w:cs="宋体" w:eastAsia="宋体" w:hint="default"/>
          <w:spacing w:val="-81"/>
        </w:rPr>
        <w:t> </w:t>
      </w:r>
      <w:r>
        <w:rPr/>
        <w:t>万元的杭联银（科技）最保字第</w:t>
      </w:r>
      <w:r>
        <w:rPr>
          <w:rFonts w:ascii="宋体" w:hAnsi="宋体" w:cs="宋体" w:eastAsia="宋体" w:hint="default"/>
        </w:rPr>
        <w:t>801132017001987</w:t>
      </w:r>
      <w:r>
        <w:rPr/>
        <w:t>《最高额保证合同》为公司以下短期借款提供担保：</w:t>
      </w:r>
    </w:p>
    <w:p>
      <w:pPr>
        <w:pStyle w:val="BodyText"/>
        <w:spacing w:line="316" w:lineRule="auto" w:before="19"/>
        <w:ind w:right="1122"/>
        <w:jc w:val="left"/>
      </w:pPr>
      <w:r>
        <w:rPr/>
        <w:t>①为公司金额为</w:t>
      </w:r>
      <w:r>
        <w:rPr>
          <w:rFonts w:ascii="宋体" w:hAnsi="宋体" w:cs="宋体" w:eastAsia="宋体" w:hint="default"/>
        </w:rPr>
        <w:t>3,000.00</w:t>
      </w:r>
      <w:r>
        <w:rPr/>
        <w:t>万元（期限为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28</w:t>
      </w:r>
      <w:r>
        <w:rPr/>
        <w:t>日）的短期借款提供担保，截止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日，以上</w:t>
      </w:r>
      <w:r>
        <w:rPr>
          <w:spacing w:val="-84"/>
        </w:rPr>
        <w:t> </w:t>
      </w:r>
      <w:r>
        <w:rPr>
          <w:spacing w:val="-84"/>
        </w:rPr>
      </w:r>
      <w:r>
        <w:rPr/>
        <w:t>合同担保下的短期借款余额为</w:t>
      </w:r>
      <w:r>
        <w:rPr>
          <w:rFonts w:ascii="宋体" w:hAnsi="宋体" w:cs="宋体" w:eastAsia="宋体" w:hint="default"/>
        </w:rPr>
        <w:t>2,500.00</w:t>
      </w:r>
      <w:r>
        <w:rPr/>
        <w:t>万元。</w:t>
      </w:r>
    </w:p>
    <w:p>
      <w:pPr>
        <w:pStyle w:val="BodyText"/>
        <w:spacing w:line="316" w:lineRule="auto" w:before="19"/>
        <w:ind w:right="0"/>
        <w:jc w:val="left"/>
      </w:pPr>
      <w:r>
        <w:rPr>
          <w:spacing w:val="-2"/>
        </w:rPr>
        <w:t>②为公司金额为</w:t>
      </w:r>
      <w:r>
        <w:rPr>
          <w:rFonts w:ascii="宋体" w:hAnsi="宋体" w:cs="宋体" w:eastAsia="宋体" w:hint="default"/>
          <w:spacing w:val="-2"/>
        </w:rPr>
        <w:t>500.00</w:t>
      </w:r>
      <w:r>
        <w:rPr>
          <w:spacing w:val="-2"/>
        </w:rPr>
        <w:t>万元（期限为</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日）的短期借款提供担保，截止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日，以上合同</w:t>
      </w:r>
      <w:r>
        <w:rPr>
          <w:spacing w:val="-41"/>
        </w:rPr>
        <w:t> </w:t>
      </w:r>
      <w:r>
        <w:rPr>
          <w:spacing w:val="-41"/>
        </w:rPr>
      </w:r>
      <w:r>
        <w:rPr/>
        <w:t>担保下的短期借款余额为</w:t>
      </w:r>
      <w:r>
        <w:rPr>
          <w:rFonts w:ascii="宋体" w:hAnsi="宋体" w:cs="宋体" w:eastAsia="宋体" w:hint="default"/>
        </w:rPr>
        <w:t>500.00</w:t>
      </w:r>
      <w:r>
        <w:rPr/>
        <w:t>万元。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关联方资金拆借" w:id="435"/>
      <w:bookmarkEnd w:id="43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36"/>
      <w:bookmarkEnd w:id="43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受让固定资产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304,761,900.00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37"/>
      <w:bookmarkEnd w:id="43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5,428,800.00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38"/>
      <w:bookmarkEnd w:id="43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①本年公司向杭州银江智慧产业创业投资合伙企业（有限合伙）增资</w:t>
      </w:r>
      <w:r>
        <w:rPr>
          <w:rFonts w:ascii="宋体" w:hAnsi="宋体" w:cs="宋体" w:eastAsia="宋体" w:hint="default"/>
          <w:spacing w:val="-2"/>
        </w:rPr>
        <w:t>2.27</w:t>
      </w:r>
      <w:r>
        <w:rPr>
          <w:spacing w:val="-2"/>
        </w:rPr>
        <w:t>亿元。截至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日，公司总计向杭州银江</w:t>
      </w:r>
      <w:r>
        <w:rPr>
          <w:spacing w:val="-54"/>
        </w:rPr>
        <w:t> </w:t>
      </w:r>
      <w:r>
        <w:rPr>
          <w:spacing w:val="-54"/>
        </w:rPr>
      </w:r>
      <w:r>
        <w:rPr/>
        <w:t>智慧产业创业投资合伙企业（有限合伙）投资</w:t>
      </w:r>
      <w:r>
        <w:rPr>
          <w:rFonts w:ascii="宋体" w:hAnsi="宋体" w:cs="宋体" w:eastAsia="宋体" w:hint="default"/>
        </w:rPr>
        <w:t>5.21</w:t>
      </w:r>
      <w:r>
        <w:rPr/>
        <w:t>亿元。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关联方应收应付款项" w:id="439"/>
      <w:bookmarkEnd w:id="43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40"/>
      <w:bookmarkEnd w:id="44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2694"/>
        <w:gridCol w:w="1559"/>
        <w:gridCol w:w="1417"/>
        <w:gridCol w:w="1419"/>
        <w:gridCol w:w="1344"/>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481,740.00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5,430,433.80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2694"/>
        <w:gridCol w:w="1559"/>
        <w:gridCol w:w="1417"/>
        <w:gridCol w:w="1419"/>
        <w:gridCol w:w="1344"/>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543,583.97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27,179.20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483,645.04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24,182.25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163,236.00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10,866.55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41"/>
      <w:bookmarkEnd w:id="44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3651"/>
        <w:gridCol w:w="2392"/>
        <w:gridCol w:w="239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49,061.29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149,558.80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149,558.80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2,774,332.27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18,831.56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2,106,848.52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335,894.49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8,543,819.01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102,566.10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58,210.47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133,931.00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42"/>
      <w:bookmarkEnd w:id="44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43"/>
      <w:bookmarkEnd w:id="44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44"/>
      <w:bookmarkEnd w:id="44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51"/>
        <w:ind w:right="1122"/>
        <w:jc w:val="left"/>
      </w:pPr>
      <w:r>
        <w:rPr/>
        <w:t>其他说明 </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w:t>
      </w:r>
      <w:r>
        <w:rPr/>
        <w:t>日，公司第四届董事会第六次会议审议通过《关于</w:t>
      </w:r>
      <w:r>
        <w:rPr>
          <w:rFonts w:ascii="宋体" w:hAnsi="宋体" w:cs="宋体" w:eastAsia="宋体" w:hint="default"/>
        </w:rPr>
        <w:t>&lt;</w:t>
      </w:r>
      <w:r>
        <w:rPr/>
        <w:t>银江股份有限公司</w:t>
      </w:r>
      <w:r>
        <w:rPr>
          <w:rFonts w:ascii="宋体" w:hAnsi="宋体" w:cs="宋体" w:eastAsia="宋体" w:hint="default"/>
        </w:rPr>
        <w:t>2017</w:t>
      </w:r>
      <w:r>
        <w:rPr/>
        <w:t>年股票期权激励计划（草案）</w:t>
      </w:r>
      <w:r>
        <w:rPr>
          <w:rFonts w:ascii="宋体" w:hAnsi="宋体" w:cs="宋体" w:eastAsia="宋体" w:hint="default"/>
        </w:rPr>
        <w:t>&gt;</w:t>
      </w:r>
      <w:r>
        <w:rPr/>
        <w:t>及</w:t>
      </w:r>
      <w:r>
        <w:rPr>
          <w:spacing w:val="-83"/>
        </w:rPr>
        <w:t> </w:t>
      </w:r>
      <w:r>
        <w:rPr>
          <w:spacing w:val="-2"/>
        </w:rPr>
        <w:t>其摘要的议案》、《关于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年股票期权激励计划实施考核管理办法</w:t>
      </w:r>
      <w:r>
        <w:rPr>
          <w:rFonts w:ascii="宋体" w:hAnsi="宋体" w:cs="宋体" w:eastAsia="宋体" w:hint="default"/>
          <w:spacing w:val="-2"/>
        </w:rPr>
        <w:t>&gt;</w:t>
      </w:r>
      <w:r>
        <w:rPr>
          <w:spacing w:val="-2"/>
        </w:rPr>
        <w:t>的议案》和《关于提请股东大会授</w:t>
      </w:r>
    </w:p>
    <w:p>
      <w:pPr>
        <w:pStyle w:val="BodyText"/>
        <w:spacing w:line="316" w:lineRule="auto" w:before="2"/>
        <w:ind w:right="1032"/>
        <w:jc w:val="left"/>
      </w:pPr>
      <w:r>
        <w:rPr/>
        <w:t>权董事会办理公司</w:t>
      </w:r>
      <w:r>
        <w:rPr>
          <w:rFonts w:ascii="宋体" w:hAnsi="宋体" w:cs="宋体" w:eastAsia="宋体" w:hint="default"/>
        </w:rPr>
        <w:t>2017</w:t>
      </w:r>
      <w:r>
        <w:rPr/>
        <w:t>年股票期权激励计划有关事项的议案》。 </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日，公司</w:t>
      </w:r>
      <w:r>
        <w:rPr>
          <w:rFonts w:ascii="宋体" w:hAnsi="宋体" w:cs="宋体" w:eastAsia="宋体" w:hint="default"/>
          <w:spacing w:val="-2"/>
        </w:rPr>
        <w:t>2017</w:t>
      </w:r>
      <w:r>
        <w:rPr>
          <w:spacing w:val="-2"/>
        </w:rPr>
        <w:t>年第四次临时股东大会审议通过《关于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年股票期权激励计划（草案）</w:t>
      </w:r>
      <w:r>
        <w:rPr>
          <w:rFonts w:ascii="宋体" w:hAnsi="宋体" w:cs="宋体" w:eastAsia="宋体" w:hint="default"/>
          <w:spacing w:val="-2"/>
        </w:rPr>
        <w:t>&gt;</w:t>
      </w:r>
      <w:r>
        <w:rPr>
          <w:rFonts w:ascii="宋体" w:hAnsi="宋体" w:cs="宋体" w:eastAsia="宋体" w:hint="default"/>
          <w:spacing w:val="-50"/>
        </w:rPr>
        <w:t> </w:t>
      </w:r>
      <w:r>
        <w:rPr>
          <w:spacing w:val="-2"/>
        </w:rPr>
        <w:t>及其摘要的议案》、《关于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年股票期权激励计划实施考核管理办法</w:t>
      </w:r>
      <w:r>
        <w:rPr>
          <w:rFonts w:ascii="宋体" w:hAnsi="宋体" w:cs="宋体" w:eastAsia="宋体" w:hint="default"/>
          <w:spacing w:val="-2"/>
        </w:rPr>
        <w:t>&gt;</w:t>
      </w:r>
      <w:r>
        <w:rPr>
          <w:spacing w:val="-2"/>
        </w:rPr>
        <w:t>的议案》和《关于提请股东大会</w:t>
      </w:r>
      <w:r>
        <w:rPr>
          <w:spacing w:val="-59"/>
        </w:rPr>
        <w:t> </w:t>
      </w:r>
      <w:r>
        <w:rPr>
          <w:spacing w:val="-59"/>
        </w:rPr>
      </w:r>
      <w:r>
        <w:rPr/>
        <w:t>授权董事会办理公司</w:t>
      </w:r>
      <w:r>
        <w:rPr>
          <w:rFonts w:ascii="宋体" w:hAnsi="宋体" w:cs="宋体" w:eastAsia="宋体" w:hint="default"/>
        </w:rPr>
        <w:t>2017</w:t>
      </w:r>
      <w:r>
        <w:rPr/>
        <w:t>年股票期权激励计划有关事项的议案》。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日，公司第四届董事会第八会议审议通过《关于调整公司</w:t>
      </w:r>
      <w:r>
        <w:rPr>
          <w:rFonts w:ascii="宋体" w:hAnsi="宋体" w:cs="宋体" w:eastAsia="宋体" w:hint="default"/>
          <w:spacing w:val="-2"/>
        </w:rPr>
        <w:t>2017</w:t>
      </w:r>
      <w:r>
        <w:rPr>
          <w:spacing w:val="-2"/>
        </w:rPr>
        <w:t>年股票期权激励计划授予激励对象名单及授予</w:t>
      </w:r>
      <w:r>
        <w:rPr>
          <w:spacing w:val="-54"/>
        </w:rPr>
        <w:t> </w:t>
      </w:r>
      <w:r>
        <w:rPr>
          <w:spacing w:val="-2"/>
        </w:rPr>
        <w:t>数量的议案》和《关于向</w:t>
      </w:r>
      <w:r>
        <w:rPr>
          <w:rFonts w:ascii="宋体" w:hAnsi="宋体" w:cs="宋体" w:eastAsia="宋体" w:hint="default"/>
          <w:spacing w:val="-2"/>
        </w:rPr>
        <w:t>2017</w:t>
      </w:r>
      <w:r>
        <w:rPr>
          <w:spacing w:val="-2"/>
        </w:rPr>
        <w:t>年股票期权激励计划激励对象授予股票期权的议案》。上述两项议案的主要内容为：原激励对</w:t>
      </w:r>
      <w:r>
        <w:rPr>
          <w:spacing w:val="-62"/>
        </w:rPr>
        <w:t> </w:t>
      </w:r>
      <w:r>
        <w:rPr>
          <w:spacing w:val="-62"/>
        </w:rPr>
      </w:r>
      <w:r>
        <w:rPr/>
        <w:t>象王占军、王黎丽和王如晟</w:t>
      </w:r>
      <w:r>
        <w:rPr>
          <w:rFonts w:ascii="宋体" w:hAnsi="宋体" w:cs="宋体" w:eastAsia="宋体" w:hint="default"/>
        </w:rPr>
        <w:t>3</w:t>
      </w:r>
      <w:r>
        <w:rPr/>
        <w:t>人因个人原因离职，不再满足成为激励对象的条件。根据公司《</w:t>
      </w:r>
      <w:r>
        <w:rPr>
          <w:rFonts w:ascii="宋体" w:hAnsi="宋体" w:cs="宋体" w:eastAsia="宋体" w:hint="default"/>
        </w:rPr>
        <w:t>2017</w:t>
      </w:r>
      <w:r>
        <w:rPr/>
        <w:t>年股票期权激励计划（草</w:t>
      </w:r>
      <w:r>
        <w:rPr>
          <w:spacing w:val="-82"/>
        </w:rPr>
        <w:t> </w:t>
      </w:r>
      <w:r>
        <w:rPr>
          <w:spacing w:val="-82"/>
        </w:rPr>
      </w:r>
      <w:r>
        <w:rPr>
          <w:spacing w:val="-2"/>
        </w:rPr>
        <w:t>案）》，需对激励对象人数和股票期权授予数量进行调整。经上述调整后，本次获授股票期权的激励对象由</w:t>
      </w:r>
      <w:r>
        <w:rPr>
          <w:rFonts w:ascii="宋体" w:hAnsi="宋体" w:cs="宋体" w:eastAsia="宋体" w:hint="default"/>
          <w:spacing w:val="-2"/>
        </w:rPr>
        <w:t>306</w:t>
      </w:r>
      <w:r>
        <w:rPr>
          <w:spacing w:val="-2"/>
        </w:rPr>
        <w:t>人调整为</w:t>
      </w:r>
      <w:r>
        <w:rPr>
          <w:rFonts w:ascii="宋体" w:hAnsi="宋体" w:cs="宋体" w:eastAsia="宋体" w:hint="default"/>
          <w:spacing w:val="-2"/>
        </w:rPr>
        <w:t>303</w:t>
      </w:r>
      <w:r>
        <w:rPr>
          <w:rFonts w:ascii="宋体" w:hAnsi="宋体" w:cs="宋体" w:eastAsia="宋体" w:hint="default"/>
          <w:spacing w:val="-59"/>
        </w:rPr>
        <w:t> </w:t>
      </w:r>
      <w:r>
        <w:rPr/>
        <w:t>人，授予股票期权由</w:t>
      </w:r>
      <w:r>
        <w:rPr>
          <w:rFonts w:ascii="宋体" w:hAnsi="宋体" w:cs="宋体" w:eastAsia="宋体" w:hint="default"/>
        </w:rPr>
        <w:t>1729</w:t>
      </w:r>
      <w:r>
        <w:rPr/>
        <w:t>万份调整为</w:t>
      </w:r>
      <w:r>
        <w:rPr>
          <w:rFonts w:ascii="宋体" w:hAnsi="宋体" w:cs="宋体" w:eastAsia="宋体" w:hint="default"/>
        </w:rPr>
        <w:t>1718</w:t>
      </w:r>
      <w:r>
        <w:rPr/>
        <w:t>万份，并计划以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日为授予日，授予</w:t>
      </w:r>
      <w:r>
        <w:rPr>
          <w:rFonts w:ascii="宋体" w:hAnsi="宋体" w:cs="宋体" w:eastAsia="宋体" w:hint="default"/>
        </w:rPr>
        <w:t>303</w:t>
      </w:r>
      <w:r>
        <w:rPr/>
        <w:t>名激励对象</w:t>
      </w:r>
      <w:r>
        <w:rPr>
          <w:rFonts w:ascii="宋体" w:hAnsi="宋体" w:cs="宋体" w:eastAsia="宋体" w:hint="default"/>
        </w:rPr>
        <w:t>1718</w:t>
      </w:r>
      <w:r>
        <w:rPr/>
        <w:t>万份股票期权， 行权价格为</w:t>
      </w:r>
      <w:r>
        <w:rPr>
          <w:rFonts w:ascii="宋体" w:hAnsi="宋体" w:cs="宋体" w:eastAsia="宋体" w:hint="default"/>
        </w:rPr>
        <w:t>13.14</w:t>
      </w:r>
      <w:r>
        <w:rPr/>
        <w:t>元。 </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19</w:t>
      </w:r>
      <w:r>
        <w:rPr/>
        <w:t>日，公司第三期股票期权激励计划经深圳证券交易所、中国证券登记结算有限责任公司深圳分公司审核确</w:t>
      </w:r>
      <w:r>
        <w:rPr>
          <w:spacing w:val="-83"/>
        </w:rPr>
        <w:t> </w:t>
      </w:r>
      <w:r>
        <w:rPr>
          <w:spacing w:val="-83"/>
        </w:rPr>
      </w:r>
      <w:r>
        <w:rPr>
          <w:spacing w:val="-2"/>
        </w:rPr>
        <w:t>认，银江股份有限公司（以下简称“公司”）已完成《</w:t>
      </w:r>
      <w:r>
        <w:rPr>
          <w:rFonts w:ascii="宋体" w:hAnsi="宋体" w:cs="宋体" w:eastAsia="宋体" w:hint="default"/>
          <w:spacing w:val="-2"/>
        </w:rPr>
        <w:t>2017</w:t>
      </w:r>
      <w:r>
        <w:rPr>
          <w:spacing w:val="-2"/>
        </w:rPr>
        <w:t>年股票期权激励计划（草案）》股票期权的授予登记工作，期权</w:t>
      </w:r>
      <w:r>
        <w:rPr>
          <w:spacing w:val="-66"/>
        </w:rPr>
        <w:t> </w:t>
      </w:r>
      <w:r>
        <w:rPr>
          <w:spacing w:val="-66"/>
        </w:rPr>
      </w:r>
      <w:r>
        <w:rPr/>
        <w:t>简称：银江</w:t>
      </w:r>
      <w:r>
        <w:rPr>
          <w:rFonts w:ascii="宋体" w:hAnsi="宋体" w:cs="宋体" w:eastAsia="宋体" w:hint="default"/>
        </w:rPr>
        <w:t>JLC3</w:t>
      </w:r>
      <w:r>
        <w:rPr/>
        <w:t>，期权代码：</w:t>
      </w:r>
      <w:r>
        <w:rPr>
          <w:rFonts w:ascii="宋体" w:hAnsi="宋体" w:cs="宋体" w:eastAsia="宋体" w:hint="default"/>
        </w:rPr>
        <w:t>036262</w:t>
      </w:r>
      <w:r>
        <w:rPr/>
        <w:t>。</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以权益结算的股份支付情况" w:id="446"/>
      <w:bookmarkEnd w:id="44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22,008,868.50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16,989,302.00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47"/>
      <w:bookmarkEnd w:id="44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48"/>
      <w:bookmarkEnd w:id="44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322.903015pt;margin-top:593.200012pt;width:137.6pt;height:62.4pt;mso-position-horizontal-relative:page;mso-position-vertical-relative:page;z-index:-1156336"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为第二大股东，</w:t>
                  </w:r>
                </w:p>
              </w:txbxContent>
            </v:textbox>
            <w10:wrap type="none"/>
          </v:shape>
        </w:pict>
      </w:r>
      <w:r>
        <w:rPr/>
        <w:pict>
          <v:shape style="position:absolute;margin-left:376.839996pt;margin-top:656.139954pt;width:83.7pt;height:45.8pt;mso-position-horizontal-relative:page;mso-position-vertical-relative:page;z-index:-1156312" type="#_x0000_t202" filled="false" stroked="false">
            <v:textbox inset="0,0,0,0">
              <w:txbxContent>
                <w:p>
                  <w:pPr>
                    <w:pStyle w:val="BodyText"/>
                    <w:spacing w:line="240" w:lineRule="auto" w:before="51"/>
                    <w:ind w:left="0" w:right="0"/>
                    <w:jc w:val="left"/>
                  </w:pPr>
                  <w:r>
                    <w:rPr/>
                    <w:t>）</w:t>
                  </w:r>
                </w:p>
                <w:p>
                  <w:pPr>
                    <w:pStyle w:val="BodyText"/>
                    <w:spacing w:line="240" w:lineRule="auto" w:before="75"/>
                    <w:ind w:left="0" w:right="0"/>
                    <w:jc w:val="left"/>
                  </w:pPr>
                  <w:r>
                    <w:rPr/>
                    <w:t>、</w:t>
                  </w:r>
                </w:p>
              </w:txbxContent>
            </v:textbox>
            <w10:wrap type="none"/>
          </v:shape>
        </w:pict>
      </w:r>
      <w:r>
        <w:rPr/>
        <w:pict>
          <v:shape style="position:absolute;margin-left:376.899994pt;margin-top:721.559998pt;width:83.6pt;height:45.8pt;mso-position-horizontal-relative:page;mso-position-vertical-relative:page;z-index:-1156288" type="#_x0000_t202" filled="false" stroked="false">
            <v:textbox inset="0,0,0,0">
              <w:txbxContent>
                <w:p>
                  <w:pPr>
                    <w:pStyle w:val="BodyText"/>
                    <w:spacing w:line="226" w:lineRule="exact"/>
                    <w:ind w:left="0" w:right="0"/>
                    <w:jc w:val="left"/>
                  </w:pPr>
                  <w:r>
                    <w:rPr/>
                    <w:t>、</w:t>
                  </w:r>
                </w:p>
              </w:txbxContent>
            </v:textbox>
            <w10:wrap type="none"/>
          </v:shape>
        </w:pict>
      </w:r>
      <w:r>
        <w:rPr/>
        <w:pict>
          <v:group style="position:absolute;margin-left:383.019989pt;margin-top:593.200012pt;width:77.5pt;height:108.75pt;mso-position-horizontal-relative:page;mso-position-vertical-relative:page;z-index:-1156264" coordorigin="7660,11864" coordsize="1550,2175">
            <v:group style="position:absolute;left:7660;top:11864;width:1550;height:1248" coordorigin="7660,11864" coordsize="1550,1248">
              <v:shape style="position:absolute;left:7660;top:11864;width:1550;height:1248" coordorigin="7660,11864" coordsize="1550,1248" path="m7660,13112l9210,13112,9210,11864,7660,11864,7660,13112xe" filled="true" fillcolor="#ffffff" stroked="false">
                <v:path arrowok="t"/>
                <v:fill type="solid"/>
              </v:shape>
            </v:group>
            <v:group style="position:absolute;left:7660;top:13123;width:1550;height:916" coordorigin="7660,13123" coordsize="1550,916">
              <v:shape style="position:absolute;left:7660;top:13123;width:1550;height:916" coordorigin="7660,13123" coordsize="1550,916" path="m7660,14039l9210,14039,9210,13123,7660,13123,7660,14039xe" filled="true" fillcolor="#ffffff" stroked="false">
                <v:path arrowok="t"/>
                <v:fill type="solid"/>
              </v:shape>
            </v:group>
            <w10:wrap type="none"/>
          </v:group>
        </w:pict>
      </w:r>
    </w:p>
    <w:p>
      <w:pPr>
        <w:spacing w:line="487" w:lineRule="auto" w:before="35"/>
        <w:ind w:left="154" w:right="8412" w:firstLine="0"/>
        <w:jc w:val="left"/>
        <w:rPr>
          <w:rFonts w:ascii="宋体" w:hAnsi="宋体" w:cs="宋体" w:eastAsia="宋体" w:hint="default"/>
          <w:sz w:val="21"/>
          <w:szCs w:val="21"/>
        </w:rPr>
      </w:pPr>
      <w:bookmarkStart w:name="5、其他" w:id="449"/>
      <w:bookmarkEnd w:id="4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0"/>
      <w:bookmarkEnd w:id="45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1"/>
      <w:bookmarkEnd w:id="45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6072"/>
        <w:jc w:val="left"/>
      </w:pPr>
      <w:r>
        <w:rPr/>
        <w:t>资产负债表日存在的重要承诺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452"/>
      <w:bookmarkEnd w:id="45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53"/>
      <w:bookmarkEnd w:id="45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54"/>
      <w:bookmarkEnd w:id="45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55"/>
      <w:bookmarkEnd w:id="45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57"/>
      <w:bookmarkEnd w:id="45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5103"/>
        <w:gridCol w:w="1559"/>
        <w:gridCol w:w="1488"/>
      </w:tblGrid>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33"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69" w:right="107"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59"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363"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w:t>
            </w:r>
          </w:p>
        </w:tc>
        <w:tc>
          <w:tcPr>
            <w:tcW w:w="1559"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06" w:hRule="exact"/>
        </w:trPr>
        <w:tc>
          <w:tcPr>
            <w:tcW w:w="1419"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2"/>
                <w:sz w:val="18"/>
                <w:szCs w:val="18"/>
              </w:rPr>
              <w:t>过</w:t>
            </w:r>
            <w:r>
              <w:rPr>
                <w:rFonts w:ascii="宋体" w:hAnsi="宋体" w:cs="宋体" w:eastAsia="宋体" w:hint="default"/>
                <w:sz w:val="18"/>
                <w:szCs w:val="18"/>
              </w:rPr>
              <w:t>《关于购买股权暨关联交易的议案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议案主要内容为公司从</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关联方银江孵化器股份有限公司和关联方浙江银江股权投资管理</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27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有限公司处购买其持有的杭州银江智慧产业创业投资合伙企业</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5103" w:type="dxa"/>
            <w:tcBorders>
              <w:top w:val="nil" w:sz="6" w:space="0" w:color="auto"/>
              <w:left w:val="single" w:sz="13" w:space="0" w:color="D2D2D2"/>
              <w:bottom w:val="nil" w:sz="6" w:space="0" w:color="auto"/>
              <w:right w:val="single" w:sz="4" w:space="0" w:color="000000"/>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（有限合伙）股权。本次交易金额合计人民币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万元。此次</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273"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交易完成后，公司对杭州银江智慧产业创业投资合伙企业（有限</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合伙）认缴出资额达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37.60%</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08" w:hRule="exact"/>
        </w:trPr>
        <w:tc>
          <w:tcPr>
            <w:tcW w:w="1419"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本次交易构成关联交易，截至本年报出具日，上述股权转让事项</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56"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尚未实施。</w:t>
            </w: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363" w:hRule="exact"/>
        </w:trPr>
        <w:tc>
          <w:tcPr>
            <w:tcW w:w="1419"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日，公司收到浙江省杭州市中级人民法院（</w:t>
            </w:r>
            <w:r>
              <w:rPr>
                <w:rFonts w:ascii="Times New Roman" w:hAnsi="Times New Roman" w:cs="Times New Roman" w:eastAsia="Times New Roman" w:hint="default"/>
                <w:sz w:val="18"/>
                <w:szCs w:val="18"/>
              </w:rPr>
              <w:t>2018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915" w:lineRule="exact"/>
              <w:ind w:right="-51"/>
              <w:jc w:val="left"/>
              <w:rPr>
                <w:rFonts w:ascii="宋体" w:hAnsi="宋体" w:cs="宋体" w:eastAsia="宋体" w:hint="default"/>
                <w:sz w:val="20"/>
                <w:szCs w:val="20"/>
              </w:rPr>
            </w:pPr>
            <w:r>
              <w:rPr>
                <w:rFonts w:ascii="宋体" w:hAnsi="宋体" w:cs="宋体" w:eastAsia="宋体" w:hint="default"/>
                <w:position w:val="-17"/>
                <w:sz w:val="20"/>
                <w:szCs w:val="20"/>
              </w:rPr>
              <w:pict>
                <v:group style="width:77.5pt;height:45.8pt;mso-position-horizontal-relative:char;mso-position-vertical-relative:line" coordorigin="0,0" coordsize="1550,916">
                  <v:group style="position:absolute;left:0;top:0;width:1550;height:916" coordorigin="0,0" coordsize="1550,916">
                    <v:shape style="position:absolute;left:0;top:0;width:1550;height:916" coordorigin="0,0" coordsize="1550,916" path="m0,916l1550,916,1550,0,0,0,0,916xe" filled="true" fillcolor="#ffffff" stroked="false">
                      <v:path arrowok="t"/>
                      <v:fill type="solid"/>
                    </v:shape>
                  </v:group>
                </v:group>
              </w:pict>
            </w:r>
            <w:r>
              <w:rPr>
                <w:rFonts w:ascii="宋体" w:hAnsi="宋体" w:cs="宋体" w:eastAsia="宋体" w:hint="default"/>
                <w:position w:val="-17"/>
                <w:sz w:val="20"/>
                <w:szCs w:val="20"/>
              </w:rPr>
            </w:r>
          </w:p>
        </w:tc>
        <w:tc>
          <w:tcPr>
            <w:tcW w:w="1488" w:type="dxa"/>
            <w:vMerge w:val="restart"/>
            <w:tcBorders>
              <w:top w:val="single" w:sz="4" w:space="0" w:color="000000"/>
              <w:left w:val="single" w:sz="4" w:space="0" w:color="000000"/>
              <w:right w:val="single" w:sz="4" w:space="0" w:color="000000"/>
            </w:tcBorders>
          </w:tcPr>
          <w:p>
            <w:pPr/>
          </w:p>
        </w:tc>
      </w:tr>
      <w:tr>
        <w:trPr>
          <w:trHeight w:val="311" w:hRule="exact"/>
        </w:trPr>
        <w:tc>
          <w:tcPr>
            <w:tcW w:w="141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58"/>
                <w:sz w:val="18"/>
                <w:szCs w:val="18"/>
              </w:rPr>
              <w:t>号</w:t>
            </w:r>
            <w:r>
              <w:rPr>
                <w:rFonts w:ascii="宋体" w:hAnsi="宋体" w:cs="宋体" w:eastAsia="宋体" w:hint="default"/>
                <w:sz w:val="18"/>
                <w:szCs w:val="18"/>
              </w:rPr>
              <w:t>《民事判决书</w:t>
            </w:r>
            <w:r>
              <w:rPr>
                <w:rFonts w:ascii="宋体" w:hAnsi="宋体" w:cs="宋体" w:eastAsia="宋体" w:hint="default"/>
                <w:spacing w:val="-90"/>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本次诉讼本公司的诉求为：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03" w:hRule="exact"/>
        </w:trPr>
        <w:tc>
          <w:tcPr>
            <w:tcW w:w="141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请求判令确认浙商资管公司、李欣于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日签订的浙</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22"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商聚银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号银江股份股票收益权</w:t>
            </w:r>
            <w:r>
              <w:rPr>
                <w:rFonts w:ascii="宋体" w:hAnsi="宋体" w:cs="宋体" w:eastAsia="宋体" w:hint="default"/>
                <w:spacing w:val="-43"/>
                <w:sz w:val="18"/>
                <w:szCs w:val="18"/>
              </w:rPr>
              <w:t> </w:t>
            </w:r>
            <w:r>
              <w:rPr>
                <w:rFonts w:ascii="Times New Roman" w:hAnsi="Times New Roman" w:cs="Times New Roman" w:eastAsia="Times New Roman" w:hint="default"/>
                <w:spacing w:val="-24"/>
                <w:sz w:val="18"/>
                <w:szCs w:val="18"/>
              </w:rPr>
              <w:t>1</w:t>
            </w: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3 </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号专项资产管理计划《股</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41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票质押合同</w:t>
            </w:r>
            <w:r>
              <w:rPr>
                <w:rFonts w:ascii="宋体" w:hAnsi="宋体" w:cs="宋体" w:eastAsia="宋体" w:hint="default"/>
                <w:spacing w:val="-130"/>
                <w:sz w:val="18"/>
                <w:szCs w:val="18"/>
              </w:rPr>
              <w:t>》</w:t>
            </w:r>
            <w:r>
              <w:rPr>
                <w:rFonts w:ascii="宋体" w:hAnsi="宋体" w:cs="宋体" w:eastAsia="宋体" w:hint="default"/>
                <w:sz w:val="18"/>
                <w:szCs w:val="18"/>
              </w:rPr>
              <w:t>（合同编号</w:t>
            </w:r>
            <w:r>
              <w:rPr>
                <w:rFonts w:ascii="宋体" w:hAnsi="宋体" w:cs="宋体" w:eastAsia="宋体" w:hint="default"/>
                <w:spacing w:val="-40"/>
                <w:sz w:val="18"/>
                <w:szCs w:val="18"/>
              </w:rPr>
              <w:t>：</w:t>
            </w:r>
            <w:r>
              <w:rPr>
                <w:rFonts w:ascii="宋体" w:hAnsi="宋体" w:cs="宋体" w:eastAsia="宋体" w:hint="default"/>
                <w:sz w:val="18"/>
                <w:szCs w:val="18"/>
              </w:rPr>
              <w:t>浙商资管</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G</w:t>
            </w:r>
            <w:r>
              <w:rPr>
                <w:rFonts w:ascii="Times New Roman" w:hAnsi="Times New Roman" w:cs="Times New Roman" w:eastAsia="Times New Roman" w:hint="default"/>
                <w:spacing w:val="-1"/>
                <w:w w:val="99"/>
                <w:sz w:val="18"/>
                <w:szCs w:val="18"/>
              </w:rPr>
              <w:t>P</w:t>
            </w:r>
            <w:r>
              <w:rPr>
                <w:rFonts w:ascii="Times New Roman" w:hAnsi="Times New Roman" w:cs="Times New Roman" w:eastAsia="Times New Roman" w:hint="default"/>
                <w:w w:val="99"/>
                <w:sz w:val="18"/>
                <w:szCs w:val="18"/>
              </w:rPr>
              <w:t>Z</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J</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039</w:t>
            </w:r>
            <w:r>
              <w:rPr>
                <w:rFonts w:ascii="宋体" w:hAnsi="宋体" w:cs="宋体" w:eastAsia="宋体" w:hint="default"/>
                <w:spacing w:val="-40"/>
                <w:sz w:val="18"/>
                <w:szCs w:val="18"/>
              </w:rPr>
              <w:t>、</w:t>
            </w:r>
            <w:r>
              <w:rPr>
                <w:rFonts w:ascii="Times New Roman" w:hAnsi="Times New Roman" w:cs="Times New Roman" w:eastAsia="Times New Roman" w:hint="default"/>
                <w:w w:val="99"/>
                <w:sz w:val="18"/>
                <w:szCs w:val="18"/>
              </w:rPr>
              <w:t>G</w:t>
            </w:r>
            <w:r>
              <w:rPr>
                <w:rFonts w:ascii="Times New Roman" w:hAnsi="Times New Roman" w:cs="Times New Roman" w:eastAsia="Times New Roman" w:hint="default"/>
                <w:spacing w:val="-1"/>
                <w:w w:val="99"/>
                <w:sz w:val="18"/>
                <w:szCs w:val="18"/>
              </w:rPr>
              <w:t>P</w:t>
            </w:r>
            <w:r>
              <w:rPr>
                <w:rFonts w:ascii="Times New Roman" w:hAnsi="Times New Roman" w:cs="Times New Roman" w:eastAsia="Times New Roman" w:hint="default"/>
                <w:w w:val="99"/>
                <w:sz w:val="18"/>
                <w:szCs w:val="18"/>
              </w:rPr>
              <w:t>ZYJ</w:t>
            </w:r>
            <w:r>
              <w:rPr>
                <w:rFonts w:ascii="Times New Roman" w:hAnsi="Times New Roman" w:cs="Times New Roman" w:eastAsia="Times New Roman" w:hint="default"/>
                <w:w w:val="99"/>
                <w:sz w:val="18"/>
                <w:szCs w:val="18"/>
              </w:rPr>
              <w:t>Y0</w:t>
            </w:r>
            <w:r>
              <w:rPr>
                <w:rFonts w:ascii="Times New Roman" w:hAnsi="Times New Roman" w:cs="Times New Roman" w:eastAsia="Times New Roman" w:hint="default"/>
                <w:sz w:val="18"/>
                <w:szCs w:val="18"/>
              </w:rPr>
              <w:t>040</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41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GPZYJY0041</w:t>
            </w:r>
            <w:r>
              <w:rPr>
                <w:rFonts w:ascii="宋体" w:hAnsi="宋体" w:cs="宋体" w:eastAsia="宋体" w:hint="default"/>
                <w:spacing w:val="-2"/>
                <w:sz w:val="18"/>
                <w:szCs w:val="18"/>
              </w:rPr>
              <w:t>）均无效；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、判令浙商资管公司、李欣承担本案全</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419"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部诉讼费用（包括但不限于案件受理费、公告费、财产保全费等</w:t>
            </w: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5103"/>
        <w:gridCol w:w="1559"/>
        <w:gridCol w:w="1488"/>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诉讼费用</w:t>
            </w:r>
            <w:r>
              <w:rPr>
                <w:rFonts w:ascii="宋体" w:hAnsi="宋体" w:cs="宋体" w:eastAsia="宋体" w:hint="default"/>
                <w:spacing w:val="-90"/>
                <w:sz w:val="18"/>
                <w:szCs w:val="18"/>
              </w:rPr>
              <w:t>）</w:t>
            </w:r>
            <w:r>
              <w:rPr>
                <w:rFonts w:ascii="宋体" w:hAnsi="宋体" w:cs="宋体" w:eastAsia="宋体" w:hint="default"/>
                <w:sz w:val="18"/>
                <w:szCs w:val="18"/>
              </w:rPr>
              <w:t>。本次判决结果：驳回公司的诉讼请求。</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日，公司与北京经纬信息技术有限公司于近日收 到招标人中国铁路上海局集团有限公司南京铁路枢纽工程建设指 </w:t>
            </w:r>
            <w:r>
              <w:rPr>
                <w:rFonts w:ascii="宋体" w:hAnsi="宋体" w:cs="宋体" w:eastAsia="宋体" w:hint="default"/>
                <w:spacing w:val="-6"/>
                <w:sz w:val="18"/>
                <w:szCs w:val="18"/>
              </w:rPr>
              <w:t>挥部发出的《中标通知书》，确认公司中标新建连云港至镇江铁路</w:t>
            </w:r>
            <w:r>
              <w:rPr>
                <w:rFonts w:ascii="宋体" w:hAnsi="宋体" w:cs="宋体" w:eastAsia="宋体" w:hint="default"/>
                <w:sz w:val="18"/>
                <w:szCs w:val="18"/>
              </w:rPr>
              <w:t> 信息系统及相关工程施工项目，中标价为人民币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147,718,000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383.019989pt;margin-top:-44.246357pt;width:77.5pt;height:31.2pt;mso-position-horizontal-relative:page;mso-position-vertical-relative:paragraph;z-index:-1156240" coordorigin="7660,-885" coordsize="1550,624">
            <v:shape style="position:absolute;left:7660;top:-885;width:1550;height:624" coordorigin="7660,-885" coordsize="1550,624" path="m7660,-261l9210,-261,9210,-885,7660,-885,7660,-261xe" filled="true" fillcolor="#ffffff" stroked="false">
              <v:path arrowok="t"/>
              <v:fill type="solid"/>
            </v:shape>
            <w10:wrap type="none"/>
          </v:group>
        </w:pict>
      </w:r>
      <w:bookmarkStart w:name="2、利润分配情况" w:id="458"/>
      <w:bookmarkEnd w:id="45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32,789,454.30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59"/>
      <w:bookmarkEnd w:id="45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460"/>
      <w:bookmarkEnd w:id="46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461"/>
      <w:bookmarkEnd w:id="46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62"/>
      <w:bookmarkEnd w:id="46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63"/>
      <w:bookmarkEnd w:id="46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未来适用法" w:id="464"/>
      <w:bookmarkEnd w:id="46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债务重组" w:id="465"/>
      <w:bookmarkEnd w:id="46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66"/>
      <w:bookmarkEnd w:id="46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67"/>
      <w:bookmarkEnd w:id="46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68"/>
      <w:bookmarkEnd w:id="46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69"/>
      <w:bookmarkEnd w:id="46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70"/>
      <w:bookmarkEnd w:id="47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71"/>
      <w:bookmarkEnd w:id="47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72"/>
      <w:bookmarkEnd w:id="47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73"/>
      <w:bookmarkEnd w:id="47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无报告分部的，或者不能披露各报告分部的资产总额和负债总额的，应说明原因" w:id="474"/>
      <w:bookmarkEnd w:id="47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75"/>
      <w:bookmarkEnd w:id="47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76"/>
      <w:bookmarkEnd w:id="47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t>截至本公告披露日，控股股东银江科技集团有限公司（以下简称“银江科技集团”）共持有公司股份 </w:t>
      </w:r>
      <w:r>
        <w:rPr>
          <w:rFonts w:ascii="宋体" w:hAnsi="宋体" w:cs="宋体" w:eastAsia="宋体" w:hint="default"/>
        </w:rPr>
        <w:t>177,166,505 </w:t>
      </w:r>
      <w:r>
        <w:rPr/>
        <w:t>股，占</w:t>
      </w:r>
      <w:r>
        <w:rPr>
          <w:spacing w:val="-83"/>
        </w:rPr>
        <w:t> </w:t>
      </w:r>
      <w:r>
        <w:rPr/>
        <w:t>公司股份总数的 </w:t>
      </w:r>
      <w:r>
        <w:rPr>
          <w:rFonts w:ascii="宋体" w:hAnsi="宋体" w:cs="宋体" w:eastAsia="宋体" w:hint="default"/>
        </w:rPr>
        <w:t>27.02%</w:t>
      </w:r>
      <w:r>
        <w:rPr/>
        <w:t>；银江科技集团所持有上市公司股份累计已质押 </w:t>
      </w:r>
      <w:r>
        <w:rPr>
          <w:rFonts w:ascii="宋体" w:hAnsi="宋体" w:cs="宋体" w:eastAsia="宋体" w:hint="default"/>
        </w:rPr>
        <w:t>146,010,000 </w:t>
      </w:r>
      <w:r>
        <w:rPr/>
        <w:t>股，占公司股份总数的</w:t>
      </w:r>
      <w:r>
        <w:rPr>
          <w:spacing w:val="5"/>
        </w:rPr>
        <w:t> </w:t>
      </w:r>
      <w:r>
        <w:rPr>
          <w:rFonts w:ascii="宋体" w:hAnsi="宋体" w:cs="宋体" w:eastAsia="宋体" w:hint="default"/>
        </w:rPr>
        <w:t>22.26%</w:t>
      </w:r>
      <w:r>
        <w:rPr/>
        <w:t>，占 其所持有公司股份的 </w:t>
      </w:r>
      <w:r>
        <w:rPr>
          <w:rFonts w:ascii="宋体" w:hAnsi="宋体" w:cs="宋体" w:eastAsia="宋体" w:hint="default"/>
        </w:rPr>
        <w:t>82.41%</w:t>
      </w:r>
      <w:r>
        <w:rPr/>
        <w:t>。 </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月，公司收到浙江省杭州市中级人民法院发出的《执行裁定书》（（</w:t>
      </w:r>
      <w:r>
        <w:rPr>
          <w:rFonts w:ascii="宋体" w:hAnsi="宋体" w:cs="宋体" w:eastAsia="宋体" w:hint="default"/>
          <w:spacing w:val="-2"/>
        </w:rPr>
        <w:t>2016</w:t>
      </w:r>
      <w:r>
        <w:rPr>
          <w:spacing w:val="-2"/>
        </w:rPr>
        <w:t>）浙</w:t>
      </w:r>
      <w:r>
        <w:rPr>
          <w:rFonts w:ascii="宋体" w:hAnsi="宋体" w:cs="宋体" w:eastAsia="宋体" w:hint="default"/>
          <w:spacing w:val="-2"/>
        </w:rPr>
        <w:t>01</w:t>
      </w:r>
      <w:r>
        <w:rPr>
          <w:spacing w:val="-2"/>
        </w:rPr>
        <w:t>执</w:t>
      </w:r>
      <w:r>
        <w:rPr>
          <w:rFonts w:ascii="宋体" w:hAnsi="宋体" w:cs="宋体" w:eastAsia="宋体" w:hint="default"/>
          <w:spacing w:val="-2"/>
        </w:rPr>
        <w:t>306</w:t>
      </w:r>
      <w:r>
        <w:rPr>
          <w:spacing w:val="-2"/>
        </w:rPr>
        <w:t>、</w:t>
      </w:r>
      <w:r>
        <w:rPr>
          <w:rFonts w:ascii="宋体" w:hAnsi="宋体" w:cs="宋体" w:eastAsia="宋体" w:hint="default"/>
          <w:spacing w:val="-2"/>
        </w:rPr>
        <w:t>307</w:t>
      </w:r>
      <w:r>
        <w:rPr>
          <w:spacing w:val="-2"/>
        </w:rPr>
        <w:t>、</w:t>
      </w:r>
      <w:r>
        <w:rPr>
          <w:rFonts w:ascii="宋体" w:hAnsi="宋体" w:cs="宋体" w:eastAsia="宋体" w:hint="default"/>
          <w:spacing w:val="-2"/>
        </w:rPr>
        <w:t>308</w:t>
      </w:r>
      <w:r>
        <w:rPr>
          <w:spacing w:val="-2"/>
        </w:rPr>
        <w:t>号之一），个人股</w:t>
      </w:r>
      <w:r>
        <w:rPr>
          <w:spacing w:val="-50"/>
        </w:rPr>
        <w:t> </w:t>
      </w:r>
      <w:r>
        <w:rPr>
          <w:spacing w:val="-50"/>
        </w:rPr>
      </w:r>
      <w:r>
        <w:rPr/>
        <w:t>东李欣所持本公司</w:t>
      </w:r>
      <w:r>
        <w:rPr>
          <w:rFonts w:ascii="宋体" w:hAnsi="宋体" w:cs="宋体" w:eastAsia="宋体" w:hint="default"/>
        </w:rPr>
        <w:t>27,813,840</w:t>
      </w:r>
      <w:r>
        <w:rPr/>
        <w:t>股股份已划转至浙江浙商证券资产管理有限公司名下，公司无法通过回购股份收回业绩补偿</w:t>
      </w:r>
      <w:r>
        <w:rPr>
          <w:spacing w:val="-8"/>
        </w:rPr>
        <w:t> </w:t>
      </w:r>
      <w:r>
        <w:rPr>
          <w:spacing w:val="-8"/>
        </w:rPr>
      </w:r>
      <w:r>
        <w:rPr/>
        <w:t>款，公司已于本年将</w:t>
      </w:r>
      <w:r>
        <w:rPr>
          <w:rFonts w:ascii="宋体" w:hAnsi="宋体" w:cs="宋体" w:eastAsia="宋体" w:hint="default"/>
        </w:rPr>
        <w:t>243,449,494.50</w:t>
      </w:r>
      <w:r>
        <w:rPr/>
        <w:t>元转入其他应收款科目，截至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日，业绩补偿款余额为</w:t>
      </w:r>
      <w:r>
        <w:rPr>
          <w:rFonts w:ascii="宋体" w:hAnsi="宋体" w:cs="宋体" w:eastAsia="宋体" w:hint="default"/>
        </w:rPr>
        <w:t>239,359,348.05</w:t>
      </w:r>
      <w:r>
        <w:rPr/>
        <w:t>元， </w:t>
      </w:r>
      <w:r>
        <w:rPr>
          <w:spacing w:val="-2"/>
        </w:rPr>
        <w:t>其具体形成过程详见本附注六、</w:t>
      </w:r>
      <w:r>
        <w:rPr>
          <w:rFonts w:ascii="宋体" w:hAnsi="宋体" w:cs="宋体" w:eastAsia="宋体" w:hint="default"/>
          <w:spacing w:val="-2"/>
        </w:rPr>
        <w:t>2</w:t>
      </w:r>
      <w:r>
        <w:rPr>
          <w:spacing w:val="-2"/>
        </w:rPr>
        <w:t>。目前法院已经强制执行李欣名下的剩余股权和房产，上述可供追偿的财产已经完成拍卖，</w:t>
      </w:r>
      <w:r>
        <w:rPr>
          <w:spacing w:val="-64"/>
        </w:rPr>
        <w:t> </w:t>
      </w:r>
      <w:r>
        <w:rPr>
          <w:spacing w:val="-64"/>
        </w:rPr>
      </w:r>
      <w:r>
        <w:rPr>
          <w:spacing w:val="-2"/>
        </w:rPr>
        <w:t>拍卖所得款项尚在分配过程中，除上述可供追偿的财产外，目前尚未发现李欣有其他可供执行的名下财产，故公司判断上述</w:t>
      </w:r>
      <w:r>
        <w:rPr>
          <w:spacing w:val="-66"/>
        </w:rPr>
        <w:t> </w:t>
      </w:r>
      <w:r>
        <w:rPr>
          <w:spacing w:val="-66"/>
        </w:rPr>
      </w:r>
      <w:r>
        <w:rPr/>
        <w:t>业绩补偿款剩余部分可收回可能性较低，本年对李欣业绩补偿款中无法确定可收回的部分计提了资产减值准备。</w:t>
      </w:r>
    </w:p>
    <w:p>
      <w:pPr>
        <w:spacing w:line="240" w:lineRule="auto" w:before="7"/>
        <w:rPr>
          <w:rFonts w:ascii="宋体" w:hAnsi="宋体" w:cs="宋体" w:eastAsia="宋体" w:hint="default"/>
          <w:sz w:val="22"/>
          <w:szCs w:val="22"/>
        </w:rPr>
      </w:pPr>
    </w:p>
    <w:p>
      <w:pPr>
        <w:spacing w:line="487" w:lineRule="auto" w:before="0"/>
        <w:ind w:left="154" w:right="6792" w:firstLine="0"/>
        <w:jc w:val="left"/>
        <w:rPr>
          <w:rFonts w:ascii="宋体" w:hAnsi="宋体" w:cs="宋体" w:eastAsia="宋体" w:hint="default"/>
          <w:sz w:val="21"/>
          <w:szCs w:val="21"/>
        </w:rPr>
      </w:pPr>
      <w:bookmarkStart w:name="8、其他" w:id="477"/>
      <w:bookmarkEnd w:id="4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78"/>
      <w:bookmarkEnd w:id="47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79"/>
      <w:bookmarkEnd w:id="47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10,821,606.81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1,305,578,798.62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1,010,362,430.84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1,316,400,405.43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1,026,412,430.84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80"/>
      <w:bookmarkEnd w:id="48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10,821,606.81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680"/>
        <w:jc w:val="left"/>
      </w:pPr>
      <w:r>
        <w:rPr>
          <w:rFonts w:ascii="Times New Roman" w:hAnsi="Times New Roman" w:cs="Times New Roman" w:eastAsia="Times New Roman" w:hint="default"/>
        </w:rPr>
        <w:t>2)</w:t>
      </w:r>
      <w:r>
        <w:rPr/>
        <w:t>期末公司已质押的应收票据</w:t>
      </w:r>
      <w:r>
        <w:rPr>
          <w:w w:val="99"/>
        </w:rPr>
        <w:t> </w:t>
      </w:r>
      <w:r>
        <w:rPr/>
        <w:t>不适用</w:t>
      </w:r>
    </w:p>
    <w:p>
      <w:pPr>
        <w:pStyle w:val="BodyText"/>
        <w:spacing w:line="240" w:lineRule="auto" w:before="40"/>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16,426,924.00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17,926,924.00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81"/>
      <w:bookmarkEnd w:id="48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82"/>
      <w:bookmarkEnd w:id="48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1,581,16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9,112.39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275,590,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313.77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1,305,578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,798.62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66,649.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270,704,2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19.10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1,010,362,4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30.84</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1,581,16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275,590,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1,305,578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1,281,0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270,704,2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1,010,362,4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Times New Roman" w:hAnsi="Times New Roman" w:cs="Times New Roman" w:eastAsia="Times New Roman" w:hint="default"/>
                <w:sz w:val="18"/>
                <w:szCs w:val="18"/>
              </w:rPr>
            </w:pPr>
            <w:r>
              <w:rPr>
                <w:rFonts w:ascii="Times New Roman"/>
                <w:sz w:val="18"/>
              </w:rPr>
              <w:t>9,112.39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Times New Roman" w:hAnsi="Times New Roman" w:cs="Times New Roman" w:eastAsia="Times New Roman" w:hint="default"/>
                <w:sz w:val="18"/>
                <w:szCs w:val="18"/>
              </w:rPr>
            </w:pPr>
            <w:r>
              <w:rPr>
                <w:rFonts w:ascii="Times New Roman"/>
                <w:sz w:val="18"/>
              </w:rPr>
              <w:t>313.77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Times New Roman" w:hAnsi="Times New Roman" w:cs="Times New Roman" w:eastAsia="Times New Roman" w:hint="default"/>
                <w:sz w:val="18"/>
                <w:szCs w:val="18"/>
              </w:rPr>
            </w:pPr>
            <w:r>
              <w:rPr>
                <w:rFonts w:ascii="Times New Roman"/>
                <w:sz w:val="18"/>
              </w:rPr>
              <w:t>,798.62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5" w:right="0"/>
              <w:jc w:val="left"/>
              <w:rPr>
                <w:rFonts w:ascii="Times New Roman" w:hAnsi="Times New Roman" w:cs="Times New Roman" w:eastAsia="Times New Roman" w:hint="default"/>
                <w:sz w:val="18"/>
                <w:szCs w:val="18"/>
              </w:rPr>
            </w:pPr>
            <w:r>
              <w:rPr>
                <w:rFonts w:ascii="Times New Roman"/>
                <w:sz w:val="18"/>
              </w:rPr>
              <w:t>19.10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4" w:right="0"/>
              <w:jc w:val="left"/>
              <w:rPr>
                <w:rFonts w:ascii="Times New Roman" w:hAnsi="Times New Roman" w:cs="Times New Roman" w:eastAsia="Times New Roman" w:hint="default"/>
                <w:sz w:val="18"/>
                <w:szCs w:val="18"/>
              </w:rPr>
            </w:pPr>
            <w:r>
              <w:rPr>
                <w:rFonts w:ascii="Times New Roman"/>
                <w:sz w:val="18"/>
              </w:rPr>
              <w:t>30.84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1,004,720,398.01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50,236,019.91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165,517,641.81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16,551,764.17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119,206,945.73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23,841,389.15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118,674,935.51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59,337,467.78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94,851,037.18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47,425,518.61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78,198,154.15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78,198,154.15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1,581,169,112.39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275,590,313.77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w:t>
            </w:r>
          </w:p>
        </w:tc>
      </w:tr>
    </w:tbl>
    <w:p>
      <w:pPr>
        <w:pStyle w:val="BodyText"/>
        <w:spacing w:line="360" w:lineRule="auto" w:before="51"/>
        <w:ind w:right="6432"/>
        <w:jc w:val="left"/>
      </w:pPr>
      <w:r>
        <w:rPr/>
        <w:t>确定该组合依据的说明： 组合中，采用余额百分比法计提坏账准备的应收账款：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2"/>
        <w:ind w:right="4460"/>
        <w:jc w:val="left"/>
      </w:pPr>
      <w:r>
        <w:rPr/>
        <w:t>本期计提坏账准备金额</w:t>
      </w:r>
      <w:r>
        <w:rPr>
          <w:spacing w:val="-47"/>
        </w:rPr>
        <w:t> </w:t>
      </w:r>
      <w:r>
        <w:rPr>
          <w:rFonts w:ascii="Times New Roman" w:hAnsi="Times New Roman" w:cs="Times New Roman" w:eastAsia="Times New Roman" w:hint="default"/>
        </w:rPr>
        <w:t>4,886,094.67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348" w:lineRule="auto" w:before="40"/>
        <w:ind w:right="8262"/>
        <w:jc w:val="left"/>
      </w:pPr>
      <w:r>
        <w:rPr/>
        <w:t>不适用 </w:t>
      </w:r>
      <w:r>
        <w:rPr>
          <w:rFonts w:ascii="Times New Roman" w:hAnsi="Times New Roman" w:cs="Times New Roman" w:eastAsia="Times New Roman" w:hint="default"/>
        </w:rPr>
        <w:t>3)</w:t>
      </w:r>
      <w:r>
        <w:rPr/>
        <w:t>本期实际核销的应收账款情况 不适用</w:t>
      </w:r>
    </w:p>
    <w:p>
      <w:pPr>
        <w:pStyle w:val="BodyText"/>
        <w:spacing w:line="328" w:lineRule="auto" w:before="35"/>
        <w:ind w:right="0"/>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2"/>
          <w:w w:val="99"/>
        </w:rPr>
        <w:t>本公司本年按欠款方归集的年末余额前五名应收账款汇总金额</w:t>
      </w:r>
      <w:r>
        <w:rPr>
          <w:rFonts w:ascii="宋体" w:hAnsi="宋体" w:cs="宋体" w:eastAsia="宋体" w:hint="default"/>
          <w:spacing w:val="-2"/>
          <w:w w:val="99"/>
        </w:rPr>
        <w:t>136,899,757.83</w:t>
      </w:r>
      <w:r>
        <w:rPr>
          <w:spacing w:val="-2"/>
          <w:w w:val="99"/>
        </w:rPr>
        <w:t>元，占应收账款年末余额合计数的比例</w:t>
      </w:r>
      <w:r>
        <w:rPr>
          <w:rFonts w:ascii="宋体" w:hAnsi="宋体" w:cs="宋体" w:eastAsia="宋体" w:hint="default"/>
          <w:spacing w:val="-2"/>
          <w:w w:val="99"/>
        </w:rPr>
        <w:t>8.66%</w:t>
      </w:r>
      <w:r>
        <w:rPr>
          <w:spacing w:val="-2"/>
          <w:w w:val="99"/>
        </w:rPr>
        <w:t>，</w:t>
      </w:r>
      <w:r>
        <w:rPr>
          <w:spacing w:val="-44"/>
          <w:w w:val="99"/>
        </w:rPr>
        <w:t> </w:t>
      </w:r>
      <w:r>
        <w:rPr/>
        <w:t>相应计提的坏账准备年末余额汇总金额</w:t>
      </w:r>
      <w:r>
        <w:rPr>
          <w:rFonts w:ascii="宋体" w:hAnsi="宋体" w:cs="宋体" w:eastAsia="宋体" w:hint="default"/>
        </w:rPr>
        <w:t>7,162,612.89</w:t>
      </w:r>
      <w:r>
        <w:rPr/>
        <w:t>元。</w:t>
      </w:r>
    </w:p>
    <w:p>
      <w:pPr>
        <w:pStyle w:val="BodyText"/>
        <w:spacing w:line="240" w:lineRule="auto" w:before="50"/>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其他应收款" w:id="483"/>
      <w:bookmarkEnd w:id="48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665,913,614.36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718,034,297.93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665,913,614.36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718,034,297.93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84"/>
      <w:bookmarkEnd w:id="48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345" w:lineRule="auto"/>
        <w:ind w:right="9522"/>
        <w:jc w:val="left"/>
      </w:pPr>
      <w:r>
        <w:rPr>
          <w:rFonts w:ascii="Times New Roman" w:hAnsi="Times New Roman" w:cs="Times New Roman" w:eastAsia="Times New Roman" w:hint="default"/>
        </w:rPr>
        <w:t>1)</w:t>
      </w:r>
      <w:r>
        <w:rPr/>
        <w:t>应收利息分类</w:t>
      </w:r>
      <w:r>
        <w:rPr>
          <w:w w:val="99"/>
        </w:rPr>
        <w:t> </w:t>
      </w:r>
      <w:r>
        <w:rPr/>
        <w:t>不适用</w:t>
      </w:r>
      <w:r>
        <w:rPr>
          <w:w w:val="99"/>
        </w:rPr>
        <w:t> </w:t>
      </w:r>
      <w:r>
        <w:rPr>
          <w:rFonts w:ascii="Times New Roman" w:hAnsi="Times New Roman" w:cs="Times New Roman" w:eastAsia="Times New Roman" w:hint="default"/>
        </w:rPr>
        <w:t>2)</w:t>
      </w:r>
      <w:r>
        <w:rPr/>
        <w:t>重要逾期利息</w:t>
      </w:r>
      <w:r>
        <w:rPr>
          <w:w w:val="99"/>
        </w:rPr>
        <w:t> </w:t>
      </w:r>
      <w:r>
        <w:rPr/>
        <w:t>不适用</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应收股利" w:id="485"/>
      <w:bookmarkEnd w:id="48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882"/>
        <w:jc w:val="left"/>
      </w:pPr>
      <w:r>
        <w:rPr>
          <w:rFonts w:ascii="Times New Roman" w:hAnsi="Times New Roman" w:cs="Times New Roman" w:eastAsia="Times New Roman" w:hint="default"/>
        </w:rPr>
        <w:t>1)</w:t>
      </w:r>
      <w:r>
        <w:rPr/>
        <w:t>应收股利</w:t>
      </w:r>
      <w:r>
        <w:rPr>
          <w:w w:val="99"/>
        </w:rPr>
        <w:t> </w:t>
      </w:r>
      <w:r>
        <w:rPr/>
        <w:t>不适用</w:t>
      </w:r>
    </w:p>
    <w:p>
      <w:pPr>
        <w:pStyle w:val="BodyText"/>
        <w:spacing w:line="338" w:lineRule="auto" w:before="40"/>
        <w:ind w:right="80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w w:val="99"/>
        </w:rPr>
        <w:t> </w:t>
      </w:r>
      <w:r>
        <w:rPr/>
        <w:t>不适用</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其他应收款" w:id="486"/>
      <w:bookmarkEnd w:id="48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239,359,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348.05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233,959,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348.05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770,960,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369.28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110,446,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754.92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14.33%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660,513,6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838,287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,463.15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120,253,1</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65.22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718,034,29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286,099.2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1,010,60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5,816.57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344,692,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202.21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34.11%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665,913,6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14.36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838,573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,562.39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120,539,2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64.46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718,034,29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7.93</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756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239,359,348.05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233,959,348.05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收回可能性较低</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239,359,348.05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233,959,348.05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559,765,360.06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27,988,268.03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93,149,651.56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9,314,965.15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28,004,285.38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5,600,857.08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21,532,610.51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10,766,305.28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23,464,204.83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11,732,102.44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45,044,256.94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45,044,256.94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770,960,369.28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110,446,754.92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959"/>
        <w:jc w:val="left"/>
      </w:pPr>
      <w:r>
        <w:rPr/>
        <w:t>确定该组合依据的说明： 组合中，采用余额百分比法计提坏账准备的其他应收款：</w:t>
      </w:r>
    </w:p>
    <w:p>
      <w:pPr>
        <w:pStyle w:val="BodyText"/>
        <w:spacing w:line="338" w:lineRule="auto" w:before="26"/>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4"/>
        <w:jc w:val="left"/>
      </w:pPr>
      <w:r>
        <w:rPr/>
        <w:t>本期计提坏账准备金额</w:t>
      </w:r>
      <w:r>
        <w:rPr>
          <w:spacing w:val="-47"/>
        </w:rPr>
        <w:t> </w:t>
      </w:r>
      <w:r>
        <w:rPr>
          <w:rFonts w:ascii="Times New Roman" w:hAnsi="Times New Roman" w:cs="Times New Roman" w:eastAsia="Times New Roman" w:hint="default"/>
        </w:rPr>
        <w:t>224,152,937.75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352" w:lineRule="auto" w:before="40"/>
        <w:ind w:right="3759"/>
        <w:jc w:val="left"/>
      </w:pPr>
      <w:r>
        <w:rPr/>
        <w:t>不适用 </w:t>
      </w:r>
      <w:r>
        <w:rPr>
          <w:rFonts w:ascii="Times New Roman" w:hAnsi="Times New Roman" w:cs="Times New Roman" w:eastAsia="Times New Roman" w:hint="default"/>
        </w:rPr>
        <w:t>3)</w:t>
      </w:r>
      <w:r>
        <w:rPr/>
        <w:t>本期实际核销的其他应收款情况 不适用 其中重要的其他应收款核销情况： 不适用</w:t>
      </w:r>
    </w:p>
    <w:p>
      <w:pPr>
        <w:pStyle w:val="BodyText"/>
        <w:spacing w:line="240" w:lineRule="auto" w:before="32"/>
        <w:ind w:right="-14"/>
        <w:jc w:val="left"/>
      </w:pPr>
      <w:r>
        <w:rPr/>
        <w:t>其他应收款核销说明：</w:t>
      </w:r>
    </w:p>
    <w:p>
      <w:pPr>
        <w:pStyle w:val="BodyText"/>
        <w:spacing w:line="240" w:lineRule="auto" w:before="116"/>
        <w:ind w:right="-14"/>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153" w:right="0"/>
        <w:jc w:val="left"/>
      </w:pPr>
      <w:r>
        <w:rPr/>
        <w:t>单位： 元</w:t>
      </w:r>
    </w:p>
    <w:p>
      <w:pPr>
        <w:spacing w:after="0" w:line="240" w:lineRule="auto"/>
        <w:jc w:val="left"/>
        <w:sectPr>
          <w:type w:val="continuous"/>
          <w:pgSz w:w="11910" w:h="16840"/>
          <w:pgMar w:top="1060" w:bottom="1160" w:left="980" w:right="0"/>
          <w:cols w:num="2" w:equalWidth="0">
            <w:col w:w="6634" w:space="219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579,919,874.97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505,325,344.28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5,702,574.47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7,313,453.08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138,690,594.64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175,622,440.03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5,933,424.44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16,662,325.00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1,010,605,816.57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838,573,562.39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239,359,348.05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233,959,348.05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浙江银江智慧交通集 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212,460,282.96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10,623,014.15</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银江股份（香港）有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92,284,160.00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57,120,000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35,164,160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6,372,416.00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杭州银江智慧健康集 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87,551,007.21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4,377,550.36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浙江开达装饰工程有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667,654,798.22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257,132,328.56</w:t>
            </w: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不适用</w:t>
      </w:r>
    </w:p>
    <w:p>
      <w:pPr>
        <w:pStyle w:val="BodyText"/>
        <w:spacing w:line="338" w:lineRule="auto" w:before="43"/>
        <w:ind w:right="7362"/>
        <w:jc w:val="left"/>
      </w:pPr>
      <w:r>
        <w:rPr>
          <w:rFonts w:ascii="Times New Roman" w:hAnsi="Times New Roman" w:cs="Times New Roman" w:eastAsia="Times New Roman" w:hint="default"/>
        </w:rPr>
        <w:t>7)</w:t>
      </w:r>
      <w:r>
        <w:rPr/>
        <w:t>因金融资产转移而终止确认的其他应收款</w:t>
      </w:r>
      <w:r>
        <w:rPr>
          <w:w w:val="99"/>
        </w:rPr>
        <w:t> </w:t>
      </w:r>
      <w:r>
        <w:rPr/>
        <w:t>不适用</w:t>
      </w:r>
    </w:p>
    <w:p>
      <w:pPr>
        <w:pStyle w:val="BodyText"/>
        <w:spacing w:line="340" w:lineRule="auto" w:before="4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487"/>
      <w:bookmarkEnd w:id="48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372,061,198.91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372,061,198.91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357,181,198.91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357,181,198.91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554,598,342.12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554,598,342.12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344,649,671.14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344,649,671.14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926,659,541.03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926,659,541.03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701,830,870.05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701,830,870.05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88"/>
      <w:bookmarkEnd w:id="48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994"/>
        <w:gridCol w:w="991"/>
        <w:gridCol w:w="1277"/>
        <w:gridCol w:w="850"/>
        <w:gridCol w:w="919"/>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96,996,059.43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96,996,059.43</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58,132,339.48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58,132,339.48</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吉林银江信息技术有限公司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18,602,800.00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18,602,800.00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青岛银江智慧城市技术有限公司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东丰银江智慧城市技术有限公司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39,001,189.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39,001,189.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银江股份（香港）有限公司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357,181,198.91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53,881,189.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39,001,189.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372,061,198.91</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89"/>
      <w:bookmarkEnd w:id="48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4,401,684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-129,085.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4,272,598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（有限合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276,851,0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-21,039,3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56.70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482,811,6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63.97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8,905,755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-240,358.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8,665,396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24,925,94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-1,232,26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23,693,68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29,565,26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-1,659,38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27,905,88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浙江交通 宝互联网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-261,581.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7,510,702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7,249,120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344,649,6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-24,562,0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7,510,702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554,598,3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344,649,6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-24,562,0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7,510,702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554,598,3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90"/>
      <w:bookmarkEnd w:id="49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t>注：浙江交通宝互联网技术有限公司上年为本公司全资子公司，公司本年出售其</w:t>
      </w:r>
      <w:r>
        <w:rPr>
          <w:rFonts w:ascii="宋体" w:hAnsi="宋体" w:cs="宋体" w:eastAsia="宋体" w:hint="default"/>
        </w:rPr>
        <w:t>80%</w:t>
      </w:r>
      <w:r>
        <w:rPr/>
        <w:t>的股权，本年对其的剩余投资转换为权 </w:t>
      </w:r>
      <w:r>
        <w:rPr>
          <w:spacing w:val="-2"/>
        </w:rPr>
        <w:t>益法核算，成本法转入权益法核算时投资成本为</w:t>
      </w:r>
      <w:r>
        <w:rPr>
          <w:rFonts w:ascii="宋体" w:hAnsi="宋体" w:cs="宋体" w:eastAsia="宋体" w:hint="default"/>
          <w:spacing w:val="-2"/>
        </w:rPr>
        <w:t>7,800,237.86</w:t>
      </w:r>
      <w:r>
        <w:rPr>
          <w:spacing w:val="-2"/>
        </w:rPr>
        <w:t>元，按照权益法追溯确认剩余持股比例的以前年度的投资收益</w:t>
      </w:r>
    </w:p>
    <w:p>
      <w:pPr>
        <w:pStyle w:val="BodyText"/>
        <w:spacing w:line="240" w:lineRule="auto" w:before="19"/>
        <w:ind w:right="0"/>
        <w:jc w:val="left"/>
      </w:pPr>
      <w:r>
        <w:rPr>
          <w:rFonts w:ascii="宋体" w:hAnsi="宋体" w:cs="宋体" w:eastAsia="宋体" w:hint="default"/>
        </w:rPr>
        <w:t>-289,535.86</w:t>
      </w:r>
      <w:r>
        <w:rPr/>
        <w:t>元，对应调整本公司年初未分配利润。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491"/>
      <w:bookmarkEnd w:id="49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2,373,386,686.21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1,779,907,250.93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1,865,349,968.98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1,383,628,474.96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8,826,368.85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4,674,402.17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2,661,123.10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2,059,859.73</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2,382,213,055.06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1,784,581,653.10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1,868,011,092.08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1,385,688,334.69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92"/>
      <w:bookmarkEnd w:id="49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-24,562,031.02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-12,840,137.69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48,799,048.54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-1,108,356.23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586,615.92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879,923.88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51,624,340.00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76,447,973.44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-13,068,570.04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93"/>
      <w:bookmarkEnd w:id="49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94"/>
      <w:bookmarkEnd w:id="49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95"/>
      <w:bookmarkEnd w:id="49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63,595,878.81</w:t>
            </w:r>
          </w:p>
        </w:tc>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处置长期及可供产生的投资收益</w:t>
            </w:r>
          </w:p>
        </w:tc>
      </w:tr>
      <w:tr>
        <w:trPr>
          <w:trHeight w:val="391"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2,469,345.27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51,624,340.00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-227,528.69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-233,959,348.05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主要是计提李欣坏账导致</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-19,796,111.71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-3,397.73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-96,697,803.22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96"/>
      <w:bookmarkEnd w:id="49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97"/>
      <w:bookmarkEnd w:id="49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98"/>
      <w:bookmarkEnd w:id="49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99"/>
      <w:bookmarkEnd w:id="49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00"/>
      <w:bookmarkEnd w:id="50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01"/>
      <w:bookmarkEnd w:id="50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02"/>
      <w:bookmarkEnd w:id="502"/>
      <w:r>
        <w:rPr>
          <w:b w:val="0"/>
          <w:bCs w:val="0"/>
        </w:rPr>
      </w:r>
      <w:bookmarkStart w:name="_bookmark11" w:id="503"/>
      <w:bookmarkEnd w:id="503"/>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5"/>
        <w:ind w:right="1572"/>
        <w:jc w:val="left"/>
      </w:pPr>
      <w:r>
        <w:rPr/>
        <w:t>一、载有公司负责人、主管会计工作的公司负责人、公司会计机构负责人（会计主管人员）签名并盖章的财务报表。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pStyle w:val="BodyText"/>
        <w:spacing w:line="477" w:lineRule="auto" w:before="54"/>
        <w:ind w:right="6612"/>
        <w:jc w:val="left"/>
      </w:pPr>
      <w:r>
        <w:rPr/>
        <w:t>四、其他相关资料。 以上备查文件的备置地点：公司证券管理部办公室。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77" w:lineRule="auto" w:before="124"/>
        <w:ind w:left="8173" w:right="1130" w:firstLine="180"/>
        <w:jc w:val="right"/>
      </w:pPr>
      <w:r>
        <w:rPr/>
        <w:t>银江股份有限公司 法定代表人：章建强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19</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224" type="#_x0000_t75" stroked="false">
          <v:imagedata r:id="rId1" o:title=""/>
        </v:shape>
      </w:pict>
    </w:r>
    <w:r>
      <w:rPr/>
      <w:pict>
        <v:shape style="position:absolute;margin-left:294.420013pt;margin-top:795.517944pt;width:6.5pt;height:11pt;mso-position-horizontal-relative:page;mso-position-vertical-relative:page;z-index:-1157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176" type="#_x0000_t75" stroked="false">
          <v:imagedata r:id="rId1" o:title=""/>
        </v:shape>
      </w:pict>
    </w:r>
    <w:r>
      <w:rPr/>
      <w:pict>
        <v:shape style="position:absolute;margin-left:291.200012pt;margin-top:781.957947pt;width:13pt;height:11pt;mso-position-horizontal-relative:page;mso-position-vertical-relative:page;z-index:-1157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128" type="#_x0000_t75" stroked="false">
          <v:imagedata r:id="rId1" o:title=""/>
        </v:shape>
      </w:pict>
    </w:r>
    <w:r>
      <w:rPr/>
      <w:pict>
        <v:shape style="position:absolute;margin-left:55.700001pt;margin-top:758.485596pt;width:483.95pt;height:11pt;mso-position-horizontal-relative:page;mso-position-vertical-relative:page;z-index:-1157104" type="#_x0000_t202" filled="false" stroked="false">
          <v:textbox inset="0,0,0,0">
            <w:txbxContent>
              <w:p>
                <w:pPr>
                  <w:pStyle w:val="BodyText"/>
                  <w:spacing w:line="200" w:lineRule="exact"/>
                  <w:ind w:left="20" w:right="0"/>
                  <w:jc w:val="left"/>
                </w:pPr>
                <w:r>
                  <w:rPr>
                    <w:spacing w:val="-2"/>
                  </w:rPr>
                  <w:t>采用与被购买方直接处置相关资产或负债相同的基础进行会计处理（即，除了按照权益法核算的在被购买方重新计量设定受</w:t>
                </w:r>
              </w:p>
            </w:txbxContent>
          </v:textbox>
          <w10:wrap type="none"/>
        </v:shape>
      </w:pict>
    </w:r>
    <w:r>
      <w:rPr/>
      <w:pict>
        <v:shape style="position:absolute;margin-left:291.200012pt;margin-top:781.957947pt;width:13pt;height:11pt;mso-position-horizontal-relative:page;mso-position-vertical-relative:page;z-index:-1157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056" type="#_x0000_t75" stroked="false">
          <v:imagedata r:id="rId1" o:title=""/>
        </v:shape>
      </w:pict>
    </w:r>
    <w:r>
      <w:rPr/>
      <w:pict>
        <v:shape style="position:absolute;margin-left:291.200012pt;margin-top:781.957947pt;width:13pt;height:11pt;mso-position-horizontal-relative:page;mso-position-vertical-relative:page;z-index:-1157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7008" type="#_x0000_t75" stroked="false">
          <v:imagedata r:id="rId1" o:title=""/>
        </v:shape>
      </w:pict>
    </w:r>
    <w:r>
      <w:rPr/>
      <w:pict>
        <v:shape style="position:absolute;margin-left:289.920013pt;margin-top:781.957947pt;width:15.5pt;height:11pt;mso-position-horizontal-relative:page;mso-position-vertical-relative:page;z-index:-1156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6960" type="#_x0000_t75" stroked="false">
          <v:imagedata r:id="rId1" o:title=""/>
        </v:shape>
      </w:pict>
    </w:r>
    <w:r>
      <w:rPr/>
      <w:pict>
        <v:shape style="position:absolute;margin-left:288.920013pt;margin-top:781.957947pt;width:17.5pt;height:11pt;mso-position-horizontal-relative:page;mso-position-vertical-relative:page;z-index:-1156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157248"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2"/>
      <w:ind w:left="154"/>
    </w:pPr>
    <w:rPr>
      <w:rFonts w:ascii="宋体" w:hAnsi="宋体" w:eastAsia="宋体"/>
      <w:b/>
      <w:bCs/>
      <w:sz w:val="21"/>
      <w:szCs w:val="21"/>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96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64"/>
      <w:ind w:left="154"/>
      <w:outlineLvl w:val="4"/>
    </w:pPr>
    <w:rPr>
      <w:rFonts w:ascii="宋体" w:hAnsi="宋体" w:eastAsia="宋体"/>
      <w:i/>
      <w:sz w:val="19"/>
      <w:szCs w:val="19"/>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enjoyor.net/" TargetMode="External"/><Relationship Id="rId10" Type="http://schemas.openxmlformats.org/officeDocument/2006/relationships/hyperlink" Target="mailto:enjoyor@enjoyor.net"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银江股份有限公司</dc:creator>
  <dc:title>银江股份有限公司2018年年度报告全文</dc:title>
  <dcterms:created xsi:type="dcterms:W3CDTF">2020-05-05T00:15:13Z</dcterms:created>
  <dcterms:modified xsi:type="dcterms:W3CDTF">2020-05-05T00:15:13Z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2020-05-04T00:00:00Z</vt:filetime>
  </property>
</Properties>
</file>