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437" w:lineRule="exact"/>
        <w:ind w:left="343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1954514" cy="278034"/>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954514" cy="278034"/>
                    </a:xfrm>
                    <a:prstGeom prst="rect">
                      <a:avLst/>
                    </a:prstGeom>
                  </pic:spPr>
                </pic:pic>
              </a:graphicData>
            </a:graphic>
          </wp:inline>
        </w:drawing>
      </w:r>
      <w:r>
        <w:rPr>
          <w:rFonts w:ascii="Times New Roman" w:hAnsi="Times New Roman" w:cs="Times New Roman" w:eastAsia="Times New Roman" w:hint="default"/>
          <w:position w:val="-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8"/>
          <w:szCs w:val="28"/>
        </w:rPr>
      </w:pPr>
    </w:p>
    <w:p>
      <w:pPr>
        <w:spacing w:line="580" w:lineRule="exact" w:before="0"/>
        <w:ind w:left="0" w:right="981" w:firstLine="0"/>
        <w:jc w:val="center"/>
        <w:rPr>
          <w:rFonts w:ascii="宋体" w:hAnsi="宋体" w:cs="宋体" w:eastAsia="宋体" w:hint="default"/>
          <w:sz w:val="48"/>
          <w:szCs w:val="48"/>
        </w:rPr>
      </w:pPr>
      <w:r>
        <w:rPr>
          <w:rFonts w:ascii="宋体" w:hAnsi="宋体" w:cs="宋体" w:eastAsia="宋体" w:hint="default"/>
          <w:b/>
          <w:bCs/>
          <w:sz w:val="48"/>
          <w:szCs w:val="48"/>
        </w:rPr>
        <w:t>银江股份有限公司</w:t>
      </w:r>
      <w:r>
        <w:rPr>
          <w:rFonts w:ascii="宋体" w:hAnsi="宋体" w:cs="宋体" w:eastAsia="宋体" w:hint="default"/>
          <w:sz w:val="48"/>
          <w:szCs w:val="48"/>
        </w:rPr>
      </w:r>
    </w:p>
    <w:p>
      <w:pPr>
        <w:spacing w:before="409"/>
        <w:ind w:left="0" w:right="981" w:firstLine="0"/>
        <w:jc w:val="center"/>
        <w:rPr>
          <w:rFonts w:ascii="宋体" w:hAnsi="宋体" w:cs="宋体" w:eastAsia="宋体" w:hint="default"/>
          <w:sz w:val="40"/>
          <w:szCs w:val="40"/>
        </w:rPr>
      </w:pPr>
      <w:r>
        <w:rPr>
          <w:rFonts w:ascii="宋体" w:hAnsi="宋体" w:cs="宋体" w:eastAsia="宋体" w:hint="default"/>
          <w:b/>
          <w:bCs/>
          <w:sz w:val="40"/>
          <w:szCs w:val="40"/>
        </w:rPr>
        <w:t>2019</w:t>
      </w:r>
      <w:r>
        <w:rPr>
          <w:rFonts w:ascii="宋体" w:hAnsi="宋体" w:cs="宋体" w:eastAsia="宋体" w:hint="default"/>
          <w:b/>
          <w:bCs/>
          <w:spacing w:val="-102"/>
          <w:sz w:val="40"/>
          <w:szCs w:val="40"/>
        </w:rPr>
        <w:t> </w:t>
      </w:r>
      <w:r>
        <w:rPr>
          <w:rFonts w:ascii="宋体" w:hAnsi="宋体" w:cs="宋体" w:eastAsia="宋体" w:hint="default"/>
          <w:b/>
          <w:bCs/>
          <w:sz w:val="40"/>
          <w:szCs w:val="40"/>
        </w:rPr>
        <w:t>年年度报告</w:t>
      </w:r>
      <w:r>
        <w:rPr>
          <w:rFonts w:ascii="宋体" w:hAnsi="宋体" w:cs="宋体" w:eastAsia="宋体" w:hint="default"/>
          <w:sz w:val="40"/>
          <w:szCs w:val="40"/>
        </w:rPr>
      </w:r>
    </w:p>
    <w:p>
      <w:pPr>
        <w:spacing w:line="240" w:lineRule="auto" w:before="0"/>
        <w:rPr>
          <w:rFonts w:ascii="宋体" w:hAnsi="宋体" w:cs="宋体" w:eastAsia="宋体" w:hint="default"/>
          <w:b/>
          <w:bCs/>
          <w:sz w:val="40"/>
          <w:szCs w:val="40"/>
        </w:rPr>
      </w:pPr>
    </w:p>
    <w:p>
      <w:pPr>
        <w:spacing w:line="240" w:lineRule="auto" w:before="0"/>
        <w:rPr>
          <w:rFonts w:ascii="宋体" w:hAnsi="宋体" w:cs="宋体" w:eastAsia="宋体" w:hint="default"/>
          <w:b/>
          <w:bCs/>
          <w:sz w:val="40"/>
          <w:szCs w:val="40"/>
        </w:rPr>
      </w:pPr>
    </w:p>
    <w:p>
      <w:pPr>
        <w:spacing w:line="240" w:lineRule="auto" w:before="0"/>
        <w:rPr>
          <w:rFonts w:ascii="宋体" w:hAnsi="宋体" w:cs="宋体" w:eastAsia="宋体" w:hint="default"/>
          <w:b/>
          <w:bCs/>
          <w:sz w:val="40"/>
          <w:szCs w:val="40"/>
        </w:rPr>
      </w:pPr>
    </w:p>
    <w:p>
      <w:pPr>
        <w:spacing w:line="240" w:lineRule="auto" w:before="0"/>
        <w:rPr>
          <w:rFonts w:ascii="宋体" w:hAnsi="宋体" w:cs="宋体" w:eastAsia="宋体" w:hint="default"/>
          <w:b/>
          <w:bCs/>
          <w:sz w:val="40"/>
          <w:szCs w:val="40"/>
        </w:rPr>
      </w:pPr>
    </w:p>
    <w:p>
      <w:pPr>
        <w:spacing w:line="240" w:lineRule="auto" w:before="0"/>
        <w:rPr>
          <w:rFonts w:ascii="宋体" w:hAnsi="宋体" w:cs="宋体" w:eastAsia="宋体" w:hint="default"/>
          <w:b/>
          <w:bCs/>
          <w:sz w:val="40"/>
          <w:szCs w:val="40"/>
        </w:rPr>
      </w:pPr>
    </w:p>
    <w:p>
      <w:pPr>
        <w:spacing w:line="240" w:lineRule="auto" w:before="0"/>
        <w:rPr>
          <w:rFonts w:ascii="宋体" w:hAnsi="宋体" w:cs="宋体" w:eastAsia="宋体" w:hint="default"/>
          <w:b/>
          <w:bCs/>
          <w:sz w:val="40"/>
          <w:szCs w:val="40"/>
        </w:rPr>
      </w:pPr>
    </w:p>
    <w:p>
      <w:pPr>
        <w:spacing w:line="240" w:lineRule="auto" w:before="0"/>
        <w:rPr>
          <w:rFonts w:ascii="宋体" w:hAnsi="宋体" w:cs="宋体" w:eastAsia="宋体" w:hint="default"/>
          <w:b/>
          <w:bCs/>
          <w:sz w:val="40"/>
          <w:szCs w:val="40"/>
        </w:rPr>
      </w:pPr>
    </w:p>
    <w:p>
      <w:pPr>
        <w:spacing w:line="240" w:lineRule="auto" w:before="0"/>
        <w:rPr>
          <w:rFonts w:ascii="宋体" w:hAnsi="宋体" w:cs="宋体" w:eastAsia="宋体" w:hint="default"/>
          <w:b/>
          <w:bCs/>
          <w:sz w:val="40"/>
          <w:szCs w:val="40"/>
        </w:rPr>
      </w:pPr>
    </w:p>
    <w:p>
      <w:pPr>
        <w:spacing w:line="240" w:lineRule="auto" w:before="0"/>
        <w:rPr>
          <w:rFonts w:ascii="宋体" w:hAnsi="宋体" w:cs="宋体" w:eastAsia="宋体" w:hint="default"/>
          <w:b/>
          <w:bCs/>
          <w:sz w:val="40"/>
          <w:szCs w:val="40"/>
        </w:rPr>
      </w:pPr>
    </w:p>
    <w:p>
      <w:pPr>
        <w:spacing w:line="240" w:lineRule="auto" w:before="0"/>
        <w:rPr>
          <w:rFonts w:ascii="宋体" w:hAnsi="宋体" w:cs="宋体" w:eastAsia="宋体" w:hint="default"/>
          <w:b/>
          <w:bCs/>
          <w:sz w:val="40"/>
          <w:szCs w:val="40"/>
        </w:rPr>
      </w:pPr>
    </w:p>
    <w:p>
      <w:pPr>
        <w:spacing w:line="240" w:lineRule="auto" w:before="11"/>
        <w:rPr>
          <w:rFonts w:ascii="宋体" w:hAnsi="宋体" w:cs="宋体" w:eastAsia="宋体" w:hint="default"/>
          <w:b/>
          <w:bCs/>
          <w:sz w:val="58"/>
          <w:szCs w:val="58"/>
        </w:rPr>
      </w:pPr>
    </w:p>
    <w:p>
      <w:pPr>
        <w:spacing w:before="0"/>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33"/>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公司负责人王腾、主管会计工作负责人任刚要及会计机构负责人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欧阳文根声明：保证年度报告中财务报告的真实、准确、完整。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公司存在政策性风险、核心人员流失风险、智慧城市业务模式的风险、投</w:t>
      </w:r>
      <w:r>
        <w:rPr>
          <w:rFonts w:ascii="宋体" w:hAnsi="宋体" w:cs="宋体" w:eastAsia="宋体" w:hint="default"/>
          <w:spacing w:val="2"/>
          <w:sz w:val="28"/>
          <w:szCs w:val="28"/>
        </w:rPr>
      </w:r>
    </w:p>
    <w:p>
      <w:pPr>
        <w:spacing w:line="398" w:lineRule="auto" w:before="0"/>
        <w:ind w:left="152" w:right="1133" w:firstLine="0"/>
        <w:jc w:val="both"/>
        <w:rPr>
          <w:rFonts w:ascii="宋体" w:hAnsi="宋体" w:cs="宋体" w:eastAsia="宋体" w:hint="default"/>
          <w:sz w:val="28"/>
          <w:szCs w:val="28"/>
        </w:rPr>
      </w:pPr>
      <w:r>
        <w:rPr>
          <w:rFonts w:ascii="宋体" w:hAnsi="宋体" w:cs="宋体" w:eastAsia="宋体" w:hint="default"/>
          <w:b/>
          <w:bCs/>
          <w:spacing w:val="2"/>
          <w:sz w:val="28"/>
          <w:szCs w:val="28"/>
        </w:rPr>
        <w:t>资并购及管理风险、商业模式创新风险、诉讼结果不确定的风险等风险，敬请</w:t>
      </w:r>
      <w:r>
        <w:rPr>
          <w:rFonts w:ascii="宋体" w:hAnsi="宋体" w:cs="宋体" w:eastAsia="宋体" w:hint="default"/>
          <w:b/>
          <w:bCs/>
          <w:w w:val="99"/>
          <w:sz w:val="28"/>
          <w:szCs w:val="28"/>
        </w:rPr>
        <w:t> </w:t>
      </w:r>
      <w:r>
        <w:rPr>
          <w:rFonts w:ascii="宋体" w:hAnsi="宋体" w:cs="宋体" w:eastAsia="宋体" w:hint="default"/>
          <w:b/>
          <w:bCs/>
          <w:spacing w:val="2"/>
          <w:sz w:val="28"/>
          <w:szCs w:val="28"/>
        </w:rPr>
        <w:t>广大投资者注意投资风险。详细内容见本报告</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第四节经营情况讨论与分析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之</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九、公司未来发展的展望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之</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（三）风险因素</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before="13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8"/>
          <w:sz w:val="28"/>
          <w:szCs w:val="28"/>
        </w:rPr>
        <w:t> </w:t>
      </w:r>
      <w:r>
        <w:rPr>
          <w:rFonts w:ascii="Times New Roman" w:hAnsi="Times New Roman" w:cs="Times New Roman" w:eastAsia="Times New Roman" w:hint="default"/>
          <w:b/>
          <w:bCs/>
          <w:sz w:val="28"/>
          <w:szCs w:val="28"/>
        </w:rPr>
        <w:t>655,789,086</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w w:val="100"/>
          <w:sz w:val="28"/>
          <w:szCs w:val="28"/>
        </w:rPr>
        <w:t>3</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tabs>
          <w:tab w:pos="724" w:val="left" w:leader="none"/>
        </w:tabs>
        <w:spacing w:line="460" w:lineRule="exact" w:before="0"/>
        <w:ind w:left="0" w:right="978"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9"/>
          <w:szCs w:val="49"/>
        </w:rPr>
      </w:pPr>
    </w:p>
    <w:sdt>
      <w:sdtPr>
        <w:docPartObj>
          <w:docPartGallery w:val="Table of Contents"/>
          <w:docPartUnique/>
        </w:docPartObj>
      </w:sdtPr>
      <w:sdtEndPr/>
      <w:sdtContent>
        <w:p>
          <w:pPr>
            <w:pStyle w:val="TOC1"/>
            <w:tabs>
              <w:tab w:pos="995" w:val="left" w:leader="none"/>
              <w:tab w:pos="9783" w:val="right" w:leader="dot"/>
            </w:tabs>
            <w:spacing w:line="240" w:lineRule="auto" w:before="0"/>
            <w:ind w:right="0"/>
            <w:jc w:val="left"/>
            <w:rPr>
              <w:rFonts w:ascii="宋体" w:hAnsi="宋体" w:cs="宋体" w:eastAsia="宋体" w:hint="default"/>
            </w:rPr>
          </w:pPr>
          <w:r>
            <w:fldChar w:fldCharType="begin"/>
          </w:r>
          <w:r>
            <w:instrText>TOC \o "1-1" \h \z \u </w:instrText>
          </w:r>
          <w:r>
            <w:fldChar w:fldCharType="separate"/>
          </w:r>
          <w:hyperlink w:history="true" w:anchor="_bookmark0">
            <w:r>
              <w:rPr/>
              <w:t>第一节</w:t>
              <w:tab/>
              <w:t>重要提示、目录和释义</w:t>
            </w:r>
            <w:r>
              <w:rPr>
                <w:rFonts w:ascii="宋体" w:hAnsi="宋体" w:cs="宋体" w:eastAsia="宋体" w:hint="default"/>
              </w:rPr>
              <w:tab/>
              <w:t>2</w:t>
            </w:r>
          </w:hyperlink>
        </w:p>
        <w:p>
          <w:pPr>
            <w:pStyle w:val="TOC1"/>
            <w:tabs>
              <w:tab w:pos="995" w:val="left" w:leader="none"/>
              <w:tab w:pos="9783" w:val="right" w:leader="dot"/>
            </w:tabs>
            <w:spacing w:line="240" w:lineRule="auto"/>
            <w:ind w:right="0"/>
            <w:jc w:val="left"/>
            <w:rPr>
              <w:rFonts w:ascii="宋体" w:hAnsi="宋体" w:cs="宋体" w:eastAsia="宋体" w:hint="default"/>
            </w:rPr>
          </w:pPr>
          <w:hyperlink w:history="true" w:anchor="_bookmark1">
            <w:r>
              <w:rPr/>
              <w:t>第二节</w:t>
              <w:tab/>
              <w:t>公司简介和主要财务指标</w:t>
            </w:r>
            <w:r>
              <w:rPr>
                <w:rFonts w:ascii="宋体" w:hAnsi="宋体" w:cs="宋体" w:eastAsia="宋体" w:hint="default"/>
              </w:rPr>
              <w:tab/>
              <w:t>5</w:t>
            </w:r>
          </w:hyperlink>
        </w:p>
        <w:p>
          <w:pPr>
            <w:pStyle w:val="TOC1"/>
            <w:tabs>
              <w:tab w:pos="995" w:val="left" w:leader="none"/>
              <w:tab w:pos="9783" w:val="right" w:leader="dot"/>
            </w:tabs>
            <w:spacing w:line="240" w:lineRule="auto" w:before="231"/>
            <w:ind w:right="0"/>
            <w:jc w:val="left"/>
            <w:rPr>
              <w:rFonts w:ascii="宋体" w:hAnsi="宋体" w:cs="宋体" w:eastAsia="宋体" w:hint="default"/>
            </w:rPr>
          </w:pPr>
          <w:hyperlink w:history="true" w:anchor="_bookmark2">
            <w:r>
              <w:rPr/>
              <w:t>第三节</w:t>
              <w:tab/>
              <w:t>公司业务概要</w:t>
            </w:r>
            <w:r>
              <w:rPr>
                <w:rFonts w:ascii="宋体" w:hAnsi="宋体" w:cs="宋体" w:eastAsia="宋体" w:hint="default"/>
              </w:rPr>
              <w:tab/>
              <w:t>9</w:t>
            </w:r>
          </w:hyperlink>
        </w:p>
        <w:p>
          <w:pPr>
            <w:pStyle w:val="TOC1"/>
            <w:tabs>
              <w:tab w:pos="995" w:val="left" w:leader="none"/>
              <w:tab w:pos="9783" w:val="right" w:leader="dot"/>
            </w:tabs>
            <w:spacing w:line="240" w:lineRule="auto"/>
            <w:ind w:right="0"/>
            <w:jc w:val="left"/>
            <w:rPr>
              <w:rFonts w:ascii="宋体" w:hAnsi="宋体" w:cs="宋体" w:eastAsia="宋体" w:hint="default"/>
            </w:rPr>
          </w:pPr>
          <w:hyperlink w:history="true" w:anchor="_bookmark3">
            <w:r>
              <w:rPr/>
              <w:t>第四节</w:t>
              <w:tab/>
              <w:t>经营情况讨论与分析</w:t>
            </w:r>
            <w:r>
              <w:rPr>
                <w:rFonts w:ascii="宋体" w:hAnsi="宋体" w:cs="宋体" w:eastAsia="宋体" w:hint="default"/>
              </w:rPr>
              <w:tab/>
              <w:t>11</w:t>
            </w:r>
          </w:hyperlink>
        </w:p>
        <w:p>
          <w:pPr>
            <w:pStyle w:val="TOC1"/>
            <w:tabs>
              <w:tab w:pos="995" w:val="left" w:leader="none"/>
              <w:tab w:pos="9783" w:val="right" w:leader="dot"/>
            </w:tabs>
            <w:spacing w:line="240" w:lineRule="auto"/>
            <w:ind w:right="0"/>
            <w:jc w:val="left"/>
            <w:rPr>
              <w:rFonts w:ascii="宋体" w:hAnsi="宋体" w:cs="宋体" w:eastAsia="宋体" w:hint="default"/>
            </w:rPr>
          </w:pPr>
          <w:hyperlink w:history="true" w:anchor="_bookmark4">
            <w:r>
              <w:rPr/>
              <w:t>第五节</w:t>
              <w:tab/>
              <w:t>重要事项</w:t>
            </w:r>
            <w:r>
              <w:rPr>
                <w:rFonts w:ascii="宋体" w:hAnsi="宋体" w:cs="宋体" w:eastAsia="宋体" w:hint="default"/>
              </w:rPr>
              <w:tab/>
              <w:t>26</w:t>
            </w:r>
          </w:hyperlink>
        </w:p>
        <w:p>
          <w:pPr>
            <w:pStyle w:val="TOC1"/>
            <w:tabs>
              <w:tab w:pos="995" w:val="left" w:leader="none"/>
              <w:tab w:pos="9783" w:val="right" w:leader="dot"/>
            </w:tabs>
            <w:spacing w:line="240" w:lineRule="auto" w:before="231"/>
            <w:ind w:right="0"/>
            <w:jc w:val="left"/>
            <w:rPr>
              <w:rFonts w:ascii="宋体" w:hAnsi="宋体" w:cs="宋体" w:eastAsia="宋体" w:hint="default"/>
            </w:rPr>
          </w:pPr>
          <w:hyperlink w:history="true" w:anchor="_bookmark5">
            <w:r>
              <w:rPr/>
              <w:t>第六节</w:t>
              <w:tab/>
              <w:t>股份变动及股东情况</w:t>
            </w:r>
            <w:r>
              <w:rPr>
                <w:rFonts w:ascii="宋体" w:hAnsi="宋体" w:cs="宋体" w:eastAsia="宋体" w:hint="default"/>
              </w:rPr>
              <w:tab/>
              <w:t>43</w:t>
            </w:r>
          </w:hyperlink>
        </w:p>
        <w:p>
          <w:pPr>
            <w:pStyle w:val="TOC1"/>
            <w:tabs>
              <w:tab w:pos="995" w:val="left" w:leader="none"/>
              <w:tab w:pos="9783" w:val="right" w:leader="dot"/>
            </w:tabs>
            <w:spacing w:line="240" w:lineRule="auto"/>
            <w:ind w:right="0"/>
            <w:jc w:val="left"/>
            <w:rPr>
              <w:rFonts w:ascii="宋体" w:hAnsi="宋体" w:cs="宋体" w:eastAsia="宋体" w:hint="default"/>
            </w:rPr>
          </w:pPr>
          <w:hyperlink w:history="true" w:anchor="_bookmark6">
            <w:r>
              <w:rPr/>
              <w:t>第七节</w:t>
              <w:tab/>
              <w:t>优先股相关情况</w:t>
            </w:r>
            <w:r>
              <w:rPr>
                <w:rFonts w:ascii="宋体" w:hAnsi="宋体" w:cs="宋体" w:eastAsia="宋体" w:hint="default"/>
              </w:rPr>
              <w:tab/>
              <w:t>49</w:t>
            </w:r>
          </w:hyperlink>
        </w:p>
        <w:p>
          <w:pPr>
            <w:pStyle w:val="TOC1"/>
            <w:tabs>
              <w:tab w:pos="995" w:val="left" w:leader="none"/>
              <w:tab w:pos="9783" w:val="right" w:leader="dot"/>
            </w:tabs>
            <w:spacing w:line="240" w:lineRule="auto"/>
            <w:ind w:right="0"/>
            <w:jc w:val="left"/>
            <w:rPr>
              <w:rFonts w:ascii="宋体" w:hAnsi="宋体" w:cs="宋体" w:eastAsia="宋体" w:hint="default"/>
            </w:rPr>
          </w:pPr>
          <w:hyperlink w:history="true" w:anchor="_bookmark7">
            <w:r>
              <w:rPr/>
              <w:t>第八节</w:t>
              <w:tab/>
              <w:t>可转换公司债券相关情况</w:t>
            </w:r>
            <w:r>
              <w:rPr>
                <w:rFonts w:ascii="宋体" w:hAnsi="宋体" w:cs="宋体" w:eastAsia="宋体" w:hint="default"/>
              </w:rPr>
              <w:tab/>
              <w:t>50</w:t>
            </w:r>
          </w:hyperlink>
        </w:p>
        <w:p>
          <w:pPr>
            <w:pStyle w:val="TOC1"/>
            <w:tabs>
              <w:tab w:pos="995" w:val="left" w:leader="none"/>
              <w:tab w:pos="9783" w:val="right" w:leader="dot"/>
            </w:tabs>
            <w:spacing w:line="240" w:lineRule="auto" w:before="232"/>
            <w:ind w:right="0"/>
            <w:jc w:val="left"/>
            <w:rPr>
              <w:rFonts w:ascii="宋体" w:hAnsi="宋体" w:cs="宋体" w:eastAsia="宋体" w:hint="default"/>
            </w:rPr>
          </w:pPr>
          <w:hyperlink w:history="true" w:anchor="_bookmark8">
            <w:r>
              <w:rPr/>
              <w:t>第九节</w:t>
              <w:tab/>
              <w:t>董事、监事、高级管理人员和员工情况</w:t>
            </w:r>
            <w:r>
              <w:rPr>
                <w:rFonts w:ascii="宋体" w:hAnsi="宋体" w:cs="宋体" w:eastAsia="宋体" w:hint="default"/>
              </w:rPr>
              <w:tab/>
              <w:t>51</w:t>
            </w:r>
          </w:hyperlink>
        </w:p>
        <w:p>
          <w:pPr>
            <w:pStyle w:val="TOC1"/>
            <w:tabs>
              <w:tab w:pos="995" w:val="left" w:leader="none"/>
              <w:tab w:pos="9783" w:val="right" w:leader="dot"/>
            </w:tabs>
            <w:spacing w:line="240" w:lineRule="auto"/>
            <w:ind w:right="0"/>
            <w:jc w:val="left"/>
            <w:rPr>
              <w:rFonts w:ascii="宋体" w:hAnsi="宋体" w:cs="宋体" w:eastAsia="宋体" w:hint="default"/>
            </w:rPr>
          </w:pPr>
          <w:hyperlink w:history="true" w:anchor="_bookmark9">
            <w:r>
              <w:rPr/>
              <w:t>第十节</w:t>
              <w:tab/>
              <w:t>公司治理</w:t>
            </w:r>
            <w:r>
              <w:rPr>
                <w:rFonts w:ascii="宋体" w:hAnsi="宋体" w:cs="宋体" w:eastAsia="宋体" w:hint="default"/>
              </w:rPr>
              <w:tab/>
              <w:t>58</w:t>
            </w:r>
          </w:hyperlink>
        </w:p>
        <w:p>
          <w:pPr>
            <w:pStyle w:val="TOC1"/>
            <w:tabs>
              <w:tab w:pos="1204" w:val="left" w:leader="none"/>
              <w:tab w:pos="9783" w:val="right" w:leader="dot"/>
            </w:tabs>
            <w:spacing w:line="240" w:lineRule="auto"/>
            <w:ind w:right="0"/>
            <w:jc w:val="left"/>
            <w:rPr>
              <w:rFonts w:ascii="宋体" w:hAnsi="宋体" w:cs="宋体" w:eastAsia="宋体" w:hint="default"/>
            </w:rPr>
          </w:pPr>
          <w:hyperlink w:history="true" w:anchor="_bookmark10">
            <w:r>
              <w:rPr>
                <w:spacing w:val="-1"/>
              </w:rPr>
              <w:t>第十一节</w:t>
              <w:tab/>
            </w:r>
            <w:r>
              <w:rPr>
                <w:spacing w:val="-2"/>
              </w:rPr>
              <w:t>公司债券相关情况</w:t>
            </w:r>
            <w:r>
              <w:rPr>
                <w:rFonts w:ascii="宋体" w:hAnsi="宋体" w:cs="宋体" w:eastAsia="宋体" w:hint="default"/>
                <w:spacing w:val="-2"/>
              </w:rPr>
              <w:tab/>
            </w:r>
            <w:r>
              <w:rPr>
                <w:rFonts w:ascii="宋体" w:hAnsi="宋体" w:cs="宋体" w:eastAsia="宋体" w:hint="default"/>
              </w:rPr>
              <w:t>63</w:t>
            </w:r>
          </w:hyperlink>
        </w:p>
        <w:p>
          <w:pPr>
            <w:pStyle w:val="TOC1"/>
            <w:tabs>
              <w:tab w:pos="1204" w:val="left" w:leader="none"/>
              <w:tab w:pos="9783" w:val="right" w:leader="dot"/>
            </w:tabs>
            <w:spacing w:line="240" w:lineRule="auto" w:before="231"/>
            <w:ind w:right="0"/>
            <w:jc w:val="left"/>
            <w:rPr>
              <w:rFonts w:ascii="宋体" w:hAnsi="宋体" w:cs="宋体" w:eastAsia="宋体" w:hint="default"/>
            </w:rPr>
          </w:pPr>
          <w:hyperlink w:history="true" w:anchor="_bookmark11">
            <w:r>
              <w:rPr>
                <w:spacing w:val="-1"/>
              </w:rPr>
              <w:t>第十二节</w:t>
              <w:tab/>
              <w:t>财务报告</w:t>
            </w:r>
            <w:r>
              <w:rPr>
                <w:rFonts w:ascii="宋体" w:hAnsi="宋体" w:cs="宋体" w:eastAsia="宋体" w:hint="default"/>
                <w:spacing w:val="-1"/>
              </w:rPr>
              <w:tab/>
            </w:r>
            <w:r>
              <w:rPr>
                <w:rFonts w:ascii="宋体" w:hAnsi="宋体" w:cs="宋体" w:eastAsia="宋体" w:hint="default"/>
              </w:rPr>
              <w:t>64</w:t>
            </w:r>
          </w:hyperlink>
        </w:p>
        <w:p>
          <w:pPr>
            <w:pStyle w:val="TOC1"/>
            <w:tabs>
              <w:tab w:pos="1204" w:val="left" w:leader="none"/>
              <w:tab w:pos="9785" w:val="right" w:leader="dot"/>
            </w:tabs>
            <w:spacing w:line="240" w:lineRule="auto"/>
            <w:ind w:right="0"/>
            <w:jc w:val="left"/>
            <w:rPr>
              <w:rFonts w:ascii="宋体" w:hAnsi="宋体" w:cs="宋体" w:eastAsia="宋体" w:hint="default"/>
            </w:rPr>
          </w:pPr>
          <w:hyperlink w:history="true" w:anchor="_bookmark12">
            <w:r>
              <w:rPr>
                <w:spacing w:val="-1"/>
              </w:rPr>
              <w:t>第十三节</w:t>
              <w:tab/>
              <w:t>备查文件目录</w:t>
            </w:r>
            <w:r>
              <w:rPr>
                <w:rFonts w:ascii="宋体" w:hAnsi="宋体" w:cs="宋体" w:eastAsia="宋体" w:hint="default"/>
                <w:spacing w:val="-1"/>
              </w:rPr>
              <w:tab/>
            </w:r>
            <w:r>
              <w:rPr>
                <w:rFonts w:ascii="宋体" w:hAnsi="宋体" w:cs="宋体" w:eastAsia="宋体" w:hint="default"/>
              </w:rPr>
              <w:t>200</w:t>
            </w:r>
          </w:hyperlink>
        </w:p>
        <w:p>
          <w:pPr/>
          <w:r>
            <w:fldChar w:fldCharType="end"/>
          </w:r>
        </w:p>
      </w:sdtContent>
    </w:sdt>
    <w:p>
      <w:pPr>
        <w:spacing w:after="0"/>
        <w:sectPr>
          <w:pgSz w:w="11910" w:h="16840"/>
          <w:pgMar w:header="745" w:footer="980" w:top="1060" w:bottom="1160" w:left="980" w:right="0"/>
        </w:sectPr>
      </w:pPr>
    </w:p>
    <w:p>
      <w:pPr>
        <w:spacing w:before="945"/>
        <w:ind w:left="0" w:right="97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公司、本公司、银江股份、发行人、本集团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银江股份有限公司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最近三年、近三年</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审计机构、瑞华</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控股股东、银江科技集团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《银江股份有限公司章程》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银江股份有限公司股东大会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银江股份有限公司董事会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银江股份有限公司监事会</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专门委员会</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both"/>
              <w:rPr>
                <w:rFonts w:ascii="宋体" w:hAnsi="宋体" w:cs="宋体" w:eastAsia="宋体" w:hint="default"/>
                <w:sz w:val="18"/>
                <w:szCs w:val="18"/>
              </w:rPr>
            </w:pPr>
            <w:r>
              <w:rPr>
                <w:rFonts w:ascii="宋体" w:hAnsi="宋体" w:cs="宋体" w:eastAsia="宋体" w:hint="default"/>
                <w:spacing w:val="-2"/>
                <w:sz w:val="18"/>
                <w:szCs w:val="18"/>
              </w:rPr>
              <w:t>银江股份有限公司董事会提名委员会、银江股份有限公司董事会战略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与决策委员会、银江股份有限公司董事会薪酬与考核委员会、银江股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份有限公司董事会审计委员会</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智慧交通集团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浙江银江智慧交通集团有限公司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智慧健康集团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杭州银江智慧健康集团有限公司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智慧城市集团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杭州银江智慧城市技术集团有限公司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银江研究院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浙江银江研究院有限公司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股权激励计划</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银江股份有限公司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年股票期权激励计划</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产业基金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杭州银江智慧产业创业投资合伙企业（有限合伙）</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723" w:right="1133"/>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pict>
          <v:group style="position:absolute;margin-left:172.339996pt;margin-top:114.681595pt;width:361.55pt;height:19.75pt;mso-position-horizontal-relative:page;mso-position-vertical-relative:paragraph;z-index:-1186072" coordorigin="3447,2294" coordsize="7231,395">
            <v:shape style="position:absolute;left:3447;top:2294;width:7231;height:395" coordorigin="3447,2294" coordsize="7231,395" path="m3447,2688l10677,2688,10677,2294,3447,2294,3447,2688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300020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银江股份有限公司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Enjoyor</w:t>
            </w:r>
            <w:r>
              <w:rPr>
                <w:rFonts w:ascii="Times New Roman"/>
                <w:spacing w:val="-5"/>
                <w:sz w:val="18"/>
              </w:rPr>
              <w:t> </w:t>
            </w:r>
            <w:r>
              <w:rPr>
                <w:rFonts w:ascii="Times New Roman"/>
                <w:sz w:val="18"/>
              </w:rPr>
              <w:t>Co.,Ltd</w:t>
            </w:r>
          </w:p>
        </w:tc>
      </w:tr>
      <w:tr>
        <w:trPr>
          <w:trHeight w:val="404"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ENJOYOR</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王腾</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浙江省杭州市益乐路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223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层</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310012</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浙江省杭州市西湖区西园八路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310030</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www.enjoyor.net</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enjoyor@enjoyor.net</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花少富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吴孟立</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浙江省杭州市西湖区西园八路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浙江省杭州市西湖区西园八路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0571-89716117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0571-89716117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0571-89716114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0571-89716114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enjoyor@enjoyor.net</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enjoyor@enjoyor.net</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浙江省杭州市西湖区西园八路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座公司证券管理部</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四、其他有关资料" w:id="8"/>
      <w:bookmarkEnd w:id="8"/>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号楼中海地产广场西塔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谭争</w:t>
            </w:r>
            <w:r>
              <w:rPr>
                <w:rFonts w:ascii="宋体" w:hAnsi="宋体" w:cs="宋体" w:eastAsia="宋体" w:hint="default"/>
                <w:spacing w:val="1"/>
                <w:sz w:val="18"/>
                <w:szCs w:val="18"/>
              </w:rPr>
              <w:t> </w:t>
            </w:r>
            <w:r>
              <w:rPr>
                <w:rFonts w:ascii="宋体" w:hAnsi="宋体" w:cs="宋体" w:eastAsia="宋体" w:hint="default"/>
                <w:sz w:val="18"/>
                <w:szCs w:val="18"/>
              </w:rPr>
              <w:t>许旭光</w:t>
            </w:r>
          </w:p>
        </w:tc>
      </w:tr>
    </w:tbl>
    <w:p>
      <w:pPr>
        <w:pStyle w:val="BodyText"/>
        <w:spacing w:line="240" w:lineRule="auto" w:before="49"/>
        <w:ind w:right="1133"/>
        <w:jc w:val="left"/>
      </w:pPr>
      <w:r>
        <w:rPr/>
        <w:t>公司聘请的报告期内履行持续督导职责的保荐机构</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8"/>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2,079,504,434.71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2,413,277,806.75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1,942,221,214.28</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148,813,913.73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26,444,095.70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462.75%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138,654,236.34</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131,459,353.15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123,141,898.92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79,889,151.96</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-120,082,247.99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13,293,096.36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-1,003.34%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-215,372,225.24</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0.21</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6,313,987,388.33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6,078,445,611.21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6,062,863,675.27</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3,293,905,834.88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3,232,269,575.73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3,314,603,472.23</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558,652,448.46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529,877,317.07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364,383,148.53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626,591,520.65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60,141,193.91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65,406,594.98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10,226,339.90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13,039,784.94</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57,272,426.29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62,784,250.25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9,040,524.13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2,362,152.48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-528,426,248.00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-238,702,077.81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-202,555,998.50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849,602,076.32</w:t>
            </w:r>
          </w:p>
        </w:tc>
      </w:tr>
    </w:tbl>
    <w:p>
      <w:pPr>
        <w:pStyle w:val="BodyText"/>
        <w:spacing w:line="240" w:lineRule="auto" w:before="49"/>
        <w:ind w:right="1133"/>
        <w:jc w:val="left"/>
      </w:pPr>
      <w:r>
        <w:rPr/>
        <w:t>上述财务指标或其加总数是否与公司已披露季度报告、半年度报告相关财务指标存在重大差异</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4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06"/>
        <w:gridCol w:w="1571"/>
        <w:gridCol w:w="1558"/>
        <w:gridCol w:w="1561"/>
        <w:gridCol w:w="1063"/>
      </w:tblGrid>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 的冲销部分）</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8,278,074.23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63,595,878.81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6,869,974.76</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 关，按照国家统一标准定额或定量享受的政府补 助除外）</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10,307,181.71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2,469,345.27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8,312,009.85</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 务外，持有交易性金融资产、衍生金融资产、交 易性金融负债、衍生金融负债产生的公允价值变 动损益，以及处置交易性金融资产、衍生金融资 产、交易性金融负债、衍生金融负债和其他债权 投资取得的投资收益</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9,891.94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51,624,340.00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53,096,708.13</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单独进行减值测试的应收款项、合同资产减值准 备转回</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1,162,861.86</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-91,881.22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-227,528.69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-820,641.60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71" w:type="dxa"/>
            <w:tcBorders>
              <w:top w:val="single" w:sz="4" w:space="0" w:color="000000"/>
              <w:left w:val="single" w:sz="9" w:space="0" w:color="D2D2D2"/>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-233,959,348.05</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2,101,157.13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-19,796,111.71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8,681,640.22</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210,410.81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-3,397.73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11,326.54</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17,354,560.58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-96,697,803.22</w:t>
            </w:r>
          </w:p>
        </w:tc>
        <w:tc>
          <w:tcPr>
            <w:tcW w:w="156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58,765,084.38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133"/>
        <w:jc w:val="left"/>
        <w:rPr>
          <w:b w:val="0"/>
          <w:bCs w:val="0"/>
        </w:rPr>
      </w:pPr>
      <w:bookmarkStart w:name="第三节公司业务概要" w:id="15"/>
      <w:bookmarkEnd w:id="15"/>
      <w:r>
        <w:rPr>
          <w:b w:val="0"/>
          <w:bCs w:val="0"/>
        </w:rPr>
      </w:r>
      <w:bookmarkStart w:name="_bookmark2" w:id="16"/>
      <w:bookmarkEnd w:id="16"/>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031"/>
        <w:jc w:val="left"/>
      </w:pPr>
      <w:r>
        <w:rPr>
          <w:spacing w:val="-2"/>
        </w:rPr>
        <w:t>报告期内，公司主营业务没有发生重大变化。公司作为城市大脑运营服务商，专注于通过人工智能、大数据、物联网等先进</w:t>
      </w:r>
      <w:r>
        <w:rPr>
          <w:spacing w:val="-67"/>
        </w:rPr>
        <w:t> </w:t>
      </w:r>
      <w:r>
        <w:rPr>
          <w:spacing w:val="-67"/>
        </w:rPr>
      </w:r>
      <w:r>
        <w:rPr>
          <w:spacing w:val="-2"/>
        </w:rPr>
        <w:t>技术，为城市交通治理、环境保护、城市精细化管理、区域经济管理等构建一个后台系统，打通不同平台，推动城市数字化</w:t>
      </w:r>
      <w:r>
        <w:rPr>
          <w:spacing w:val="-67"/>
        </w:rPr>
        <w:t> </w:t>
      </w:r>
      <w:r>
        <w:rPr>
          <w:spacing w:val="-67"/>
        </w:rPr>
      </w:r>
      <w:r>
        <w:rPr>
          <w:spacing w:val="-2"/>
        </w:rPr>
        <w:t>管理，为城市管理和民生服务打造跨领域、跨区域的城市大脑数据资源交换和共享平台，推动城市文明发展的新浪潮。公司</w:t>
      </w:r>
      <w:r>
        <w:rPr>
          <w:spacing w:val="-65"/>
        </w:rPr>
        <w:t> </w:t>
      </w:r>
      <w:r>
        <w:rPr>
          <w:spacing w:val="-65"/>
        </w:rPr>
      </w:r>
      <w:r>
        <w:rPr>
          <w:spacing w:val="-3"/>
        </w:rPr>
        <w:t>聚焦智慧交通、智慧健康等行业，通过在全国各地设立区域服务公司构建了覆盖全国的完整市场营销网络，</w:t>
      </w:r>
      <w:r>
        <w:rPr>
          <w:spacing w:val="-35"/>
        </w:rPr>
        <w:t> </w:t>
      </w:r>
      <w:r>
        <w:rPr/>
        <w:t>通过</w:t>
      </w:r>
      <w:r>
        <w:rPr>
          <w:rFonts w:ascii="Times New Roman" w:hAnsi="Times New Roman" w:cs="Times New Roman" w:eastAsia="Times New Roman" w:hint="default"/>
        </w:rPr>
        <w:t>“</w:t>
      </w:r>
      <w:r>
        <w:rPr/>
        <w:t>系统建设、</w:t>
      </w:r>
      <w:r>
        <w:rPr>
          <w:spacing w:val="-78"/>
        </w:rPr>
        <w:t> </w:t>
      </w:r>
      <w:r>
        <w:rPr/>
        <w:t>软件交付、运营服务</w:t>
      </w:r>
      <w:r>
        <w:rPr>
          <w:rFonts w:ascii="Times New Roman" w:hAnsi="Times New Roman" w:cs="Times New Roman" w:eastAsia="Times New Roman" w:hint="default"/>
        </w:rPr>
        <w:t>”</w:t>
      </w:r>
      <w:r>
        <w:rPr/>
        <w:t>落实三位一体的企业发展战略和经营策略，通过市场平台和产业资本的深度融合构建</w:t>
      </w:r>
      <w:r>
        <w:rPr>
          <w:spacing w:val="-41"/>
        </w:rPr>
        <w:t> </w:t>
      </w:r>
      <w:r>
        <w:rPr/>
        <w:t>全产业链的开放</w:t>
      </w:r>
      <w:r>
        <w:rPr/>
        <w:t> </w:t>
      </w:r>
      <w:r>
        <w:rPr>
          <w:spacing w:val="-2"/>
        </w:rPr>
        <w:t>生态系统。公司以城市大脑为推进主体，深耕交通大脑和健康大脑的行业应用，率先开拓司法大脑的行业创新应用，通过线</w:t>
      </w:r>
      <w:r>
        <w:rPr>
          <w:spacing w:val="-63"/>
        </w:rPr>
        <w:t> </w:t>
      </w:r>
      <w:r>
        <w:rPr>
          <w:spacing w:val="-63"/>
        </w:rPr>
      </w:r>
      <w:r>
        <w:rPr/>
        <w:t>上与线下相结合做全行业应用做深行业技术，通过系统建设、软件服务、运营服务业务同步发展实现公司主</w:t>
      </w:r>
      <w:r>
        <w:rPr>
          <w:spacing w:val="-16"/>
        </w:rPr>
        <w:t> </w:t>
      </w:r>
      <w:r>
        <w:rPr/>
        <w:t>营业务的新发</w:t>
      </w:r>
      <w:r>
        <w:rPr/>
        <w:t> 展。</w:t>
      </w:r>
      <w:r>
        <w:rPr>
          <w:spacing w:val="-39"/>
        </w:rPr>
        <w:t> </w:t>
      </w:r>
      <w:r>
        <w:rPr>
          <w:spacing w:val="-2"/>
        </w:rPr>
        <w:t>报告期内公司所属行业的发展阶段、周期性特点以及公司所处行业的地位，请详见第四节</w:t>
      </w:r>
      <w:r>
        <w:rPr>
          <w:rFonts w:ascii="Times New Roman" w:hAnsi="Times New Roman" w:cs="Times New Roman" w:eastAsia="Times New Roman" w:hint="default"/>
          <w:spacing w:val="-2"/>
        </w:rPr>
        <w:t>“</w:t>
      </w:r>
      <w:r>
        <w:rPr>
          <w:spacing w:val="-2"/>
        </w:rPr>
        <w:t>经营情况讨论与分析</w:t>
      </w:r>
      <w:r>
        <w:rPr>
          <w:rFonts w:ascii="Times New Roman" w:hAnsi="Times New Roman" w:cs="Times New Roman" w:eastAsia="Times New Roman" w:hint="default"/>
          <w:spacing w:val="-2"/>
        </w:rPr>
        <w:t>”</w:t>
      </w:r>
      <w:r>
        <w:rPr>
          <w:spacing w:val="-2"/>
        </w:rPr>
        <w:t>之</w:t>
      </w:r>
      <w:r>
        <w:rPr>
          <w:rFonts w:ascii="Times New Roman" w:hAnsi="Times New Roman" w:cs="Times New Roman" w:eastAsia="Times New Roman" w:hint="default"/>
          <w:spacing w:val="-2"/>
        </w:rPr>
        <w:t>“</w:t>
      </w:r>
      <w:r>
        <w:rPr>
          <w:spacing w:val="-2"/>
        </w:rPr>
        <w:t>九、</w:t>
      </w:r>
      <w:r>
        <w:rPr>
          <w:spacing w:val="-85"/>
        </w:rPr>
        <w:t> </w:t>
      </w:r>
      <w:r>
        <w:rPr/>
        <w:t>公</w:t>
      </w:r>
      <w:r>
        <w:rPr>
          <w:spacing w:val="-20"/>
        </w:rPr>
        <w:t> </w:t>
      </w:r>
      <w:r>
        <w:rPr/>
        <w:t>司未来发展的展望</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30"/>
      </w:tblGrid>
      <w:tr>
        <w:trPr>
          <w:trHeight w:val="187"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出售金融资产</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购买中国智谷富春园区办公楼</w:t>
            </w:r>
          </w:p>
        </w:tc>
      </w:tr>
      <w:tr>
        <w:trPr>
          <w:trHeight w:val="401"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项目资产本年进入运行状态而转入无形资产</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中国智谷富春园区办公楼装修</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报告期内，公司核心竞争能力未发生重大变化</w:t>
      </w:r>
    </w:p>
    <w:p>
      <w:pPr>
        <w:pStyle w:val="BodyText"/>
        <w:spacing w:line="316" w:lineRule="auto" w:before="76"/>
        <w:ind w:right="1129"/>
        <w:jc w:val="both"/>
      </w:pPr>
      <w:r>
        <w:rPr>
          <w:spacing w:val="-2"/>
        </w:rPr>
        <w:t>（一）公司作为城市大脑运营服务商，是信息系统集成及服务行业大型骨干企业、中国软件业务收入前百家企业、中国软件</w:t>
      </w:r>
      <w:r>
        <w:rPr>
          <w:spacing w:val="-65"/>
        </w:rPr>
        <w:t> </w:t>
      </w:r>
      <w:r>
        <w:rPr>
          <w:spacing w:val="-65"/>
        </w:rPr>
      </w:r>
      <w:r>
        <w:rPr>
          <w:spacing w:val="-2"/>
        </w:rPr>
        <w:t>和信息技术服务综合竞争力百强企业、智能建筑行业十大领军企业、中国安防卓越企业、浙江省科学技术进步一等奖、中国</w:t>
      </w:r>
      <w:r>
        <w:rPr>
          <w:spacing w:val="-64"/>
        </w:rPr>
        <w:t> </w:t>
      </w:r>
      <w:r>
        <w:rPr>
          <w:spacing w:val="-64"/>
        </w:rPr>
      </w:r>
      <w:r>
        <w:rPr>
          <w:spacing w:val="-2"/>
        </w:rPr>
        <w:t>软件业务收入前百家企业、中国城市智能交通市场系统集成商业绩十强、浙江省成长性最快百强企业、中国智慧城市产业联</w:t>
      </w:r>
      <w:r>
        <w:rPr>
          <w:spacing w:val="-63"/>
        </w:rPr>
        <w:t> </w:t>
      </w:r>
      <w:r>
        <w:rPr>
          <w:spacing w:val="-63"/>
        </w:rPr>
      </w:r>
      <w:r>
        <w:rPr>
          <w:spacing w:val="-2"/>
        </w:rPr>
        <w:t>盟副理事长单位。报告期内，公司未发生因核心技术人员离职、特许经营权丧失等严重影响公司核心竞争能力的情况，公司</w:t>
      </w:r>
      <w:r>
        <w:rPr>
          <w:spacing w:val="-63"/>
        </w:rPr>
        <w:t> </w:t>
      </w:r>
      <w:r>
        <w:rPr>
          <w:spacing w:val="-63"/>
        </w:rPr>
      </w:r>
      <w:r>
        <w:rPr>
          <w:spacing w:val="-2"/>
        </w:rPr>
        <w:t>的核心竞争力没有发生不利变化。公司的竞争优势来自于公司成立至今始终坚持的技术创新战略及当前的平台战略、总包战</w:t>
      </w:r>
      <w:r>
        <w:rPr>
          <w:spacing w:val="-64"/>
        </w:rPr>
        <w:t> </w:t>
      </w:r>
      <w:r>
        <w:rPr>
          <w:spacing w:val="-64"/>
        </w:rPr>
      </w:r>
      <w:r>
        <w:rPr/>
        <w:t>略、基地战略、数据战略、资产战略，经过多年的积累，公司构建了较强的核心竞争能力。</w:t>
      </w:r>
    </w:p>
    <w:p>
      <w:pPr>
        <w:pStyle w:val="BodyText"/>
        <w:spacing w:line="316" w:lineRule="auto" w:before="19"/>
        <w:ind w:right="8774"/>
        <w:jc w:val="left"/>
      </w:pPr>
      <w:r>
        <w:rPr/>
        <w:t>（二）公司主要资产情况 </w:t>
      </w:r>
      <w:r>
        <w:rPr>
          <w:rFonts w:ascii="宋体" w:hAnsi="宋体" w:cs="宋体" w:eastAsia="宋体" w:hint="default"/>
        </w:rPr>
        <w:t>1</w:t>
      </w:r>
      <w:r>
        <w:rPr/>
        <w:t>、固定资产情况</w:t>
      </w:r>
    </w:p>
    <w:p>
      <w:pPr>
        <w:spacing w:after="0" w:line="316"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shape style="position:absolute;margin-left:484.128998pt;margin-top:73.199982pt;width:54.2pt;height:15.6pt;mso-position-horizontal-relative:page;mso-position-vertical-relative:page;z-index:-118604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xbxContent>
            </v:textbox>
            <w10:wrap type="none"/>
          </v:shape>
        </w:pict>
      </w:r>
    </w:p>
    <w:tbl>
      <w:tblPr>
        <w:tblW w:w="0" w:type="auto"/>
        <w:jc w:val="left"/>
        <w:tblInd w:w="143" w:type="dxa"/>
        <w:tblLayout w:type="fixed"/>
        <w:tblCellMar>
          <w:top w:w="0" w:type="dxa"/>
          <w:left w:w="0" w:type="dxa"/>
          <w:bottom w:w="0" w:type="dxa"/>
          <w:right w:w="0" w:type="dxa"/>
        </w:tblCellMar>
        <w:tblLook w:val="01E0"/>
      </w:tblPr>
      <w:tblGrid>
        <w:gridCol w:w="3407"/>
        <w:gridCol w:w="1001"/>
        <w:gridCol w:w="3111"/>
        <w:gridCol w:w="1133"/>
        <w:gridCol w:w="994"/>
      </w:tblGrid>
      <w:tr>
        <w:trPr>
          <w:trHeight w:val="348" w:hRule="exact"/>
        </w:trPr>
        <w:tc>
          <w:tcPr>
            <w:tcW w:w="34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不动产权证号</w:t>
            </w:r>
            <w:r>
              <w:rPr>
                <w:rFonts w:ascii="宋体" w:hAnsi="宋体" w:cs="宋体" w:eastAsia="宋体" w:hint="default"/>
                <w:b/>
                <w:bCs/>
                <w:sz w:val="18"/>
                <w:szCs w:val="18"/>
              </w:rPr>
              <w:t>/</w:t>
            </w:r>
            <w:r>
              <w:rPr>
                <w:rFonts w:ascii="宋体" w:hAnsi="宋体" w:cs="宋体" w:eastAsia="宋体" w:hint="default"/>
                <w:b/>
                <w:bCs/>
                <w:sz w:val="18"/>
                <w:szCs w:val="18"/>
              </w:rPr>
              <w:t>房产证号</w:t>
            </w:r>
            <w:r>
              <w:rPr>
                <w:rFonts w:ascii="宋体" w:hAnsi="宋体" w:cs="宋体" w:eastAsia="宋体" w:hint="default"/>
                <w:sz w:val="18"/>
                <w:szCs w:val="18"/>
              </w:rPr>
            </w:r>
          </w:p>
        </w:tc>
        <w:tc>
          <w:tcPr>
            <w:tcW w:w="10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31" w:right="0"/>
              <w:jc w:val="left"/>
              <w:rPr>
                <w:rFonts w:ascii="宋体" w:hAnsi="宋体" w:cs="宋体" w:eastAsia="宋体" w:hint="default"/>
                <w:sz w:val="18"/>
                <w:szCs w:val="18"/>
              </w:rPr>
            </w:pPr>
            <w:r>
              <w:rPr>
                <w:rFonts w:ascii="宋体" w:hAnsi="宋体" w:cs="宋体" w:eastAsia="宋体" w:hint="default"/>
                <w:b/>
                <w:bCs/>
                <w:sz w:val="18"/>
                <w:szCs w:val="18"/>
              </w:rPr>
              <w:t>所属公司</w:t>
            </w:r>
            <w:r>
              <w:rPr>
                <w:rFonts w:ascii="宋体" w:hAnsi="宋体" w:cs="宋体" w:eastAsia="宋体" w:hint="default"/>
                <w:sz w:val="18"/>
                <w:szCs w:val="18"/>
              </w:rPr>
            </w:r>
          </w:p>
        </w:tc>
        <w:tc>
          <w:tcPr>
            <w:tcW w:w="31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b/>
                <w:bCs/>
                <w:sz w:val="18"/>
                <w:szCs w:val="18"/>
              </w:rPr>
              <w:t>坐落</w:t>
            </w:r>
            <w:r>
              <w:rPr>
                <w:rFonts w:ascii="宋体" w:hAnsi="宋体" w:cs="宋体" w:eastAsia="宋体" w:hint="default"/>
                <w:sz w:val="18"/>
                <w:szCs w:val="18"/>
              </w:rPr>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87"/>
              <w:jc w:val="center"/>
              <w:rPr>
                <w:rFonts w:ascii="宋体" w:hAnsi="宋体" w:cs="宋体" w:eastAsia="宋体" w:hint="default"/>
                <w:sz w:val="18"/>
                <w:szCs w:val="18"/>
              </w:rPr>
            </w:pPr>
            <w:r>
              <w:rPr>
                <w:rFonts w:ascii="宋体" w:hAnsi="宋体" w:cs="宋体" w:eastAsia="宋体" w:hint="default"/>
                <w:b/>
                <w:bCs/>
                <w:spacing w:val="-10"/>
                <w:sz w:val="18"/>
                <w:szCs w:val="18"/>
              </w:rPr>
              <w:t>建筑面积（㎡</w:t>
            </w:r>
            <w:r>
              <w:rPr>
                <w:rFonts w:ascii="宋体" w:hAnsi="宋体" w:cs="宋体" w:eastAsia="宋体" w:hint="default"/>
                <w:spacing w:val="-10"/>
                <w:sz w:val="18"/>
                <w:szCs w:val="18"/>
              </w:rPr>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用途</w:t>
            </w:r>
            <w:r>
              <w:rPr>
                <w:rFonts w:ascii="宋体" w:hAnsi="宋体" w:cs="宋体" w:eastAsia="宋体" w:hint="default"/>
                <w:sz w:val="18"/>
                <w:szCs w:val="18"/>
              </w:rPr>
            </w:r>
          </w:p>
        </w:tc>
      </w:tr>
      <w:tr>
        <w:trPr>
          <w:trHeight w:val="346" w:hRule="exact"/>
        </w:trPr>
        <w:tc>
          <w:tcPr>
            <w:tcW w:w="340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2"/>
              <w:ind w:left="2" w:right="0"/>
              <w:jc w:val="center"/>
              <w:rPr>
                <w:rFonts w:ascii="宋体" w:hAnsi="宋体" w:cs="宋体" w:eastAsia="宋体" w:hint="default"/>
                <w:sz w:val="18"/>
                <w:szCs w:val="18"/>
              </w:rPr>
            </w:pPr>
            <w:r>
              <w:rPr>
                <w:rFonts w:ascii="宋体" w:hAnsi="宋体" w:cs="宋体" w:eastAsia="宋体" w:hint="default"/>
                <w:sz w:val="18"/>
                <w:szCs w:val="18"/>
              </w:rPr>
              <w:t>杭房权证西移字第</w:t>
            </w:r>
            <w:r>
              <w:rPr>
                <w:rFonts w:ascii="Times New Roman" w:hAnsi="Times New Roman" w:cs="Times New Roman" w:eastAsia="Times New Roman" w:hint="default"/>
                <w:sz w:val="18"/>
                <w:szCs w:val="18"/>
              </w:rPr>
              <w:t>16232991</w:t>
            </w:r>
            <w:r>
              <w:rPr>
                <w:rFonts w:ascii="宋体" w:hAnsi="宋体" w:cs="宋体" w:eastAsia="宋体" w:hint="default"/>
                <w:sz w:val="18"/>
                <w:szCs w:val="18"/>
              </w:rPr>
              <w:t>号</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4"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西园八路</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1</w:t>
            </w:r>
            <w:r>
              <w:rPr>
                <w:rFonts w:ascii="宋体" w:hAnsi="宋体" w:cs="宋体" w:eastAsia="宋体" w:hint="default"/>
                <w:sz w:val="18"/>
                <w:szCs w:val="18"/>
              </w:rPr>
              <w:t>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3052.73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非住宅</w:t>
            </w:r>
          </w:p>
        </w:tc>
      </w:tr>
      <w:tr>
        <w:trPr>
          <w:trHeight w:val="348"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杭房权证西更字第</w:t>
            </w:r>
            <w:r>
              <w:rPr>
                <w:rFonts w:ascii="Times New Roman" w:hAnsi="Times New Roman" w:cs="Times New Roman" w:eastAsia="Times New Roman" w:hint="default"/>
                <w:sz w:val="18"/>
                <w:szCs w:val="18"/>
              </w:rPr>
              <w:t>12081171</w:t>
            </w:r>
            <w:r>
              <w:rPr>
                <w:rFonts w:ascii="宋体" w:hAnsi="宋体" w:cs="宋体" w:eastAsia="宋体" w:hint="default"/>
                <w:sz w:val="18"/>
                <w:szCs w:val="18"/>
              </w:rPr>
              <w:t>号</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4"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西园八路</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2</w:t>
            </w:r>
            <w:r>
              <w:rPr>
                <w:rFonts w:ascii="宋体" w:hAnsi="宋体" w:cs="宋体" w:eastAsia="宋体" w:hint="default"/>
                <w:sz w:val="18"/>
                <w:szCs w:val="18"/>
              </w:rPr>
              <w:t>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8017.98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非住宅</w:t>
            </w:r>
          </w:p>
        </w:tc>
      </w:tr>
      <w:tr>
        <w:trPr>
          <w:trHeight w:val="346"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杭房权证西移字第</w:t>
            </w:r>
            <w:r>
              <w:rPr>
                <w:rFonts w:ascii="Times New Roman" w:hAnsi="Times New Roman" w:cs="Times New Roman" w:eastAsia="Times New Roman" w:hint="default"/>
                <w:sz w:val="18"/>
                <w:szCs w:val="18"/>
              </w:rPr>
              <w:t>16232992</w:t>
            </w:r>
            <w:r>
              <w:rPr>
                <w:rFonts w:ascii="宋体" w:hAnsi="宋体" w:cs="宋体" w:eastAsia="宋体" w:hint="default"/>
                <w:sz w:val="18"/>
                <w:szCs w:val="18"/>
              </w:rPr>
              <w:t>号</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4"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西园八路</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4</w:t>
            </w:r>
            <w:r>
              <w:rPr>
                <w:rFonts w:ascii="宋体" w:hAnsi="宋体" w:cs="宋体" w:eastAsia="宋体" w:hint="default"/>
                <w:sz w:val="18"/>
                <w:szCs w:val="18"/>
              </w:rPr>
              <w:t>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4704.67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非住宅</w:t>
            </w:r>
          </w:p>
        </w:tc>
      </w:tr>
      <w:tr>
        <w:trPr>
          <w:trHeight w:val="348"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杭房权证西移字第</w:t>
            </w:r>
            <w:r>
              <w:rPr>
                <w:rFonts w:ascii="Times New Roman" w:hAnsi="Times New Roman" w:cs="Times New Roman" w:eastAsia="Times New Roman" w:hint="default"/>
                <w:sz w:val="18"/>
                <w:szCs w:val="18"/>
              </w:rPr>
              <w:t>16232995</w:t>
            </w:r>
            <w:r>
              <w:rPr>
                <w:rFonts w:ascii="宋体" w:hAnsi="宋体" w:cs="宋体" w:eastAsia="宋体" w:hint="default"/>
                <w:sz w:val="18"/>
                <w:szCs w:val="18"/>
              </w:rPr>
              <w:t>号</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4"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西园八路</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5</w:t>
            </w:r>
            <w:r>
              <w:rPr>
                <w:rFonts w:ascii="宋体" w:hAnsi="宋体" w:cs="宋体" w:eastAsia="宋体" w:hint="default"/>
                <w:sz w:val="18"/>
                <w:szCs w:val="18"/>
              </w:rPr>
              <w:t>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4704.67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非住宅</w:t>
            </w:r>
          </w:p>
        </w:tc>
      </w:tr>
      <w:tr>
        <w:trPr>
          <w:trHeight w:val="346"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杭房权证西移字第</w:t>
            </w:r>
            <w:r>
              <w:rPr>
                <w:rFonts w:ascii="Times New Roman" w:hAnsi="Times New Roman" w:cs="Times New Roman" w:eastAsia="Times New Roman" w:hint="default"/>
                <w:sz w:val="18"/>
                <w:szCs w:val="18"/>
              </w:rPr>
              <w:t>16232998</w:t>
            </w:r>
            <w:r>
              <w:rPr>
                <w:rFonts w:ascii="宋体" w:hAnsi="宋体" w:cs="宋体" w:eastAsia="宋体" w:hint="default"/>
                <w:sz w:val="18"/>
                <w:szCs w:val="18"/>
              </w:rPr>
              <w:t>号</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4"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西园八路</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6</w:t>
            </w:r>
            <w:r>
              <w:rPr>
                <w:rFonts w:ascii="宋体" w:hAnsi="宋体" w:cs="宋体" w:eastAsia="宋体" w:hint="default"/>
                <w:sz w:val="18"/>
                <w:szCs w:val="18"/>
              </w:rPr>
              <w:t>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4704.67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非住宅</w:t>
            </w:r>
          </w:p>
        </w:tc>
      </w:tr>
      <w:tr>
        <w:trPr>
          <w:trHeight w:val="348"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杭房权证西移字第</w:t>
            </w:r>
            <w:r>
              <w:rPr>
                <w:rFonts w:ascii="Times New Roman" w:hAnsi="Times New Roman" w:cs="Times New Roman" w:eastAsia="Times New Roman" w:hint="default"/>
                <w:sz w:val="18"/>
                <w:szCs w:val="18"/>
              </w:rPr>
              <w:t>16232999</w:t>
            </w:r>
            <w:r>
              <w:rPr>
                <w:rFonts w:ascii="宋体" w:hAnsi="宋体" w:cs="宋体" w:eastAsia="宋体" w:hint="default"/>
                <w:sz w:val="18"/>
                <w:szCs w:val="18"/>
              </w:rPr>
              <w:t>号</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4"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西园八路</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7</w:t>
            </w:r>
            <w:r>
              <w:rPr>
                <w:rFonts w:ascii="宋体" w:hAnsi="宋体" w:cs="宋体" w:eastAsia="宋体" w:hint="default"/>
                <w:sz w:val="18"/>
                <w:szCs w:val="18"/>
              </w:rPr>
              <w:t>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8238.27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非住宅</w:t>
            </w:r>
          </w:p>
        </w:tc>
      </w:tr>
      <w:tr>
        <w:trPr>
          <w:trHeight w:val="348"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杭房权证西移字第</w:t>
            </w:r>
            <w:r>
              <w:rPr>
                <w:rFonts w:ascii="Times New Roman" w:hAnsi="Times New Roman" w:cs="Times New Roman" w:eastAsia="Times New Roman" w:hint="default"/>
                <w:sz w:val="18"/>
                <w:szCs w:val="18"/>
              </w:rPr>
              <w:t>16233002</w:t>
            </w:r>
            <w:r>
              <w:rPr>
                <w:rFonts w:ascii="宋体" w:hAnsi="宋体" w:cs="宋体" w:eastAsia="宋体" w:hint="default"/>
                <w:sz w:val="18"/>
                <w:szCs w:val="18"/>
              </w:rPr>
              <w:t>号</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4"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西园八路</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8</w:t>
            </w:r>
            <w:r>
              <w:rPr>
                <w:rFonts w:ascii="宋体" w:hAnsi="宋体" w:cs="宋体" w:eastAsia="宋体" w:hint="default"/>
                <w:sz w:val="18"/>
                <w:szCs w:val="18"/>
              </w:rPr>
              <w:t>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5078.55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非住宅</w:t>
            </w:r>
          </w:p>
        </w:tc>
      </w:tr>
      <w:tr>
        <w:trPr>
          <w:trHeight w:val="346"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沪房地徐字（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020932</w:t>
            </w:r>
            <w:r>
              <w:rPr>
                <w:rFonts w:ascii="宋体" w:hAnsi="宋体" w:cs="宋体" w:eastAsia="宋体" w:hint="default"/>
                <w:sz w:val="18"/>
                <w:szCs w:val="18"/>
              </w:rPr>
              <w:t>号</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4"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龙华中路</w:t>
            </w:r>
            <w:r>
              <w:rPr>
                <w:rFonts w:ascii="Times New Roman" w:hAnsi="Times New Roman" w:cs="Times New Roman" w:eastAsia="Times New Roman" w:hint="default"/>
                <w:sz w:val="18"/>
                <w:szCs w:val="18"/>
              </w:rPr>
              <w:t>596</w:t>
            </w:r>
            <w:r>
              <w:rPr>
                <w:rFonts w:ascii="宋体" w:hAnsi="宋体" w:cs="宋体" w:eastAsia="宋体" w:hint="default"/>
                <w:sz w:val="18"/>
                <w:szCs w:val="18"/>
              </w:rPr>
              <w:t>号</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274.35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348"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粤房地权证穗字第</w:t>
            </w:r>
            <w:r>
              <w:rPr>
                <w:rFonts w:ascii="Times New Roman" w:hAnsi="Times New Roman" w:cs="Times New Roman" w:eastAsia="Times New Roman" w:hint="default"/>
                <w:sz w:val="18"/>
                <w:szCs w:val="18"/>
              </w:rPr>
              <w:t>0920033514</w:t>
            </w:r>
            <w:r>
              <w:rPr>
                <w:rFonts w:ascii="宋体" w:hAnsi="宋体" w:cs="宋体" w:eastAsia="宋体" w:hint="default"/>
                <w:sz w:val="18"/>
                <w:szCs w:val="18"/>
              </w:rPr>
              <w:t>号</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4"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天河区体育西路</w:t>
            </w:r>
            <w:r>
              <w:rPr>
                <w:rFonts w:ascii="Times New Roman" w:hAnsi="Times New Roman" w:cs="Times New Roman" w:eastAsia="Times New Roman" w:hint="default"/>
                <w:sz w:val="18"/>
                <w:szCs w:val="18"/>
              </w:rPr>
              <w:t>191</w:t>
            </w:r>
            <w:r>
              <w:rPr>
                <w:rFonts w:ascii="宋体" w:hAnsi="宋体" w:cs="宋体" w:eastAsia="宋体" w:hint="default"/>
                <w:sz w:val="18"/>
                <w:szCs w:val="18"/>
              </w:rPr>
              <w:t>号</w:t>
            </w:r>
            <w:r>
              <w:rPr>
                <w:rFonts w:ascii="Times New Roman" w:hAnsi="Times New Roman" w:cs="Times New Roman" w:eastAsia="Times New Roman" w:hint="default"/>
                <w:sz w:val="18"/>
                <w:szCs w:val="18"/>
              </w:rPr>
              <w:t>B</w:t>
            </w:r>
            <w:r>
              <w:rPr>
                <w:rFonts w:ascii="宋体" w:hAnsi="宋体" w:cs="宋体" w:eastAsia="宋体" w:hint="default"/>
                <w:sz w:val="18"/>
                <w:szCs w:val="18"/>
              </w:rPr>
              <w:t>塔</w:t>
            </w:r>
            <w:r>
              <w:rPr>
                <w:rFonts w:ascii="Times New Roman" w:hAnsi="Times New Roman" w:cs="Times New Roman" w:eastAsia="Times New Roman" w:hint="default"/>
                <w:sz w:val="18"/>
                <w:szCs w:val="18"/>
              </w:rPr>
              <w:t>4122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346"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粤房地权证穗字第</w:t>
            </w:r>
            <w:r>
              <w:rPr>
                <w:rFonts w:ascii="Times New Roman" w:hAnsi="Times New Roman" w:cs="Times New Roman" w:eastAsia="Times New Roman" w:hint="default"/>
                <w:sz w:val="18"/>
                <w:szCs w:val="18"/>
              </w:rPr>
              <w:t>0920033518</w:t>
            </w:r>
            <w:r>
              <w:rPr>
                <w:rFonts w:ascii="宋体" w:hAnsi="宋体" w:cs="宋体" w:eastAsia="宋体" w:hint="default"/>
                <w:sz w:val="18"/>
                <w:szCs w:val="18"/>
              </w:rPr>
              <w:t>号</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4"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天河区体育西路</w:t>
            </w:r>
            <w:r>
              <w:rPr>
                <w:rFonts w:ascii="Times New Roman" w:hAnsi="Times New Roman" w:cs="Times New Roman" w:eastAsia="Times New Roman" w:hint="default"/>
                <w:sz w:val="18"/>
                <w:szCs w:val="18"/>
              </w:rPr>
              <w:t>191</w:t>
            </w:r>
            <w:r>
              <w:rPr>
                <w:rFonts w:ascii="宋体" w:hAnsi="宋体" w:cs="宋体" w:eastAsia="宋体" w:hint="default"/>
                <w:sz w:val="18"/>
                <w:szCs w:val="18"/>
              </w:rPr>
              <w:t>号</w:t>
            </w:r>
            <w:r>
              <w:rPr>
                <w:rFonts w:ascii="Times New Roman" w:hAnsi="Times New Roman" w:cs="Times New Roman" w:eastAsia="Times New Roman" w:hint="default"/>
                <w:sz w:val="18"/>
                <w:szCs w:val="18"/>
              </w:rPr>
              <w:t>B</w:t>
            </w:r>
            <w:r>
              <w:rPr>
                <w:rFonts w:ascii="宋体" w:hAnsi="宋体" w:cs="宋体" w:eastAsia="宋体" w:hint="default"/>
                <w:sz w:val="18"/>
                <w:szCs w:val="18"/>
              </w:rPr>
              <w:t>塔</w:t>
            </w:r>
            <w:r>
              <w:rPr>
                <w:rFonts w:ascii="Times New Roman" w:hAnsi="Times New Roman" w:cs="Times New Roman" w:eastAsia="Times New Roman" w:hint="default"/>
                <w:sz w:val="18"/>
                <w:szCs w:val="18"/>
              </w:rPr>
              <w:t>4123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124.97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349"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粤房地权证穗字第</w:t>
            </w:r>
            <w:r>
              <w:rPr>
                <w:rFonts w:ascii="Times New Roman" w:hAnsi="Times New Roman" w:cs="Times New Roman" w:eastAsia="Times New Roman" w:hint="default"/>
                <w:sz w:val="18"/>
                <w:szCs w:val="18"/>
              </w:rPr>
              <w:t>0920033520</w:t>
            </w:r>
            <w:r>
              <w:rPr>
                <w:rFonts w:ascii="宋体" w:hAnsi="宋体" w:cs="宋体" w:eastAsia="宋体" w:hint="default"/>
                <w:sz w:val="18"/>
                <w:szCs w:val="18"/>
              </w:rPr>
              <w:t>号</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4"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天河区体育西路</w:t>
            </w:r>
            <w:r>
              <w:rPr>
                <w:rFonts w:ascii="Times New Roman" w:hAnsi="Times New Roman" w:cs="Times New Roman" w:eastAsia="Times New Roman" w:hint="default"/>
                <w:sz w:val="18"/>
                <w:szCs w:val="18"/>
              </w:rPr>
              <w:t>191</w:t>
            </w:r>
            <w:r>
              <w:rPr>
                <w:rFonts w:ascii="宋体" w:hAnsi="宋体" w:cs="宋体" w:eastAsia="宋体" w:hint="default"/>
                <w:sz w:val="18"/>
                <w:szCs w:val="18"/>
              </w:rPr>
              <w:t>号</w:t>
            </w:r>
            <w:r>
              <w:rPr>
                <w:rFonts w:ascii="Times New Roman" w:hAnsi="Times New Roman" w:cs="Times New Roman" w:eastAsia="Times New Roman" w:hint="default"/>
                <w:sz w:val="18"/>
                <w:szCs w:val="18"/>
              </w:rPr>
              <w:t>B</w:t>
            </w:r>
            <w:r>
              <w:rPr>
                <w:rFonts w:ascii="宋体" w:hAnsi="宋体" w:cs="宋体" w:eastAsia="宋体" w:hint="default"/>
                <w:sz w:val="18"/>
                <w:szCs w:val="18"/>
              </w:rPr>
              <w:t>塔</w:t>
            </w:r>
            <w:r>
              <w:rPr>
                <w:rFonts w:ascii="Times New Roman" w:hAnsi="Times New Roman" w:cs="Times New Roman" w:eastAsia="Times New Roman" w:hint="default"/>
                <w:sz w:val="18"/>
                <w:szCs w:val="18"/>
              </w:rPr>
              <w:t>4101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91.8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348"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粤房地权证穗字第</w:t>
            </w:r>
            <w:r>
              <w:rPr>
                <w:rFonts w:ascii="Times New Roman" w:hAnsi="Times New Roman" w:cs="Times New Roman" w:eastAsia="Times New Roman" w:hint="default"/>
                <w:sz w:val="18"/>
                <w:szCs w:val="18"/>
              </w:rPr>
              <w:t>0920033780</w:t>
            </w:r>
            <w:r>
              <w:rPr>
                <w:rFonts w:ascii="宋体" w:hAnsi="宋体" w:cs="宋体" w:eastAsia="宋体" w:hint="default"/>
                <w:sz w:val="18"/>
                <w:szCs w:val="18"/>
              </w:rPr>
              <w:t>号</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4"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天河区体育西路</w:t>
            </w:r>
            <w:r>
              <w:rPr>
                <w:rFonts w:ascii="Times New Roman" w:hAnsi="Times New Roman" w:cs="Times New Roman" w:eastAsia="Times New Roman" w:hint="default"/>
                <w:sz w:val="18"/>
                <w:szCs w:val="18"/>
              </w:rPr>
              <w:t>191</w:t>
            </w:r>
            <w:r>
              <w:rPr>
                <w:rFonts w:ascii="宋体" w:hAnsi="宋体" w:cs="宋体" w:eastAsia="宋体" w:hint="default"/>
                <w:sz w:val="18"/>
                <w:szCs w:val="18"/>
              </w:rPr>
              <w:t>号</w:t>
            </w:r>
            <w:r>
              <w:rPr>
                <w:rFonts w:ascii="Times New Roman" w:hAnsi="Times New Roman" w:cs="Times New Roman" w:eastAsia="Times New Roman" w:hint="default"/>
                <w:sz w:val="18"/>
                <w:szCs w:val="18"/>
              </w:rPr>
              <w:t>B</w:t>
            </w:r>
            <w:r>
              <w:rPr>
                <w:rFonts w:ascii="宋体" w:hAnsi="宋体" w:cs="宋体" w:eastAsia="宋体" w:hint="default"/>
                <w:sz w:val="18"/>
                <w:szCs w:val="18"/>
              </w:rPr>
              <w:t>塔</w:t>
            </w:r>
            <w:r>
              <w:rPr>
                <w:rFonts w:ascii="Times New Roman" w:hAnsi="Times New Roman" w:cs="Times New Roman" w:eastAsia="Times New Roman" w:hint="default"/>
                <w:sz w:val="18"/>
                <w:szCs w:val="18"/>
              </w:rPr>
              <w:t>4124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124.97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346"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陕（</w:t>
            </w:r>
            <w:r>
              <w:rPr>
                <w:rFonts w:ascii="Times New Roman" w:hAnsi="Times New Roman" w:cs="Times New Roman" w:eastAsia="Times New Roman" w:hint="default"/>
                <w:sz w:val="18"/>
                <w:szCs w:val="18"/>
              </w:rPr>
              <w:t>2018</w:t>
            </w:r>
            <w:r>
              <w:rPr>
                <w:rFonts w:ascii="宋体" w:hAnsi="宋体" w:cs="宋体" w:eastAsia="宋体" w:hint="default"/>
                <w:sz w:val="18"/>
                <w:szCs w:val="18"/>
              </w:rPr>
              <w:t>）西安市不动产权第</w:t>
            </w:r>
            <w:r>
              <w:rPr>
                <w:rFonts w:ascii="Times New Roman" w:hAnsi="Times New Roman" w:cs="Times New Roman" w:eastAsia="Times New Roman" w:hint="default"/>
                <w:sz w:val="18"/>
                <w:szCs w:val="18"/>
              </w:rPr>
              <w:t>1476243</w:t>
            </w:r>
            <w:r>
              <w:rPr>
                <w:rFonts w:ascii="宋体" w:hAnsi="宋体" w:cs="宋体" w:eastAsia="宋体" w:hint="default"/>
                <w:sz w:val="18"/>
                <w:szCs w:val="18"/>
              </w:rPr>
              <w:t>号</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4"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西安市高新区科技二路</w:t>
            </w:r>
            <w:r>
              <w:rPr>
                <w:rFonts w:ascii="Times New Roman" w:hAnsi="Times New Roman" w:cs="Times New Roman" w:eastAsia="Times New Roman" w:hint="default"/>
                <w:sz w:val="18"/>
                <w:szCs w:val="18"/>
              </w:rPr>
              <w:t>65</w:t>
            </w:r>
            <w:r>
              <w:rPr>
                <w:rFonts w:ascii="宋体" w:hAnsi="宋体" w:cs="宋体" w:eastAsia="宋体" w:hint="default"/>
                <w:sz w:val="18"/>
                <w:szCs w:val="18"/>
              </w:rPr>
              <w:t>号</w:t>
            </w:r>
            <w:r>
              <w:rPr>
                <w:rFonts w:ascii="Times New Roman" w:hAnsi="Times New Roman" w:cs="Times New Roman" w:eastAsia="Times New Roman" w:hint="default"/>
                <w:sz w:val="18"/>
                <w:szCs w:val="18"/>
              </w:rPr>
              <w:t>7</w:t>
            </w:r>
            <w:r>
              <w:rPr>
                <w:rFonts w:ascii="宋体" w:hAnsi="宋体" w:cs="宋体" w:eastAsia="宋体" w:hint="default"/>
                <w:sz w:val="18"/>
                <w:szCs w:val="18"/>
              </w:rPr>
              <w:t>幢</w:t>
            </w:r>
            <w:r>
              <w:rPr>
                <w:rFonts w:ascii="Times New Roman" w:hAnsi="Times New Roman" w:cs="Times New Roman" w:eastAsia="Times New Roman" w:hint="default"/>
                <w:sz w:val="18"/>
                <w:szCs w:val="18"/>
              </w:rPr>
              <w:t>31901</w:t>
            </w:r>
            <w:r>
              <w:rPr>
                <w:rFonts w:ascii="宋体" w:hAnsi="宋体" w:cs="宋体" w:eastAsia="宋体" w:hint="default"/>
                <w:sz w:val="18"/>
                <w:szCs w:val="18"/>
              </w:rPr>
              <w:t>室</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630.39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60"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杭房权证西字第</w:t>
            </w:r>
            <w:r>
              <w:rPr>
                <w:rFonts w:ascii="Times New Roman" w:hAnsi="Times New Roman" w:cs="Times New Roman" w:eastAsia="Times New Roman" w:hint="default"/>
                <w:sz w:val="18"/>
                <w:szCs w:val="18"/>
              </w:rPr>
              <w:t>0000297</w:t>
            </w:r>
            <w:r>
              <w:rPr>
                <w:rFonts w:ascii="宋体" w:hAnsi="宋体" w:cs="宋体" w:eastAsia="宋体" w:hint="default"/>
                <w:sz w:val="18"/>
                <w:szCs w:val="18"/>
              </w:rPr>
              <w:t>号</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3" w:right="41"/>
              <w:jc w:val="left"/>
              <w:rPr>
                <w:rFonts w:ascii="宋体" w:hAnsi="宋体" w:cs="宋体" w:eastAsia="宋体" w:hint="default"/>
                <w:sz w:val="18"/>
                <w:szCs w:val="18"/>
              </w:rPr>
            </w:pPr>
            <w:r>
              <w:rPr>
                <w:rFonts w:ascii="宋体" w:hAnsi="宋体" w:cs="宋体" w:eastAsia="宋体" w:hint="default"/>
                <w:sz w:val="18"/>
                <w:szCs w:val="18"/>
              </w:rPr>
              <w:t>杭州银江电 子有限公司</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1370" w:right="-3" w:hanging="1366"/>
              <w:jc w:val="left"/>
              <w:rPr>
                <w:rFonts w:ascii="宋体" w:hAnsi="宋体" w:cs="宋体" w:eastAsia="宋体" w:hint="default"/>
                <w:sz w:val="18"/>
                <w:szCs w:val="18"/>
              </w:rPr>
            </w:pPr>
            <w:r>
              <w:rPr>
                <w:rFonts w:ascii="宋体" w:hAnsi="宋体" w:cs="宋体" w:eastAsia="宋体" w:hint="default"/>
                <w:spacing w:val="-3"/>
                <w:sz w:val="18"/>
                <w:szCs w:val="18"/>
              </w:rPr>
              <w:t>西斗门高新开发区工业园（新益乐路</w:t>
            </w:r>
            <w:r>
              <w:rPr>
                <w:rFonts w:ascii="Times New Roman" w:hAnsi="Times New Roman" w:cs="Times New Roman" w:eastAsia="Times New Roman" w:hint="default"/>
                <w:spacing w:val="-3"/>
                <w:sz w:val="18"/>
                <w:szCs w:val="18"/>
              </w:rPr>
              <w:t>223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61.12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非住宅</w:t>
            </w:r>
          </w:p>
        </w:tc>
      </w:tr>
    </w:tbl>
    <w:p>
      <w:pPr>
        <w:pStyle w:val="BodyText"/>
        <w:spacing w:line="240" w:lineRule="auto" w:before="8"/>
        <w:ind w:right="1133"/>
        <w:jc w:val="left"/>
      </w:pPr>
      <w:r>
        <w:rPr>
          <w:rFonts w:ascii="宋体" w:hAnsi="宋体" w:cs="宋体" w:eastAsia="宋体" w:hint="default"/>
        </w:rPr>
        <w:t>2</w:t>
      </w:r>
      <w:r>
        <w:rPr/>
        <w:t>、无形资产情况</w:t>
      </w:r>
    </w:p>
    <w:p>
      <w:pPr>
        <w:pStyle w:val="BodyText"/>
        <w:spacing w:line="240" w:lineRule="auto" w:before="76"/>
        <w:ind w:right="1133"/>
        <w:jc w:val="left"/>
      </w:pPr>
      <w:r>
        <w:rPr/>
        <w:t>（</w:t>
      </w:r>
      <w:r>
        <w:rPr>
          <w:rFonts w:ascii="宋体" w:hAnsi="宋体" w:cs="宋体" w:eastAsia="宋体" w:hint="default"/>
        </w:rPr>
        <w:t>1</w:t>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日，公司共有</w:t>
      </w:r>
      <w:r>
        <w:rPr>
          <w:rFonts w:ascii="宋体" w:hAnsi="宋体" w:cs="宋体" w:eastAsia="宋体" w:hint="default"/>
        </w:rPr>
        <w:t>66</w:t>
      </w:r>
      <w:r>
        <w:rPr/>
        <w:t>项注册商标，其中</w:t>
      </w:r>
      <w:r>
        <w:rPr>
          <w:rFonts w:ascii="宋体" w:hAnsi="宋体" w:cs="宋体" w:eastAsia="宋体" w:hint="default"/>
        </w:rPr>
        <w:t>2019</w:t>
      </w:r>
      <w:r>
        <w:rPr/>
        <w:t>年度新增了</w:t>
      </w:r>
      <w:r>
        <w:rPr>
          <w:rFonts w:ascii="宋体" w:hAnsi="宋体" w:cs="宋体" w:eastAsia="宋体" w:hint="default"/>
        </w:rPr>
        <w:t>2</w:t>
      </w:r>
      <w:r>
        <w:rPr/>
        <w:t>项。</w:t>
      </w:r>
    </w:p>
    <w:p>
      <w:pPr>
        <w:pStyle w:val="BodyText"/>
        <w:spacing w:line="240" w:lineRule="auto" w:before="76"/>
        <w:ind w:right="1133"/>
        <w:jc w:val="left"/>
      </w:pPr>
      <w:r>
        <w:rPr/>
        <w:t>（</w:t>
      </w:r>
      <w:r>
        <w:rPr>
          <w:rFonts w:ascii="宋体" w:hAnsi="宋体" w:cs="宋体" w:eastAsia="宋体" w:hint="default"/>
        </w:rPr>
        <w:t>2</w:t>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日，公司共拥有</w:t>
      </w:r>
      <w:r>
        <w:rPr>
          <w:rFonts w:ascii="宋体" w:hAnsi="宋体" w:cs="宋体" w:eastAsia="宋体" w:hint="default"/>
        </w:rPr>
        <w:t>83</w:t>
      </w:r>
      <w:r>
        <w:rPr/>
        <w:t>项资质证书，其中</w:t>
      </w:r>
      <w:r>
        <w:rPr>
          <w:rFonts w:ascii="宋体" w:hAnsi="宋体" w:cs="宋体" w:eastAsia="宋体" w:hint="default"/>
        </w:rPr>
        <w:t>2019</w:t>
      </w:r>
      <w:r>
        <w:rPr/>
        <w:t>年度新增了</w:t>
      </w:r>
      <w:r>
        <w:rPr>
          <w:rFonts w:ascii="宋体" w:hAnsi="宋体" w:cs="宋体" w:eastAsia="宋体" w:hint="default"/>
        </w:rPr>
        <w:t>2</w:t>
      </w:r>
      <w:r>
        <w:rPr/>
        <w:t>项。</w:t>
      </w:r>
    </w:p>
    <w:p>
      <w:pPr>
        <w:pStyle w:val="BodyText"/>
        <w:spacing w:line="316" w:lineRule="auto" w:before="76"/>
        <w:ind w:right="1133"/>
        <w:jc w:val="left"/>
      </w:pPr>
      <w:r>
        <w:rPr>
          <w:spacing w:val="-2"/>
        </w:rPr>
        <w:t>（</w:t>
      </w:r>
      <w:r>
        <w:rPr>
          <w:rFonts w:ascii="宋体" w:hAnsi="宋体" w:cs="宋体" w:eastAsia="宋体" w:hint="default"/>
          <w:spacing w:val="-2"/>
        </w:rPr>
        <w:t>3</w:t>
      </w:r>
      <w:r>
        <w:rPr>
          <w:spacing w:val="-2"/>
        </w:rPr>
        <w:t>）截至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日，公司共获得</w:t>
      </w:r>
      <w:r>
        <w:rPr>
          <w:rFonts w:ascii="宋体" w:hAnsi="宋体" w:cs="宋体" w:eastAsia="宋体" w:hint="default"/>
          <w:spacing w:val="-2"/>
        </w:rPr>
        <w:t>178</w:t>
      </w:r>
      <w:r>
        <w:rPr>
          <w:spacing w:val="-2"/>
        </w:rPr>
        <w:t>项专利，其中</w:t>
      </w:r>
      <w:r>
        <w:rPr>
          <w:rFonts w:ascii="宋体" w:hAnsi="宋体" w:cs="宋体" w:eastAsia="宋体" w:hint="default"/>
          <w:spacing w:val="-2"/>
        </w:rPr>
        <w:t>2019</w:t>
      </w:r>
      <w:r>
        <w:rPr>
          <w:spacing w:val="-2"/>
        </w:rPr>
        <w:t>年年度新增授权专利</w:t>
      </w:r>
      <w:r>
        <w:rPr>
          <w:rFonts w:ascii="宋体" w:hAnsi="宋体" w:cs="宋体" w:eastAsia="宋体" w:hint="default"/>
          <w:spacing w:val="-2"/>
        </w:rPr>
        <w:t>22</w:t>
      </w:r>
      <w:r>
        <w:rPr>
          <w:spacing w:val="-2"/>
        </w:rPr>
        <w:t>项。正在申请注册的专利有</w:t>
      </w:r>
      <w:r>
        <w:rPr>
          <w:rFonts w:ascii="宋体" w:hAnsi="宋体" w:cs="宋体" w:eastAsia="宋体" w:hint="default"/>
          <w:spacing w:val="-2"/>
        </w:rPr>
        <w:t>58</w:t>
      </w:r>
      <w:r>
        <w:rPr>
          <w:spacing w:val="-2"/>
        </w:rPr>
        <w:t>项。</w:t>
      </w:r>
      <w:r>
        <w:rPr>
          <w:rFonts w:ascii="宋体" w:hAnsi="宋体" w:cs="宋体" w:eastAsia="宋体" w:hint="default"/>
          <w:spacing w:val="-2"/>
        </w:rPr>
        <w:t>2019</w:t>
      </w:r>
      <w:r>
        <w:rPr>
          <w:rFonts w:ascii="宋体" w:hAnsi="宋体" w:cs="宋体" w:eastAsia="宋体" w:hint="default"/>
          <w:spacing w:val="-50"/>
        </w:rPr>
        <w:t> </w:t>
      </w:r>
      <w:r>
        <w:rPr>
          <w:rFonts w:ascii="宋体" w:hAnsi="宋体" w:cs="宋体" w:eastAsia="宋体" w:hint="default"/>
          <w:spacing w:val="-50"/>
        </w:rPr>
      </w:r>
      <w:r>
        <w:rPr/>
        <w:t>年年度新申请专利</w:t>
      </w:r>
      <w:r>
        <w:rPr>
          <w:rFonts w:ascii="宋体" w:hAnsi="宋体" w:cs="宋体" w:eastAsia="宋体" w:hint="default"/>
        </w:rPr>
        <w:t>21</w:t>
      </w:r>
      <w:r>
        <w:rPr/>
        <w:t>项。</w:t>
      </w:r>
    </w:p>
    <w:p>
      <w:pPr>
        <w:pStyle w:val="BodyText"/>
        <w:spacing w:line="240" w:lineRule="auto" w:before="19"/>
        <w:ind w:right="1133"/>
        <w:jc w:val="left"/>
      </w:pPr>
      <w:r>
        <w:rPr/>
        <w:t>（</w:t>
      </w:r>
      <w:r>
        <w:rPr>
          <w:rFonts w:ascii="宋体" w:hAnsi="宋体" w:cs="宋体" w:eastAsia="宋体" w:hint="default"/>
        </w:rPr>
        <w:t>4</w:t>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日，公司共有</w:t>
      </w:r>
      <w:r>
        <w:rPr>
          <w:rFonts w:ascii="宋体" w:hAnsi="宋体" w:cs="宋体" w:eastAsia="宋体" w:hint="default"/>
        </w:rPr>
        <w:t>69</w:t>
      </w:r>
      <w:r>
        <w:rPr/>
        <w:t>项软件产品。</w:t>
      </w:r>
    </w:p>
    <w:p>
      <w:pPr>
        <w:pStyle w:val="BodyText"/>
        <w:spacing w:line="240" w:lineRule="auto" w:before="77"/>
        <w:ind w:right="1133"/>
        <w:jc w:val="left"/>
      </w:pPr>
      <w:r>
        <w:rPr/>
        <w:t>（</w:t>
      </w:r>
      <w:r>
        <w:rPr>
          <w:rFonts w:ascii="宋体" w:hAnsi="宋体" w:cs="宋体" w:eastAsia="宋体" w:hint="default"/>
        </w:rPr>
        <w:t>5</w:t>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日，公司共有</w:t>
      </w:r>
      <w:r>
        <w:rPr>
          <w:rFonts w:ascii="宋体" w:hAnsi="宋体" w:cs="宋体" w:eastAsia="宋体" w:hint="default"/>
        </w:rPr>
        <w:t>760</w:t>
      </w:r>
      <w:r>
        <w:rPr/>
        <w:t>项著作权，其中</w:t>
      </w:r>
      <w:r>
        <w:rPr>
          <w:rFonts w:ascii="宋体" w:hAnsi="宋体" w:cs="宋体" w:eastAsia="宋体" w:hint="default"/>
        </w:rPr>
        <w:t>2019</w:t>
      </w:r>
      <w:r>
        <w:rPr/>
        <w:t>年度新增了</w:t>
      </w:r>
      <w:r>
        <w:rPr>
          <w:rFonts w:ascii="宋体" w:hAnsi="宋体" w:cs="宋体" w:eastAsia="宋体" w:hint="default"/>
        </w:rPr>
        <w:t>76</w:t>
      </w:r>
      <w:r>
        <w:rPr/>
        <w:t>项。</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第四节经营情况讨论与分析" w:id="22"/>
      <w:bookmarkEnd w:id="22"/>
      <w:r>
        <w:rPr>
          <w:b w:val="0"/>
          <w:bCs w:val="0"/>
        </w:rPr>
      </w:r>
      <w:bookmarkStart w:name="_bookmark3" w:id="23"/>
      <w:bookmarkEnd w:id="23"/>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bookmarkStart w:name="一、概述" w:id="24"/>
      <w:bookmarkEnd w:id="24"/>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8"/>
        <w:jc w:val="both"/>
      </w:pPr>
      <w:r>
        <w:rPr>
          <w:rFonts w:ascii="宋体" w:hAnsi="宋体" w:cs="宋体" w:eastAsia="宋体" w:hint="default"/>
          <w:spacing w:val="-2"/>
        </w:rPr>
        <w:t>2019</w:t>
      </w:r>
      <w:r>
        <w:rPr>
          <w:spacing w:val="-2"/>
        </w:rPr>
        <w:t>年，在全球经济增速放缓，国际国内经济形势面临诸多考验，“危”“机”并存的大环境下，公司经营管理层带领全体</w:t>
      </w:r>
      <w:r>
        <w:rPr>
          <w:spacing w:val="-62"/>
        </w:rPr>
        <w:t> </w:t>
      </w:r>
      <w:r>
        <w:rPr>
          <w:spacing w:val="-62"/>
        </w:rPr>
      </w:r>
      <w:r>
        <w:rPr>
          <w:spacing w:val="-2"/>
        </w:rPr>
        <w:t>员工在公司董事会战略指引下，“城市大脑运营服务商”核心战略经营理念稳步推进，进一步提升了公司城市大脑赋能智慧</w:t>
      </w:r>
      <w:r>
        <w:rPr>
          <w:spacing w:val="-64"/>
        </w:rPr>
        <w:t> </w:t>
      </w:r>
      <w:r>
        <w:rPr>
          <w:spacing w:val="-64"/>
        </w:rPr>
      </w:r>
      <w:r>
        <w:rPr>
          <w:spacing w:val="4"/>
        </w:rPr>
        <w:t>城市建设运营的能力。报告期内，公司实现营业收入</w:t>
      </w:r>
      <w:r>
        <w:rPr>
          <w:rFonts w:ascii="宋体" w:hAnsi="宋体" w:cs="宋体" w:eastAsia="宋体" w:hint="default"/>
          <w:spacing w:val="4"/>
        </w:rPr>
        <w:t>207,950.44</w:t>
      </w:r>
      <w:r>
        <w:rPr>
          <w:spacing w:val="4"/>
        </w:rPr>
        <w:t>万元，同比下降</w:t>
      </w:r>
      <w:r>
        <w:rPr>
          <w:rFonts w:ascii="宋体" w:hAnsi="宋体" w:cs="宋体" w:eastAsia="宋体" w:hint="default"/>
          <w:spacing w:val="4"/>
        </w:rPr>
        <w:t>13.83%</w:t>
      </w:r>
      <w:r>
        <w:rPr>
          <w:spacing w:val="4"/>
        </w:rPr>
        <w:t>，归属于上市公司股东的净利润</w:t>
      </w:r>
      <w:r>
        <w:rPr>
          <w:spacing w:val="-68"/>
        </w:rPr>
        <w:t> </w:t>
      </w:r>
      <w:r>
        <w:rPr>
          <w:spacing w:val="-68"/>
        </w:rPr>
      </w:r>
      <w:r>
        <w:rPr>
          <w:rFonts w:ascii="宋体" w:hAnsi="宋体" w:cs="宋体" w:eastAsia="宋体" w:hint="default"/>
        </w:rPr>
        <w:t>14,881.39</w:t>
      </w:r>
      <w:r>
        <w:rPr/>
        <w:t>万元，同比增长</w:t>
      </w:r>
      <w:r>
        <w:rPr>
          <w:rFonts w:ascii="宋体" w:hAnsi="宋体" w:cs="宋体" w:eastAsia="宋体" w:hint="default"/>
        </w:rPr>
        <w:t>462.75%</w:t>
      </w:r>
      <w:r>
        <w:rPr/>
        <w:t>，归属于上市公司股东的扣除非经常损益净利润</w:t>
      </w:r>
      <w:r>
        <w:rPr>
          <w:rFonts w:ascii="宋体" w:hAnsi="宋体" w:cs="宋体" w:eastAsia="宋体" w:hint="default"/>
        </w:rPr>
        <w:t>13145.94</w:t>
      </w:r>
      <w:r>
        <w:rPr/>
        <w:t>万元，同比增长</w:t>
      </w:r>
      <w:r>
        <w:rPr>
          <w:rFonts w:ascii="宋体" w:hAnsi="宋体" w:cs="宋体" w:eastAsia="宋体" w:hint="default"/>
        </w:rPr>
        <w:t>6.75%</w:t>
      </w:r>
      <w:r>
        <w:rPr/>
        <w:t>。报告期 内，公司具体经营情况回顾如下：</w:t>
      </w:r>
    </w:p>
    <w:p>
      <w:pPr>
        <w:pStyle w:val="BodyText"/>
        <w:spacing w:line="316" w:lineRule="auto" w:before="19"/>
        <w:ind w:right="1041"/>
        <w:jc w:val="left"/>
      </w:pPr>
      <w:r>
        <w:rPr>
          <w:rFonts w:ascii="宋体" w:hAnsi="宋体" w:cs="宋体" w:eastAsia="宋体" w:hint="default"/>
        </w:rPr>
        <w:t>1</w:t>
      </w:r>
      <w:r>
        <w:rPr/>
        <w:t>、战略转型见成效，继续坚持行业创新发展 报告期内，公司进一步执行“城市大脑运营服务商”战略定位，并取得一系列重要成果。在智慧经济建设中，以“技术</w:t>
      </w:r>
      <w:r>
        <w:rPr>
          <w:rFonts w:ascii="宋体" w:hAnsi="宋体" w:cs="宋体" w:eastAsia="宋体" w:hint="default"/>
        </w:rPr>
        <w:t>+</w:t>
      </w:r>
      <w:r>
        <w:rPr/>
        <w:t>市</w:t>
      </w:r>
      <w:r>
        <w:rPr>
          <w:spacing w:val="-83"/>
        </w:rPr>
        <w:t> </w:t>
      </w:r>
      <w:r>
        <w:rPr>
          <w:spacing w:val="-2"/>
        </w:rPr>
        <w:t>场”为核心，以“人工智能</w:t>
      </w:r>
      <w:r>
        <w:rPr>
          <w:rFonts w:ascii="宋体" w:hAnsi="宋体" w:cs="宋体" w:eastAsia="宋体" w:hint="default"/>
          <w:spacing w:val="-2"/>
        </w:rPr>
        <w:t>+</w:t>
      </w:r>
      <w:r>
        <w:rPr>
          <w:spacing w:val="-2"/>
        </w:rPr>
        <w:t>大数据</w:t>
      </w:r>
      <w:r>
        <w:rPr>
          <w:rFonts w:ascii="宋体" w:hAnsi="宋体" w:cs="宋体" w:eastAsia="宋体" w:hint="default"/>
          <w:spacing w:val="-2"/>
        </w:rPr>
        <w:t>+</w:t>
      </w:r>
      <w:r>
        <w:rPr>
          <w:spacing w:val="-2"/>
        </w:rPr>
        <w:t>云计算”等技术，构建城市大脑产业平台，覆盖交通大脑、健康大脑、司法大脑等，持</w:t>
      </w:r>
      <w:r>
        <w:rPr>
          <w:spacing w:val="-66"/>
        </w:rPr>
        <w:t> </w:t>
      </w:r>
      <w:r>
        <w:rPr>
          <w:spacing w:val="-66"/>
        </w:rPr>
      </w:r>
      <w:r>
        <w:rPr>
          <w:spacing w:val="-2"/>
        </w:rPr>
        <w:t>续构建数字产业大平台，撬动数字经济新杠杆，引领数字城市建设新步伐。其中城市大脑在交通领域通过大脑中枢和手脚联</w:t>
      </w:r>
      <w:r>
        <w:rPr>
          <w:spacing w:val="-63"/>
        </w:rPr>
        <w:t> </w:t>
      </w:r>
      <w:r>
        <w:rPr>
          <w:spacing w:val="-63"/>
        </w:rPr>
      </w:r>
      <w:r>
        <w:rPr>
          <w:spacing w:val="-2"/>
        </w:rPr>
        <w:t>动，实现完整的交通大脑闭环和深度应用服务，在杭州、南昌、西安等地进一步实现应用升级；城市大脑在健康领域，沈阳</w:t>
      </w:r>
      <w:r>
        <w:rPr>
          <w:spacing w:val="-68"/>
        </w:rPr>
        <w:t> </w:t>
      </w:r>
      <w:r>
        <w:rPr>
          <w:spacing w:val="-68"/>
        </w:rPr>
      </w:r>
      <w:r>
        <w:rPr>
          <w:spacing w:val="-2"/>
        </w:rPr>
        <w:t>市区域人口健康信息平台正式上线，成就全国首个副省级省会城市健康大脑项目示范效应；城市大脑在司法领域，一系列智</w:t>
      </w:r>
      <w:r>
        <w:rPr>
          <w:spacing w:val="-66"/>
        </w:rPr>
        <w:t> </w:t>
      </w:r>
      <w:r>
        <w:rPr>
          <w:spacing w:val="-66"/>
        </w:rPr>
      </w:r>
      <w:r>
        <w:rPr>
          <w:spacing w:val="-2"/>
        </w:rPr>
        <w:t>慧产品、方案和应用推陈出新，通过实践应用得到业内充分认可。其中“上海智慧法援服务监管一体化平台”荣获年度“智</w:t>
      </w:r>
      <w:r>
        <w:rPr>
          <w:spacing w:val="-68"/>
        </w:rPr>
        <w:t> </w:t>
      </w:r>
      <w:r>
        <w:rPr>
          <w:spacing w:val="-68"/>
        </w:rPr>
      </w:r>
      <w:r>
        <w:rPr/>
        <w:t>慧司法优秀解决方案”奖。同时，公司面向城市街镇级的数据大脑，获取崭新面貌和新的突破口，已在杭州得到应用推广。 </w:t>
      </w:r>
      <w:r>
        <w:rPr>
          <w:rFonts w:ascii="宋体" w:hAnsi="宋体" w:cs="宋体" w:eastAsia="宋体" w:hint="default"/>
        </w:rPr>
        <w:t>2</w:t>
      </w:r>
      <w:r>
        <w:rPr/>
        <w:t>、着力打好技术攻坚战，业务稳步增长 </w:t>
      </w:r>
      <w:r>
        <w:rPr>
          <w:spacing w:val="-2"/>
        </w:rPr>
        <w:t>报告期内，公司加快推进城市大脑战略，坚持创新驱动发展，着重提升技术实力，增强技术创新能力，提升技术品牌。在技</w:t>
      </w:r>
      <w:r>
        <w:rPr>
          <w:spacing w:val="-68"/>
        </w:rPr>
        <w:t> </w:t>
      </w:r>
      <w:r>
        <w:rPr>
          <w:spacing w:val="-68"/>
        </w:rPr>
      </w:r>
      <w:r>
        <w:rPr>
          <w:spacing w:val="-2"/>
        </w:rPr>
        <w:t>术引领方面，公司首次获得浙江省科技进步一等奖，并出版理论和思想武器《城市大脑》，实现了公司以城市大脑赋能智慧</w:t>
      </w:r>
      <w:r>
        <w:rPr>
          <w:spacing w:val="-67"/>
        </w:rPr>
        <w:t> </w:t>
      </w:r>
      <w:r>
        <w:rPr>
          <w:spacing w:val="-67"/>
        </w:rPr>
      </w:r>
      <w:r>
        <w:rPr/>
        <w:t>城市，推动城市发展跃升的思想引领和理论新高度。在产品服务应用方面，公司“</w:t>
      </w:r>
      <w:r>
        <w:rPr>
          <w:rFonts w:ascii="宋体" w:hAnsi="宋体" w:cs="宋体" w:eastAsia="宋体" w:hint="default"/>
        </w:rPr>
        <w:t>ENLOOP-Hub</w:t>
      </w:r>
      <w:r>
        <w:rPr/>
        <w:t>数据中枢云及一体机“发布， </w:t>
      </w:r>
      <w:r>
        <w:rPr>
          <w:spacing w:val="-2"/>
        </w:rPr>
        <w:t>通过中国信通院和华为鲲鹏认证，并在智慧司法、智慧应急等领域成功应用。在技术人才方面，公司加快高层次人才培养和</w:t>
      </w:r>
      <w:r>
        <w:rPr>
          <w:spacing w:val="-63"/>
        </w:rPr>
        <w:t> </w:t>
      </w:r>
      <w:r>
        <w:rPr>
          <w:spacing w:val="-63"/>
        </w:rPr>
      </w:r>
      <w:r>
        <w:rPr/>
        <w:t>高级职称建设，获中国博士后科学基金一等资助，入围浙江省万人计划，认定为杭州市</w:t>
      </w:r>
      <w:r>
        <w:rPr>
          <w:rFonts w:ascii="宋体" w:hAnsi="宋体" w:cs="宋体" w:eastAsia="宋体" w:hint="default"/>
        </w:rPr>
        <w:t>C</w:t>
      </w:r>
      <w:r>
        <w:rPr/>
        <w:t>类人才。在技术品牌方面，公司在</w:t>
      </w:r>
      <w:r>
        <w:rPr>
          <w:spacing w:val="-83"/>
        </w:rPr>
        <w:t> </w:t>
      </w:r>
      <w:r>
        <w:rPr>
          <w:spacing w:val="-83"/>
        </w:rPr>
      </w:r>
      <w:r>
        <w:rPr>
          <w:rFonts w:ascii="宋体" w:hAnsi="宋体" w:cs="宋体" w:eastAsia="宋体" w:hint="default"/>
          <w:spacing w:val="-2"/>
        </w:rPr>
        <w:t>IEEE</w:t>
      </w:r>
      <w:r>
        <w:rPr>
          <w:spacing w:val="-2"/>
        </w:rPr>
        <w:t>智能交通系统国际会议、中国</w:t>
      </w:r>
      <w:r>
        <w:rPr>
          <w:rFonts w:ascii="宋体" w:hAnsi="宋体" w:cs="宋体" w:eastAsia="宋体" w:hint="default"/>
          <w:spacing w:val="-2"/>
        </w:rPr>
        <w:t>-</w:t>
      </w:r>
      <w:r>
        <w:rPr>
          <w:spacing w:val="-2"/>
        </w:rPr>
        <w:t>中东欧国家创新合作大会、香港国际资讯科技博览会等国际国内重要行业会议发表演讲，</w:t>
      </w:r>
      <w:r>
        <w:rPr>
          <w:spacing w:val="-59"/>
        </w:rPr>
        <w:t> </w:t>
      </w:r>
      <w:r>
        <w:rPr>
          <w:spacing w:val="-59"/>
        </w:rPr>
      </w:r>
      <w:r>
        <w:rPr/>
        <w:t>全面提升了银江技术品牌的国际形象。</w:t>
      </w:r>
    </w:p>
    <w:p>
      <w:pPr>
        <w:pStyle w:val="BodyText"/>
        <w:spacing w:line="316" w:lineRule="auto" w:before="19"/>
        <w:ind w:right="1124"/>
        <w:jc w:val="left"/>
      </w:pPr>
      <w:r>
        <w:rPr>
          <w:rFonts w:ascii="宋体" w:hAnsi="宋体" w:cs="宋体" w:eastAsia="宋体" w:hint="default"/>
        </w:rPr>
        <w:t>3</w:t>
      </w:r>
      <w:r>
        <w:rPr/>
        <w:t>、技术创新成果丰硕，行业影响力显著提升 </w:t>
      </w:r>
      <w:r>
        <w:rPr>
          <w:spacing w:val="-2"/>
        </w:rPr>
        <w:t>报告期内，公司重视自主研发和技术创新，强调产品研发与市场需求的紧密结合，需求来源于客户，产品又服务于客户，研</w:t>
      </w:r>
      <w:r>
        <w:rPr>
          <w:spacing w:val="-67"/>
        </w:rPr>
        <w:t> </w:t>
      </w:r>
      <w:r>
        <w:rPr>
          <w:spacing w:val="-67"/>
        </w:rPr>
      </w:r>
      <w:r>
        <w:rPr>
          <w:spacing w:val="-2"/>
        </w:rPr>
        <w:t>发与市场形成了良好互动和相互促进。在技术研究、产品开发、技术平台建设、产学研合作等方面取得了系列化成果；公司</w:t>
      </w:r>
      <w:r>
        <w:rPr>
          <w:spacing w:val="-66"/>
        </w:rPr>
        <w:t> </w:t>
      </w:r>
      <w:r>
        <w:rPr>
          <w:spacing w:val="-66"/>
        </w:rPr>
      </w:r>
      <w:r>
        <w:rPr>
          <w:spacing w:val="-2"/>
        </w:rPr>
        <w:t>继续为世界互联网大会等国际顶级会议提供了技术、产品、服务和保障，得到了举办方高度评价，产生了良好的社会和行业</w:t>
      </w:r>
      <w:r>
        <w:rPr>
          <w:spacing w:val="-64"/>
        </w:rPr>
        <w:t> </w:t>
      </w:r>
      <w:r>
        <w:rPr>
          <w:spacing w:val="-64"/>
        </w:rPr>
      </w:r>
      <w:r>
        <w:rPr/>
        <w:t>影响力。报告期内，公司成功申报了</w:t>
      </w:r>
      <w:r>
        <w:rPr>
          <w:rFonts w:ascii="宋体" w:hAnsi="宋体" w:cs="宋体" w:eastAsia="宋体" w:hint="default"/>
        </w:rPr>
        <w:t>2</w:t>
      </w:r>
      <w:r>
        <w:rPr/>
        <w:t>项省级重大课题申报，公司及其控股子公司合计拥有</w:t>
      </w:r>
      <w:r>
        <w:rPr>
          <w:rFonts w:ascii="宋体" w:hAnsi="宋体" w:cs="宋体" w:eastAsia="宋体" w:hint="default"/>
        </w:rPr>
        <w:t>62</w:t>
      </w:r>
      <w:r>
        <w:rPr/>
        <w:t>项注册商标、</w:t>
      </w:r>
      <w:r>
        <w:rPr>
          <w:rFonts w:ascii="宋体" w:hAnsi="宋体" w:cs="宋体" w:eastAsia="宋体" w:hint="default"/>
        </w:rPr>
        <w:t>83</w:t>
      </w:r>
      <w:r>
        <w:rPr/>
        <w:t>项资质证书、</w:t>
      </w:r>
      <w:r>
        <w:rPr>
          <w:spacing w:val="-85"/>
        </w:rPr>
        <w:t> </w:t>
      </w:r>
      <w:r>
        <w:rPr>
          <w:rFonts w:ascii="宋体" w:hAnsi="宋体" w:cs="宋体" w:eastAsia="宋体" w:hint="default"/>
        </w:rPr>
        <w:t>185</w:t>
      </w:r>
      <w:r>
        <w:rPr/>
        <w:t>项授权专利（其中发明专利</w:t>
      </w:r>
      <w:r>
        <w:rPr>
          <w:rFonts w:ascii="宋体" w:hAnsi="宋体" w:cs="宋体" w:eastAsia="宋体" w:hint="default"/>
        </w:rPr>
        <w:t>117</w:t>
      </w:r>
      <w:r>
        <w:rPr/>
        <w:t>项）、</w:t>
      </w:r>
      <w:r>
        <w:rPr>
          <w:rFonts w:ascii="宋体" w:hAnsi="宋体" w:cs="宋体" w:eastAsia="宋体" w:hint="default"/>
        </w:rPr>
        <w:t>72</w:t>
      </w:r>
      <w:r>
        <w:rPr/>
        <w:t>项软件产品、</w:t>
      </w:r>
      <w:r>
        <w:rPr>
          <w:rFonts w:ascii="宋体" w:hAnsi="宋体" w:cs="宋体" w:eastAsia="宋体" w:hint="default"/>
        </w:rPr>
        <w:t>852</w:t>
      </w:r>
      <w:r>
        <w:rPr/>
        <w:t>项著作权、受理专利申请</w:t>
      </w:r>
      <w:r>
        <w:rPr>
          <w:rFonts w:ascii="宋体" w:hAnsi="宋体" w:cs="宋体" w:eastAsia="宋体" w:hint="default"/>
        </w:rPr>
        <w:t>89</w:t>
      </w:r>
      <w:r>
        <w:rPr/>
        <w:t>项，成果丰硕。</w:t>
      </w:r>
    </w:p>
    <w:p>
      <w:pPr>
        <w:pStyle w:val="BodyText"/>
        <w:spacing w:line="316" w:lineRule="auto" w:before="19"/>
        <w:ind w:right="1124"/>
        <w:jc w:val="left"/>
      </w:pPr>
      <w:r>
        <w:rPr>
          <w:rFonts w:ascii="宋体" w:hAnsi="宋体" w:cs="宋体" w:eastAsia="宋体" w:hint="default"/>
        </w:rPr>
        <w:t>4</w:t>
      </w:r>
      <w:r>
        <w:rPr/>
        <w:t>、提升品牌正面影响，完善人才梯队建设 报告期内，公司获得了“浙江省科学技术进步一等奖”、“全国政法智能化建设智慧司法优秀解决方案”、“</w:t>
      </w:r>
      <w:r>
        <w:rPr>
          <w:rFonts w:ascii="宋体" w:hAnsi="宋体" w:cs="宋体" w:eastAsia="宋体" w:hint="default"/>
        </w:rPr>
        <w:t>2019</w:t>
      </w:r>
      <w:r>
        <w:rPr/>
        <w:t>年（第</w:t>
      </w:r>
      <w:r>
        <w:rPr>
          <w:rFonts w:ascii="宋体" w:hAnsi="宋体" w:cs="宋体" w:eastAsia="宋体" w:hint="default"/>
        </w:rPr>
        <w:t>4 </w:t>
      </w:r>
      <w:r>
        <w:rPr>
          <w:spacing w:val="-2"/>
        </w:rPr>
        <w:t>届）软件和信息技术服务综合竞争力百强企业”、“</w:t>
      </w:r>
      <w:r>
        <w:rPr>
          <w:rFonts w:ascii="宋体" w:hAnsi="宋体" w:cs="宋体" w:eastAsia="宋体" w:hint="default"/>
          <w:spacing w:val="-2"/>
        </w:rPr>
        <w:t>2019</w:t>
      </w:r>
      <w:r>
        <w:rPr>
          <w:spacing w:val="-2"/>
        </w:rPr>
        <w:t>年（第</w:t>
      </w:r>
      <w:r>
        <w:rPr>
          <w:rFonts w:ascii="宋体" w:hAnsi="宋体" w:cs="宋体" w:eastAsia="宋体" w:hint="default"/>
          <w:spacing w:val="-2"/>
        </w:rPr>
        <w:t>18</w:t>
      </w:r>
      <w:r>
        <w:rPr>
          <w:spacing w:val="-2"/>
        </w:rPr>
        <w:t>届）中国软件业务收入前百家企业”、“</w:t>
      </w:r>
      <w:r>
        <w:rPr>
          <w:rFonts w:ascii="宋体" w:hAnsi="宋体" w:cs="宋体" w:eastAsia="宋体" w:hint="default"/>
          <w:spacing w:val="-2"/>
        </w:rPr>
        <w:t>2018</w:t>
      </w:r>
      <w:r>
        <w:rPr>
          <w:spacing w:val="-2"/>
        </w:rPr>
        <w:t>年度信息系</w:t>
      </w:r>
      <w:r>
        <w:rPr>
          <w:spacing w:val="-61"/>
        </w:rPr>
        <w:t> </w:t>
      </w:r>
      <w:r>
        <w:rPr>
          <w:spacing w:val="-61"/>
        </w:rPr>
      </w:r>
      <w:r>
        <w:rPr>
          <w:spacing w:val="-2"/>
        </w:rPr>
        <w:t>统集成及服务行业大型骨干企业”、“</w:t>
      </w:r>
      <w:r>
        <w:rPr>
          <w:rFonts w:ascii="宋体" w:hAnsi="宋体" w:cs="宋体" w:eastAsia="宋体" w:hint="default"/>
          <w:spacing w:val="-2"/>
        </w:rPr>
        <w:t>2018</w:t>
      </w:r>
      <w:r>
        <w:rPr>
          <w:spacing w:val="-2"/>
        </w:rPr>
        <w:t>年中国城市智能交通市场系统集成商业绩十强”、“最佳社会责任上市公司”等</w:t>
      </w:r>
      <w:r>
        <w:rPr>
          <w:spacing w:val="-64"/>
        </w:rPr>
        <w:t> </w:t>
      </w:r>
      <w:r>
        <w:rPr>
          <w:spacing w:val="-64"/>
        </w:rPr>
      </w:r>
      <w:r>
        <w:rPr/>
        <w:t>荣誉。 </w:t>
      </w:r>
      <w:r>
        <w:rPr>
          <w:spacing w:val="-2"/>
        </w:rPr>
        <w:t>报告期内，公司在多元化人才培养机制的基础上不断创新人才培养举措，通过内部公开竞聘，选拔优秀人员，提拔任用青年</w:t>
      </w:r>
      <w:r>
        <w:rPr>
          <w:spacing w:val="-64"/>
        </w:rPr>
        <w:t> </w:t>
      </w:r>
      <w:r>
        <w:rPr>
          <w:spacing w:val="-64"/>
        </w:rPr>
      </w:r>
      <w:r>
        <w:rPr>
          <w:spacing w:val="-2"/>
        </w:rPr>
        <w:t>人才，为业务持续发展提供保障；同时也通过多种形式引进外部人才，为公司发展注入新鲜血液。公司通过“内升外引”式</w:t>
      </w:r>
      <w:r>
        <w:rPr>
          <w:spacing w:val="-68"/>
        </w:rPr>
        <w:t> </w:t>
      </w:r>
      <w:r>
        <w:rPr>
          <w:spacing w:val="-68"/>
        </w:rPr>
      </w:r>
      <w:r>
        <w:rPr>
          <w:spacing w:val="-2"/>
        </w:rPr>
        <w:t>人才培育机制，实现公司人才梯队合理有序，盘活人才队伍建设。此外，公司坚定推行“银江合伙人”计划，构建企业命运</w:t>
      </w:r>
      <w:r>
        <w:rPr>
          <w:spacing w:val="-70"/>
        </w:rPr>
        <w:t> </w:t>
      </w:r>
      <w:r>
        <w:rPr>
          <w:spacing w:val="-70"/>
        </w:rPr>
      </w:r>
      <w:r>
        <w:rPr/>
        <w:t>共同体，激励全体银江人通过银江大平台实现梦想，成就新价值。</w:t>
      </w:r>
    </w:p>
    <w:p>
      <w:pPr>
        <w:pStyle w:val="BodyText"/>
        <w:spacing w:line="316" w:lineRule="auto" w:before="18"/>
        <w:ind w:right="0"/>
        <w:jc w:val="left"/>
      </w:pPr>
      <w:r>
        <w:rPr>
          <w:rFonts w:ascii="宋体" w:hAnsi="宋体" w:cs="宋体" w:eastAsia="宋体" w:hint="default"/>
        </w:rPr>
        <w:t>5</w:t>
      </w:r>
      <w:r>
        <w:rPr/>
        <w:t>、公司治理规范有序，未来发展充满信心 </w:t>
      </w:r>
      <w:r>
        <w:rPr>
          <w:spacing w:val="-2"/>
        </w:rPr>
        <w:t>公司一贯重视公司治理及投资者关系工作。报告期内，公司股东大会、董事会及董事会专门委员会、监事会按相关法律法规</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jc w:val="both"/>
      </w:pPr>
      <w:r>
        <w:rPr>
          <w:spacing w:val="-2"/>
        </w:rPr>
        <w:t>和《公司章程》有效运行，重点加强风险控制及内部管理。公司高度重视投资者关系管理工作，将投资者关系管理作为工作</w:t>
      </w:r>
      <w:r>
        <w:rPr>
          <w:spacing w:val="-65"/>
        </w:rPr>
        <w:t> </w:t>
      </w:r>
      <w:r>
        <w:rPr>
          <w:spacing w:val="-65"/>
        </w:rPr>
      </w:r>
      <w:r>
        <w:rPr>
          <w:spacing w:val="-2"/>
        </w:rPr>
        <w:t>重点，不断完善投资者关系管理工作，充分利用投资者热线、互动易平台、网上业绩说明会、现场调研等形式与投资者保持</w:t>
      </w:r>
      <w:r>
        <w:rPr>
          <w:spacing w:val="-67"/>
        </w:rPr>
        <w:t> </w:t>
      </w:r>
      <w:r>
        <w:rPr>
          <w:spacing w:val="-67"/>
        </w:rPr>
      </w:r>
      <w:r>
        <w:rPr>
          <w:spacing w:val="-2"/>
        </w:rPr>
        <w:t>良好的沟通交流，促进公司与投资者之间的良性互动，加深了投资者对公司的了解和认同，努力树立公司在资本市场良好形</w:t>
      </w:r>
      <w:r>
        <w:rPr>
          <w:spacing w:val="-63"/>
        </w:rPr>
        <w:t> </w:t>
      </w:r>
      <w:r>
        <w:rPr>
          <w:spacing w:val="-63"/>
        </w:rPr>
      </w:r>
      <w:r>
        <w:rPr/>
        <w:t>象。</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bookmarkStart w:name="二、主营业务分析" w:id="25"/>
      <w:bookmarkEnd w:id="25"/>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9"/>
        <w:ind w:right="1133"/>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营业收入整体情况</w:t>
      </w:r>
    </w:p>
    <w:p>
      <w:pPr>
        <w:pStyle w:val="BodyText"/>
        <w:spacing w:line="240" w:lineRule="auto" w:before="117"/>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2,079,504,434.71</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2,413,277,806.75</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-13.83%</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2,079,504,434.71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2,413,277,806.75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-13.83%</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977,575,034.76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47.01%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1,110,590,446.67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46.02%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-11.98%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智慧健康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299,864,539.48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355,234,493.15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-15.59%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779,814,163.01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37.50%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916,804,238.78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37.99%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-14.94%</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综合服务收入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22,250,697.46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30,648,628.15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-27.40%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106,470,627.06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134,902,229.40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-21.08%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395,313,793.04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410,498,554.93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17.01%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1,001,281,385.31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48.15%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1,213,396,081.23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50.28%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-17.48%</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192,354,160.21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9.25%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spacing w:val="-1"/>
                <w:sz w:val="18"/>
              </w:rPr>
              <w:t>247,360,975.19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z w:val="18"/>
              </w:rPr>
              <w:t>10.25%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-22.24%</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86,507,384.48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110,045,467.99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-21.39%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93,993,600.45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133,212,934.93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5.52%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-29.44%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203,583,484.16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163,861,563.08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24.24%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7208" w:right="1131"/>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2,079,504,434.71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1,596,541,427.28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977,575,034.76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706,948,544.00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智慧健康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299,864,539.48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201,323,873.98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779,814,163.01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673,580,828.17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395,313,793.04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302,375,520.30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1,001,281,385.31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759,972,571.45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-0.86%</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行业和产品分类</w:t>
      </w:r>
    </w:p>
    <w:p>
      <w:pPr>
        <w:pStyle w:val="BodyText"/>
        <w:spacing w:line="240" w:lineRule="auto" w:before="115"/>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1,596,541,427.28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1,826,570,741.26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9" w:right="0"/>
              <w:jc w:val="left"/>
              <w:rPr>
                <w:rFonts w:ascii="Times New Roman" w:hAnsi="Times New Roman" w:cs="Times New Roman" w:eastAsia="Times New Roman" w:hint="default"/>
                <w:sz w:val="18"/>
                <w:szCs w:val="18"/>
              </w:rPr>
            </w:pPr>
            <w:r>
              <w:rPr>
                <w:rFonts w:ascii="Times New Roman"/>
                <w:sz w:val="18"/>
              </w:rPr>
              <w:t>-12.59%</w:t>
            </w:r>
          </w:p>
        </w:tc>
      </w:tr>
    </w:tbl>
    <w:p>
      <w:pPr>
        <w:pStyle w:val="BodyText"/>
        <w:spacing w:line="240" w:lineRule="auto" w:before="49"/>
        <w:ind w:left="7208"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706,948,544.00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799,672,670.52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智慧健康</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201,323,873.98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236,175,596.84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-14.76%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673,580,828.17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774,100,680.15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-12.99%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综合服务收入</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14,688,181.13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16,621,793.75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-11.63%</w:t>
            </w:r>
          </w:p>
        </w:tc>
      </w:tr>
    </w:tbl>
    <w:p>
      <w:pPr>
        <w:pStyle w:val="BodyText"/>
        <w:spacing w:line="240" w:lineRule="auto" w:before="49"/>
        <w:ind w:right="1133"/>
        <w:jc w:val="left"/>
      </w:pPr>
      <w:r>
        <w:rPr/>
        <w:t>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w:t>
      </w:r>
    </w:p>
    <w:p>
      <w:pPr>
        <w:pStyle w:val="BodyText"/>
        <w:spacing w:line="316" w:lineRule="auto" w:before="101"/>
        <w:ind w:right="1119"/>
        <w:jc w:val="left"/>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月，公司处置了浙江银江云计算技术有限公司的股权，从丧失控制权时点起，将其不再纳入公司合并财务报表</w:t>
      </w:r>
      <w:r>
        <w:rPr>
          <w:spacing w:val="-60"/>
        </w:rPr>
        <w:t> </w:t>
      </w:r>
      <w:r>
        <w:rPr>
          <w:spacing w:val="-60"/>
        </w:rPr>
      </w:r>
      <w:r>
        <w:rPr/>
        <w:t>范围。</w:t>
      </w:r>
    </w:p>
    <w:p>
      <w:pPr>
        <w:pStyle w:val="BodyText"/>
        <w:spacing w:line="316" w:lineRule="auto" w:before="19"/>
        <w:ind w:right="1119"/>
        <w:jc w:val="left"/>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月，公司处置了浙江智尔信息技术有限公司的股权，从丧失控制权时点起，将其不再纳入公司合并财务报表范</w:t>
      </w:r>
      <w:r>
        <w:rPr>
          <w:spacing w:val="-62"/>
        </w:rPr>
        <w:t> </w:t>
      </w:r>
      <w:r>
        <w:rPr>
          <w:spacing w:val="-62"/>
        </w:rPr>
      </w:r>
      <w:r>
        <w:rPr/>
        <w:t>围。</w:t>
      </w:r>
    </w:p>
    <w:p>
      <w:pPr>
        <w:pStyle w:val="BodyText"/>
        <w:spacing w:line="316" w:lineRule="auto" w:before="19"/>
        <w:ind w:right="1124"/>
        <w:jc w:val="left"/>
      </w:pPr>
      <w:r>
        <w:rPr/>
        <w:t>（</w:t>
      </w:r>
      <w:r>
        <w:rPr>
          <w:rFonts w:ascii="宋体" w:hAnsi="宋体" w:cs="宋体" w:eastAsia="宋体" w:hint="default"/>
        </w:rPr>
        <w:t>3</w:t>
      </w:r>
      <w:r>
        <w:rPr/>
        <w:t>）</w:t>
      </w:r>
      <w:r>
        <w:rPr>
          <w:rFonts w:ascii="宋体" w:hAnsi="宋体" w:cs="宋体" w:eastAsia="宋体" w:hint="default"/>
        </w:rPr>
        <w:t>2019</w:t>
      </w:r>
      <w:r>
        <w:rPr/>
        <w:t>年</w:t>
      </w:r>
      <w:r>
        <w:rPr>
          <w:rFonts w:ascii="宋体" w:hAnsi="宋体" w:cs="宋体" w:eastAsia="宋体" w:hint="default"/>
        </w:rPr>
        <w:t>10</w:t>
      </w:r>
      <w:r>
        <w:rPr/>
        <w:t>月，公司注销控股子公司杭州众嗨网络技术有限公司，自注销清算完成后，杭州众嗨网络技术有限公司不再 纳入公司合并财务报表范围。</w:t>
      </w:r>
    </w:p>
    <w:p>
      <w:pPr>
        <w:pStyle w:val="BodyText"/>
        <w:spacing w:line="316" w:lineRule="auto" w:before="19"/>
        <w:ind w:right="1124"/>
        <w:jc w:val="left"/>
      </w:pPr>
      <w:r>
        <w:rPr/>
        <w:t>（</w:t>
      </w:r>
      <w:r>
        <w:rPr>
          <w:rFonts w:ascii="宋体" w:hAnsi="宋体" w:cs="宋体" w:eastAsia="宋体" w:hint="default"/>
        </w:rPr>
        <w:t>4</w:t>
      </w:r>
      <w:r>
        <w:rPr/>
        <w:t>）</w:t>
      </w:r>
      <w:r>
        <w:rPr>
          <w:rFonts w:ascii="宋体" w:hAnsi="宋体" w:cs="宋体" w:eastAsia="宋体" w:hint="default"/>
        </w:rPr>
        <w:t>2019</w:t>
      </w:r>
      <w:r>
        <w:rPr/>
        <w:t>年</w:t>
      </w:r>
      <w:r>
        <w:rPr>
          <w:rFonts w:ascii="宋体" w:hAnsi="宋体" w:cs="宋体" w:eastAsia="宋体" w:hint="default"/>
        </w:rPr>
        <w:t>12</w:t>
      </w:r>
      <w:r>
        <w:rPr/>
        <w:t>月，公司注销全资子公司银江（北京）物联网技术有限公司，自注销清算完成后，银江（北京）物联网技术 有限公司不再纳入公司合并财务报表。</w:t>
      </w:r>
    </w:p>
    <w:p>
      <w:pPr>
        <w:pStyle w:val="BodyText"/>
        <w:spacing w:line="319" w:lineRule="auto" w:before="19"/>
        <w:ind w:right="1124"/>
        <w:jc w:val="left"/>
      </w:pPr>
      <w:r>
        <w:rPr/>
        <w:t>（</w:t>
      </w:r>
      <w:r>
        <w:rPr>
          <w:rFonts w:ascii="宋体" w:hAnsi="宋体" w:cs="宋体" w:eastAsia="宋体" w:hint="default"/>
        </w:rPr>
        <w:t>5</w:t>
      </w:r>
      <w:r>
        <w:rPr/>
        <w:t>）</w:t>
      </w:r>
      <w:r>
        <w:rPr>
          <w:rFonts w:ascii="宋体" w:hAnsi="宋体" w:cs="宋体" w:eastAsia="宋体" w:hint="default"/>
        </w:rPr>
        <w:t>2019</w:t>
      </w:r>
      <w:r>
        <w:rPr/>
        <w:t>年</w:t>
      </w:r>
      <w:r>
        <w:rPr>
          <w:rFonts w:ascii="宋体" w:hAnsi="宋体" w:cs="宋体" w:eastAsia="宋体" w:hint="default"/>
        </w:rPr>
        <w:t>12</w:t>
      </w:r>
      <w:r>
        <w:rPr/>
        <w:t>月，公司注销全资子公司济南银江智慧城市技术有限公司，自注销清算完成后，济南银江智慧城市技术有限 公司不再纳入公司合并财务报表。</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275,351,495.18</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13.24%</w:t>
            </w:r>
          </w:p>
        </w:tc>
      </w:tr>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80,637,988.99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3.88%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53,084,644.79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50,708,466.18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46,530,572.21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44,389,823.01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2.13%</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275,351,495.18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13.24%</w:t>
            </w:r>
          </w:p>
        </w:tc>
      </w:tr>
    </w:tbl>
    <w:p>
      <w:pPr>
        <w:pStyle w:val="BodyText"/>
        <w:spacing w:line="240" w:lineRule="auto" w:before="49"/>
        <w:ind w:right="1133"/>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297,514,732.89</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13.30%</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85,189,180.00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69,465,859.13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3.11%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57,476,259.64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49,351,745.00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36,031,689.12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297,514,732.89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13.30%</w:t>
            </w:r>
          </w:p>
        </w:tc>
      </w:tr>
    </w:tbl>
    <w:p>
      <w:pPr>
        <w:pStyle w:val="BodyText"/>
        <w:spacing w:line="240" w:lineRule="auto" w:before="49"/>
        <w:ind w:right="1133"/>
        <w:jc w:val="left"/>
      </w:pPr>
      <w:r>
        <w:rPr/>
        <w:t>主要供应商其他情况说明</w:t>
      </w:r>
    </w:p>
    <w:p>
      <w:pPr>
        <w:pStyle w:val="BodyText"/>
        <w:spacing w:line="240" w:lineRule="auto" w:before="117"/>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45,839,747.88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1" w:right="0"/>
              <w:jc w:val="left"/>
              <w:rPr>
                <w:rFonts w:ascii="Times New Roman" w:hAnsi="Times New Roman" w:cs="Times New Roman" w:eastAsia="Times New Roman" w:hint="default"/>
                <w:sz w:val="18"/>
                <w:szCs w:val="18"/>
              </w:rPr>
            </w:pPr>
            <w:r>
              <w:rPr>
                <w:rFonts w:ascii="Times New Roman"/>
                <w:sz w:val="18"/>
              </w:rPr>
              <w:t>56,229,028.07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-18.48%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145,469,015.80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160,842,931.73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69,192,904.39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1" w:right="0"/>
              <w:jc w:val="left"/>
              <w:rPr>
                <w:rFonts w:ascii="Times New Roman" w:hAnsi="Times New Roman" w:cs="Times New Roman" w:eastAsia="Times New Roman" w:hint="default"/>
                <w:sz w:val="18"/>
                <w:szCs w:val="18"/>
              </w:rPr>
            </w:pPr>
            <w:r>
              <w:rPr>
                <w:rFonts w:ascii="Times New Roman"/>
                <w:sz w:val="18"/>
              </w:rPr>
              <w:t>52,226,196.61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短期借款增加</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90,176,735.40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83,470,067.15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8.03%</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28" w:lineRule="auto"/>
        <w:ind w:right="111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w:t>
      </w:r>
      <w:r>
        <w:rPr>
          <w:rFonts w:ascii="宋体" w:hAnsi="宋体" w:cs="宋体" w:eastAsia="宋体" w:hint="default"/>
          <w:spacing w:val="-2"/>
        </w:rPr>
        <w:t>2019</w:t>
      </w:r>
      <w:r>
        <w:rPr>
          <w:spacing w:val="-2"/>
        </w:rPr>
        <w:t>年度，公司持续加大研发投入，积极将更多已完成的技术研发成果自主知识产权和技术专利等转化为能进一步提升公司</w:t>
      </w:r>
      <w:r>
        <w:rPr>
          <w:spacing w:val="-62"/>
        </w:rPr>
        <w:t> </w:t>
      </w:r>
      <w:r>
        <w:rPr>
          <w:spacing w:val="-62"/>
        </w:rPr>
      </w:r>
      <w:r>
        <w:rPr/>
        <w:t>核心竞争能力的无形资产，报告期内研发投入总额</w:t>
      </w:r>
      <w:r>
        <w:rPr>
          <w:rFonts w:ascii="宋体" w:hAnsi="宋体" w:cs="宋体" w:eastAsia="宋体" w:hint="default"/>
        </w:rPr>
        <w:t>119,155,919.99</w:t>
      </w:r>
      <w:r>
        <w:rPr/>
        <w:t>元。公司重大研发创新项目主要有：</w:t>
      </w:r>
    </w:p>
    <w:p>
      <w:pPr>
        <w:pStyle w:val="BodyText"/>
        <w:spacing w:line="240" w:lineRule="auto" w:before="10"/>
        <w:ind w:right="1133"/>
        <w:jc w:val="left"/>
      </w:pPr>
      <w:r>
        <w:rPr>
          <w:rFonts w:ascii="宋体" w:hAnsi="宋体" w:cs="宋体" w:eastAsia="宋体" w:hint="default"/>
        </w:rPr>
        <w:t>1</w:t>
      </w:r>
      <w:r>
        <w:rPr/>
        <w:t>、</w:t>
      </w:r>
      <w:r>
        <w:rPr>
          <w:rFonts w:ascii="宋体" w:hAnsi="宋体" w:cs="宋体" w:eastAsia="宋体" w:hint="default"/>
        </w:rPr>
        <w:t>HERO-</w:t>
      </w:r>
      <w:r>
        <w:rPr/>
        <w:t>全域交通</w:t>
      </w:r>
      <w:r>
        <w:rPr>
          <w:rFonts w:ascii="宋体" w:hAnsi="宋体" w:cs="宋体" w:eastAsia="宋体" w:hint="default"/>
        </w:rPr>
        <w:t>AI</w:t>
      </w:r>
      <w:r>
        <w:rPr/>
        <w:t>控制系统</w:t>
      </w:r>
    </w:p>
    <w:p>
      <w:pPr>
        <w:pStyle w:val="BodyText"/>
        <w:spacing w:line="319" w:lineRule="auto" w:before="76"/>
        <w:ind w:right="1124"/>
        <w:jc w:val="left"/>
      </w:pPr>
      <w:r>
        <w:rPr>
          <w:rFonts w:ascii="宋体" w:hAnsi="宋体" w:cs="宋体" w:eastAsia="宋体" w:hint="default"/>
        </w:rPr>
        <w:t>HERO</w:t>
      </w:r>
      <w:r>
        <w:rPr/>
        <w:t>（</w:t>
      </w:r>
      <w:r>
        <w:rPr>
          <w:rFonts w:ascii="宋体" w:hAnsi="宋体" w:cs="宋体" w:eastAsia="宋体" w:hint="default"/>
        </w:rPr>
        <w:t>HangzhouEvolvingAI-tRafficcOntrolSystem</w:t>
      </w:r>
      <w:r>
        <w:rPr/>
        <w:t>），是银江依托杭州交通信号配时中心实战场景自主研发迭代进化的一 款全域交通</w:t>
      </w:r>
      <w:r>
        <w:rPr>
          <w:rFonts w:ascii="宋体" w:hAnsi="宋体" w:cs="宋体" w:eastAsia="宋体" w:hint="default"/>
        </w:rPr>
        <w:t>AI</w:t>
      </w:r>
      <w:r>
        <w:rPr/>
        <w:t>控制系统。从技术架构上，采用了自建的数据工厂和深度强化学习技术，同时采用了</w:t>
      </w:r>
      <w:r>
        <w:rPr>
          <w:rFonts w:ascii="宋体" w:hAnsi="宋体" w:cs="宋体" w:eastAsia="宋体" w:hint="default"/>
        </w:rPr>
        <w:t>Agent</w:t>
      </w:r>
      <w:r>
        <w:rPr/>
        <w:t>控制架构，能够同 </w:t>
      </w:r>
      <w:r>
        <w:rPr>
          <w:spacing w:val="-2"/>
        </w:rPr>
        <w:t>时处理全域规模性的道路交通控制和优化。</w:t>
      </w:r>
      <w:r>
        <w:rPr>
          <w:rFonts w:ascii="宋体" w:hAnsi="宋体" w:cs="宋体" w:eastAsia="宋体" w:hint="default"/>
          <w:spacing w:val="-2"/>
        </w:rPr>
        <w:t>HERO</w:t>
      </w:r>
      <w:r>
        <w:rPr>
          <w:spacing w:val="-2"/>
        </w:rPr>
        <w:t>主要功能包括：传统信控、配时优化、</w:t>
      </w:r>
      <w:r>
        <w:rPr>
          <w:rFonts w:ascii="宋体" w:hAnsi="宋体" w:cs="宋体" w:eastAsia="宋体" w:hint="default"/>
          <w:spacing w:val="-2"/>
        </w:rPr>
        <w:t>AI</w:t>
      </w:r>
      <w:r>
        <w:rPr>
          <w:spacing w:val="-2"/>
        </w:rPr>
        <w:t>控制、全域优化、仿真推演、数据</w:t>
      </w:r>
      <w:r>
        <w:rPr>
          <w:spacing w:val="-67"/>
        </w:rPr>
        <w:t> </w:t>
      </w:r>
      <w:r>
        <w:rPr>
          <w:spacing w:val="-67"/>
        </w:rPr>
      </w:r>
      <w:r>
        <w:rPr/>
        <w:t>工厂、信控集成、</w:t>
      </w:r>
      <w:r>
        <w:rPr>
          <w:rFonts w:ascii="宋体" w:hAnsi="宋体" w:cs="宋体" w:eastAsia="宋体" w:hint="default"/>
        </w:rPr>
        <w:t>AIoT</w:t>
      </w:r>
      <w:r>
        <w:rPr/>
        <w:t>、信控评价和智能容灾。 </w:t>
      </w:r>
      <w:r>
        <w:rPr>
          <w:rFonts w:ascii="宋体" w:hAnsi="宋体" w:cs="宋体" w:eastAsia="宋体" w:hint="default"/>
          <w:spacing w:val="-2"/>
        </w:rPr>
        <w:t>HERO</w:t>
      </w:r>
      <w:r>
        <w:rPr>
          <w:spacing w:val="-2"/>
        </w:rPr>
        <w:t>技术来源于银江承担的国家、省市级科研课题以及承担建设的杭州城市大脑工程项目。</w:t>
      </w:r>
      <w:r>
        <w:rPr>
          <w:rFonts w:ascii="宋体" w:hAnsi="宋体" w:cs="宋体" w:eastAsia="宋体" w:hint="default"/>
          <w:spacing w:val="-2"/>
        </w:rPr>
        <w:t>HERO</w:t>
      </w:r>
      <w:r>
        <w:rPr>
          <w:spacing w:val="-2"/>
        </w:rPr>
        <w:t>已沉淀几十项</w:t>
      </w:r>
      <w:r>
        <w:rPr>
          <w:rFonts w:ascii="宋体" w:hAnsi="宋体" w:cs="宋体" w:eastAsia="宋体" w:hint="default"/>
          <w:spacing w:val="-2"/>
        </w:rPr>
        <w:t>AI</w:t>
      </w:r>
      <w:r>
        <w:rPr>
          <w:spacing w:val="-2"/>
        </w:rPr>
        <w:t>信控方面的</w:t>
      </w:r>
      <w:r>
        <w:rPr>
          <w:spacing w:val="-57"/>
        </w:rPr>
        <w:t> </w:t>
      </w:r>
      <w:r>
        <w:rPr>
          <w:spacing w:val="-57"/>
        </w:rPr>
      </w:r>
      <w:r>
        <w:rPr/>
        <w:t>发明专利，形成了围绕</w:t>
      </w:r>
      <w:r>
        <w:rPr>
          <w:rFonts w:ascii="宋体" w:hAnsi="宋体" w:cs="宋体" w:eastAsia="宋体" w:hint="default"/>
        </w:rPr>
        <w:t>AI</w:t>
      </w:r>
      <w:r>
        <w:rPr/>
        <w:t>信控的自主知识产权技术和工程应用的产品，曾获得中国智能交通协会科学技术一等奖。。</w:t>
      </w:r>
      <w:r>
        <w:rPr>
          <w:rFonts w:ascii="宋体" w:hAnsi="宋体" w:cs="宋体" w:eastAsia="宋体" w:hint="default"/>
        </w:rPr>
        <w:t>HERO </w:t>
      </w:r>
      <w:r>
        <w:rPr/>
        <w:t>于</w:t>
      </w:r>
      <w:r>
        <w:rPr>
          <w:rFonts w:ascii="宋体" w:hAnsi="宋体" w:cs="宋体" w:eastAsia="宋体" w:hint="default"/>
        </w:rPr>
        <w:t>2019</w:t>
      </w:r>
      <w:r>
        <w:rPr/>
        <w:t>年</w:t>
      </w:r>
      <w:r>
        <w:rPr>
          <w:rFonts w:ascii="宋体" w:hAnsi="宋体" w:cs="宋体" w:eastAsia="宋体" w:hint="default"/>
        </w:rPr>
        <w:t>11</w:t>
      </w:r>
      <w:r>
        <w:rPr/>
        <w:t>月在中国智能交通年会正式对外发布，目前已在杭州、南昌、太原等多个城市落地应用。</w:t>
      </w:r>
    </w:p>
    <w:p>
      <w:pPr>
        <w:pStyle w:val="BodyText"/>
        <w:spacing w:line="316" w:lineRule="auto" w:before="17"/>
        <w:ind w:right="0"/>
        <w:jc w:val="left"/>
      </w:pPr>
      <w:r>
        <w:rPr>
          <w:rFonts w:ascii="宋体" w:hAnsi="宋体" w:cs="宋体" w:eastAsia="宋体" w:hint="default"/>
        </w:rPr>
        <w:t>2</w:t>
      </w:r>
      <w:r>
        <w:rPr/>
        <w:t>、智慧安保平台 </w:t>
      </w:r>
      <w:r>
        <w:rPr>
          <w:spacing w:val="-2"/>
        </w:rPr>
        <w:t>智慧安保平台集无人机、高精差分定位系统、信号控制系统、视频监控系统、地理信息系统为一体，针对特种运输车辆、交</w:t>
      </w:r>
      <w:r>
        <w:rPr>
          <w:spacing w:val="-69"/>
        </w:rPr>
        <w:t> </w:t>
      </w:r>
      <w:r>
        <w:rPr>
          <w:spacing w:val="-69"/>
        </w:rPr>
      </w:r>
      <w:r>
        <w:rPr>
          <w:spacing w:val="-2"/>
        </w:rPr>
        <w:t>通应急事件、以及大型安保任务等场景应用提供专门的解决方案，实现特殊任务的指挥调度管理可视化、资源物质配置预案</w:t>
      </w:r>
      <w:r>
        <w:rPr>
          <w:spacing w:val="-63"/>
        </w:rPr>
        <w:t> </w:t>
      </w:r>
      <w:r>
        <w:rPr>
          <w:spacing w:val="-63"/>
        </w:rPr>
      </w:r>
      <w:r>
        <w:rPr/>
        <w:t>化、智能设备联动控制自动化，为交通管理部门提供高效的信息化支撑，辅助用户分析决策。 </w:t>
      </w:r>
      <w:r>
        <w:rPr>
          <w:spacing w:val="-2"/>
        </w:rPr>
        <w:t>平台充分发挥物联网优势，以地理信息可视化为手段，实时监测路网中的特殊车辆的位置信息以及安保警力位置分布；以监</w:t>
      </w:r>
      <w:r>
        <w:rPr>
          <w:spacing w:val="-63"/>
        </w:rPr>
        <w:t> </w:t>
      </w:r>
      <w:r>
        <w:rPr>
          <w:spacing w:val="-63"/>
        </w:rPr>
      </w:r>
      <w:r>
        <w:rPr>
          <w:spacing w:val="-2"/>
        </w:rPr>
        <w:t>控、无人机为可视化辅助手段，全过程动态跟踪处置突发情况，保障车辆安全；以智能设备的自动化控制为技术手段保障车</w:t>
      </w:r>
      <w:r>
        <w:rPr>
          <w:spacing w:val="-64"/>
        </w:rPr>
        <w:t> </w:t>
      </w:r>
      <w:r>
        <w:rPr>
          <w:spacing w:val="-64"/>
        </w:rPr>
      </w:r>
      <w:r>
        <w:rPr/>
        <w:t>辆快速抵达目的地，切实提高防疫、安保的核心战斗力。</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034"/>
        <w:jc w:val="left"/>
      </w:pPr>
      <w:r>
        <w:rPr/>
        <w:t>利用这套系统交通管理部门可实现部门间的高效协作和快速的处突响应，目前该系统已在南昌等地上线试运行。 </w:t>
      </w:r>
      <w:r>
        <w:rPr>
          <w:rFonts w:ascii="宋体" w:hAnsi="宋体" w:cs="宋体" w:eastAsia="宋体" w:hint="default"/>
        </w:rPr>
        <w:t>3</w:t>
      </w:r>
      <w:r>
        <w:rPr/>
        <w:t>、街镇大脑 </w:t>
      </w:r>
      <w:r>
        <w:rPr>
          <w:spacing w:val="-2"/>
        </w:rPr>
        <w:t>“街镇大脑”是公司城市大脑领域的又一个重要应用。研发内容包括智慧党建平台、智慧执法平台、智慧安监平台、智慧经</w:t>
      </w:r>
      <w:r>
        <w:rPr>
          <w:spacing w:val="-68"/>
        </w:rPr>
        <w:t> </w:t>
      </w:r>
      <w:r>
        <w:rPr>
          <w:spacing w:val="-68"/>
        </w:rPr>
      </w:r>
      <w:r>
        <w:rPr/>
        <w:t>济平台、智慧民生及社区平台、智慧管控平台及</w:t>
      </w:r>
      <w:r>
        <w:rPr>
          <w:rFonts w:ascii="宋体" w:hAnsi="宋体" w:cs="宋体" w:eastAsia="宋体" w:hint="default"/>
        </w:rPr>
        <w:t>N</w:t>
      </w:r>
      <w:r>
        <w:rPr/>
        <w:t>个子场景应用。平台是创新运用大数据、云计算、物联网、区块链及人工 智能技术等前沿科技构建的平台型城市协同和智能中枢</w:t>
      </w:r>
      <w:r>
        <w:rPr>
          <w:rFonts w:ascii="宋体" w:hAnsi="宋体" w:cs="宋体" w:eastAsia="宋体" w:hint="default"/>
        </w:rPr>
        <w:t>,</w:t>
      </w:r>
      <w:r>
        <w:rPr/>
        <w:t>其整合汇集政府</w:t>
      </w:r>
      <w:r>
        <w:rPr>
          <w:rFonts w:ascii="宋体" w:hAnsi="宋体" w:cs="宋体" w:eastAsia="宋体" w:hint="default"/>
        </w:rPr>
        <w:t>,</w:t>
      </w:r>
      <w:r>
        <w:rPr/>
        <w:t>企业和社会数据</w:t>
      </w:r>
      <w:r>
        <w:rPr>
          <w:rFonts w:ascii="宋体" w:hAnsi="宋体" w:cs="宋体" w:eastAsia="宋体" w:hint="default"/>
        </w:rPr>
        <w:t>,</w:t>
      </w:r>
      <w:r>
        <w:rPr/>
        <w:t>在城市治理领域进行融合计算</w:t>
      </w:r>
      <w:r>
        <w:rPr>
          <w:rFonts w:ascii="宋体" w:hAnsi="宋体" w:cs="宋体" w:eastAsia="宋体" w:hint="default"/>
        </w:rPr>
        <w:t>, </w:t>
      </w:r>
      <w:r>
        <w:rPr>
          <w:spacing w:val="-2"/>
        </w:rPr>
        <w:t>实现城市运行的生命体征感知、公共资源配置、宏观决策指挥、事件预测预警、“城市病”治理等功能。在城市大脑建设的</w:t>
      </w:r>
      <w:r>
        <w:rPr>
          <w:spacing w:val="-69"/>
        </w:rPr>
        <w:t> </w:t>
      </w:r>
      <w:r>
        <w:rPr>
          <w:spacing w:val="-69"/>
        </w:rPr>
      </w:r>
      <w:r>
        <w:rPr/>
        <w:t>总体框架下，按照社会管理创新的指导思想和建设规范要求，构建政府基层社会治理的“数据收集、数据分析、预警预判、</w:t>
      </w:r>
      <w:r>
        <w:rPr/>
        <w:t> </w:t>
      </w:r>
      <w:r>
        <w:rPr>
          <w:spacing w:val="-4"/>
        </w:rPr>
        <w:t>流程再造、互动指挥”五大功能环节，结合镇街基层政府社会治理的痛点、难点，整合公安、交警、城管、市场监管、消防、</w:t>
      </w:r>
      <w:r>
        <w:rPr>
          <w:spacing w:val="-50"/>
        </w:rPr>
        <w:t> </w:t>
      </w:r>
      <w:r>
        <w:rPr>
          <w:spacing w:val="-50"/>
        </w:rPr>
      </w:r>
      <w:r>
        <w:rPr>
          <w:spacing w:val="-2"/>
        </w:rPr>
        <w:t>综治等相关部门的执法力量，实现“信息联通、力量联用、行动联合、后勤联保”联合，让联合执法力量下沉落到实处，提</w:t>
      </w:r>
      <w:r>
        <w:rPr>
          <w:spacing w:val="-67"/>
        </w:rPr>
        <w:t> </w:t>
      </w:r>
      <w:r>
        <w:rPr>
          <w:spacing w:val="-67"/>
        </w:rPr>
      </w:r>
      <w:r>
        <w:rPr/>
        <w:t>高社会治理的扁平化、数字化、系统化、精细化，为镇街政府提供社会治理智慧化整体解决方案。</w:t>
      </w:r>
    </w:p>
    <w:p>
      <w:pPr>
        <w:pStyle w:val="BodyText"/>
        <w:spacing w:line="319" w:lineRule="auto" w:before="19"/>
        <w:ind w:right="1124"/>
        <w:jc w:val="left"/>
      </w:pPr>
      <w:r>
        <w:rPr>
          <w:rFonts w:ascii="宋体" w:hAnsi="宋体" w:cs="宋体" w:eastAsia="宋体" w:hint="default"/>
        </w:rPr>
        <w:t>4</w:t>
      </w:r>
      <w:r>
        <w:rPr/>
        <w:t>、指挥通 </w:t>
      </w:r>
      <w:r>
        <w:rPr>
          <w:spacing w:val="-2"/>
        </w:rPr>
        <w:t>指挥通是公司在智慧公益领域的创新应用，运用移动互联网、云计算、地理信息等技术，打造志愿服务一站式云平台，优化</w:t>
      </w:r>
      <w:r>
        <w:rPr>
          <w:spacing w:val="-65"/>
        </w:rPr>
        <w:t> </w:t>
      </w:r>
      <w:r>
        <w:rPr>
          <w:spacing w:val="-65"/>
        </w:rPr>
      </w:r>
      <w:r>
        <w:rPr>
          <w:spacing w:val="-2"/>
        </w:rPr>
        <w:t>志愿服务工作流程，对志愿者服务时间、服务地点、服务内容等工作进行实时动态管理和数据统计，进而实现志愿服务指挥</w:t>
      </w:r>
      <w:r>
        <w:rPr>
          <w:spacing w:val="-64"/>
        </w:rPr>
        <w:t> </w:t>
      </w:r>
      <w:r>
        <w:rPr>
          <w:spacing w:val="-64"/>
        </w:rPr>
      </w:r>
      <w:r>
        <w:rPr>
          <w:spacing w:val="-2"/>
        </w:rPr>
        <w:t>调度可视化、服务工作数据化，建设一套完整、高效、性能优良的志愿服务智能指挥系统，提升管理决策、组织建设、项目</w:t>
      </w:r>
      <w:r>
        <w:rPr>
          <w:spacing w:val="-73"/>
        </w:rPr>
        <w:t> </w:t>
      </w:r>
      <w:r>
        <w:rPr>
          <w:spacing w:val="-73"/>
        </w:rPr>
      </w:r>
      <w:r>
        <w:rPr/>
        <w:t>实施的科学化水平。该产品顺利完成第十三届全国学生运动会志愿服务指挥工作智能化支持，及杭州</w:t>
      </w:r>
      <w:r>
        <w:rPr>
          <w:rFonts w:ascii="宋体" w:hAnsi="宋体" w:cs="宋体" w:eastAsia="宋体" w:hint="default"/>
        </w:rPr>
        <w:t>G20</w:t>
      </w:r>
      <w:r>
        <w:rPr/>
        <w:t>峰会、三次世界互 </w:t>
      </w:r>
      <w:r>
        <w:rPr>
          <w:spacing w:val="-2"/>
        </w:rPr>
        <w:t>联网大会等大型会务活动。产品在志愿服务领域应用逐渐成熟并拓展深入，在该领域积累了较强的实力和优势，为公司在智</w:t>
      </w:r>
      <w:r>
        <w:rPr>
          <w:spacing w:val="-63"/>
        </w:rPr>
        <w:t> </w:t>
      </w:r>
      <w:r>
        <w:rPr>
          <w:spacing w:val="-63"/>
        </w:rPr>
      </w:r>
      <w:r>
        <w:rPr/>
        <w:t>慧公益领域发展开启新的篇章，提升了我司在智慧产业领域的地位。</w:t>
      </w:r>
    </w:p>
    <w:p>
      <w:pPr>
        <w:pStyle w:val="BodyText"/>
        <w:spacing w:line="316" w:lineRule="auto" w:before="17"/>
        <w:ind w:right="1129"/>
        <w:jc w:val="left"/>
      </w:pPr>
      <w:r>
        <w:rPr>
          <w:rFonts w:ascii="宋体" w:hAnsi="宋体" w:cs="宋体" w:eastAsia="宋体" w:hint="default"/>
        </w:rPr>
        <w:t>5</w:t>
      </w:r>
      <w:r>
        <w:rPr/>
        <w:t>、</w:t>
      </w:r>
      <w:r>
        <w:rPr>
          <w:rFonts w:ascii="宋体" w:hAnsi="宋体" w:cs="宋体" w:eastAsia="宋体" w:hint="default"/>
        </w:rPr>
        <w:t>ENLOOP</w:t>
      </w:r>
      <w:r>
        <w:rPr/>
        <w:t>大数据平台 </w:t>
      </w:r>
      <w:r>
        <w:rPr>
          <w:rFonts w:ascii="宋体" w:hAnsi="宋体" w:cs="宋体" w:eastAsia="宋体" w:hint="default"/>
          <w:spacing w:val="-2"/>
        </w:rPr>
        <w:t>Enloop</w:t>
      </w:r>
      <w:r>
        <w:rPr>
          <w:spacing w:val="-2"/>
        </w:rPr>
        <w:t>大数据平台以构建“业务数据化、数据业务化”的数字化应用闭环为目标，持续研发并提供通用的大数据共性技术平</w:t>
      </w:r>
      <w:r>
        <w:rPr>
          <w:spacing w:val="-59"/>
        </w:rPr>
        <w:t> </w:t>
      </w:r>
      <w:r>
        <w:rPr>
          <w:spacing w:val="-59"/>
        </w:rPr>
      </w:r>
      <w:r>
        <w:rPr>
          <w:spacing w:val="-2"/>
        </w:rPr>
        <w:t>台，为政府、企业提供从数据整合、治理、保护、共享到数据分析、可视表达、智能应用的全过程支撑。平台包括两大核心</w:t>
      </w:r>
      <w:r>
        <w:rPr>
          <w:spacing w:val="-65"/>
        </w:rPr>
        <w:t> </w:t>
      </w:r>
      <w:r>
        <w:rPr>
          <w:spacing w:val="-65"/>
        </w:rPr>
      </w:r>
      <w:r>
        <w:rPr>
          <w:spacing w:val="-2"/>
        </w:rPr>
        <w:t>组成部分：</w:t>
      </w:r>
      <w:r>
        <w:rPr>
          <w:rFonts w:ascii="宋体" w:hAnsi="宋体" w:cs="宋体" w:eastAsia="宋体" w:hint="default"/>
          <w:spacing w:val="-2"/>
        </w:rPr>
        <w:t>Enloop-Hub</w:t>
      </w:r>
      <w:r>
        <w:rPr>
          <w:spacing w:val="-2"/>
        </w:rPr>
        <w:t>数据中枢平台和</w:t>
      </w:r>
      <w:r>
        <w:rPr>
          <w:rFonts w:ascii="宋体" w:hAnsi="宋体" w:cs="宋体" w:eastAsia="宋体" w:hint="default"/>
          <w:spacing w:val="-2"/>
        </w:rPr>
        <w:t>Enloop-Ana</w:t>
      </w:r>
      <w:r>
        <w:rPr>
          <w:spacing w:val="-2"/>
        </w:rPr>
        <w:t>智能中枢平台，前者服务于大数据的治理与共享，后者服务于数据价值的</w:t>
      </w:r>
      <w:r>
        <w:rPr>
          <w:spacing w:val="-51"/>
        </w:rPr>
        <w:t> </w:t>
      </w:r>
      <w:r>
        <w:rPr>
          <w:spacing w:val="-51"/>
        </w:rPr>
      </w:r>
      <w:r>
        <w:rPr/>
        <w:t>高效分析、利用。</w:t>
      </w:r>
    </w:p>
    <w:p>
      <w:pPr>
        <w:pStyle w:val="BodyText"/>
        <w:spacing w:line="240" w:lineRule="auto" w:before="19"/>
        <w:ind w:right="1133"/>
        <w:jc w:val="left"/>
      </w:pPr>
      <w:r>
        <w:rPr>
          <w:rFonts w:ascii="宋体" w:hAnsi="宋体" w:cs="宋体" w:eastAsia="宋体" w:hint="default"/>
        </w:rPr>
        <w:t>ENLOOP-Hub</w:t>
      </w:r>
      <w:r>
        <w:rPr/>
        <w:t>数据中枢平台</w:t>
      </w:r>
    </w:p>
    <w:p>
      <w:pPr>
        <w:pStyle w:val="BodyText"/>
        <w:spacing w:line="316" w:lineRule="auto" w:before="76"/>
        <w:ind w:right="1124"/>
        <w:jc w:val="left"/>
      </w:pPr>
      <w:r>
        <w:rPr>
          <w:rFonts w:ascii="宋体" w:hAnsi="宋体" w:cs="宋体" w:eastAsia="宋体" w:hint="default"/>
        </w:rPr>
        <w:t>ENLOOP-Hub</w:t>
      </w:r>
      <w:r>
        <w:rPr/>
        <w:t>数据中枢平台是一款面向数据交换、共享、治理的</w:t>
      </w:r>
      <w:r>
        <w:rPr>
          <w:rFonts w:ascii="宋体" w:hAnsi="宋体" w:cs="宋体" w:eastAsia="宋体" w:hint="default"/>
        </w:rPr>
        <w:t>iPaaS</w:t>
      </w:r>
      <w:r>
        <w:rPr/>
        <w:t>层产品，提供软件部署、一体机两种产品输出形态。并 结合咨询服务和技术服务，实现行业数据孤岛打破与规避、数据资源治理与管控、数据资源保护与共享。产品已经完成</w:t>
      </w:r>
      <w:r>
        <w:rPr>
          <w:rFonts w:ascii="宋体" w:hAnsi="宋体" w:cs="宋体" w:eastAsia="宋体" w:hint="default"/>
        </w:rPr>
        <w:t>3.0</w:t>
      </w:r>
      <w:r>
        <w:rPr>
          <w:rFonts w:ascii="宋体" w:hAnsi="宋体" w:cs="宋体" w:eastAsia="宋体" w:hint="default"/>
          <w:spacing w:val="-85"/>
        </w:rPr>
        <w:t> </w:t>
      </w:r>
      <w:r>
        <w:rPr>
          <w:spacing w:val="-2"/>
        </w:rPr>
        <w:t>版开发测试，完成数据交换共享的所有功能开发，并通过了浙江省电检所功能性能评测、中国信通院大数据产品检测、以及</w:t>
      </w:r>
      <w:r>
        <w:rPr>
          <w:spacing w:val="-65"/>
        </w:rPr>
        <w:t> </w:t>
      </w:r>
      <w:r>
        <w:rPr>
          <w:spacing w:val="-65"/>
        </w:rPr>
      </w:r>
      <w:r>
        <w:rPr/>
        <w:t>华为鲲鹏兼容性认证。底层技术分布式数据集成调度方法、热扩展数据集成引擎、数据保护算法已申报中国发明专利</w:t>
      </w:r>
      <w:r>
        <w:rPr>
          <w:rFonts w:ascii="宋体" w:hAnsi="宋体" w:cs="宋体" w:eastAsia="宋体" w:hint="default"/>
        </w:rPr>
        <w:t>5</w:t>
      </w:r>
      <w:r>
        <w:rPr/>
        <w:t>项。</w:t>
      </w:r>
      <w:r>
        <w:rPr>
          <w:spacing w:val="-87"/>
        </w:rPr>
        <w:t> </w:t>
      </w:r>
      <w:r>
        <w:rPr/>
        <w:t>本平台</w:t>
      </w:r>
      <w:r>
        <w:rPr>
          <w:rFonts w:ascii="宋体" w:hAnsi="宋体" w:cs="宋体" w:eastAsia="宋体" w:hint="default"/>
        </w:rPr>
        <w:t>3.0</w:t>
      </w:r>
      <w:r>
        <w:rPr/>
        <w:t>版本已经在司法、医疗、应急等领域一系列项目中成功落地应用。 </w:t>
      </w:r>
      <w:r>
        <w:rPr>
          <w:spacing w:val="-2"/>
        </w:rPr>
        <w:t>下一阶段的主要研发方向是进一步完善数据治理与可信交换等相关功能，包括</w:t>
      </w:r>
      <w:r>
        <w:rPr>
          <w:rFonts w:ascii="宋体" w:hAnsi="宋体" w:cs="宋体" w:eastAsia="宋体" w:hint="default"/>
          <w:spacing w:val="-2"/>
        </w:rPr>
        <w:t>AI</w:t>
      </w:r>
      <w:r>
        <w:rPr>
          <w:spacing w:val="-2"/>
        </w:rPr>
        <w:t>赋能的数据治理、区块链加持的数据交换等</w:t>
      </w:r>
      <w:r>
        <w:rPr>
          <w:spacing w:val="-62"/>
        </w:rPr>
        <w:t> </w:t>
      </w:r>
      <w:r>
        <w:rPr>
          <w:spacing w:val="-62"/>
        </w:rPr>
      </w:r>
      <w:r>
        <w:rPr/>
        <w:t>功能的进一步升级研发，并在更多领域进行应用示范。</w:t>
      </w:r>
    </w:p>
    <w:p>
      <w:pPr>
        <w:pStyle w:val="BodyText"/>
        <w:spacing w:line="240" w:lineRule="auto" w:before="19"/>
        <w:ind w:right="1133"/>
        <w:jc w:val="left"/>
      </w:pPr>
      <w:r>
        <w:rPr>
          <w:rFonts w:ascii="宋体" w:hAnsi="宋体" w:cs="宋体" w:eastAsia="宋体" w:hint="default"/>
        </w:rPr>
        <w:t>Enloop-Ana</w:t>
      </w:r>
      <w:r>
        <w:rPr/>
        <w:t>智能中枢平台</w:t>
      </w:r>
    </w:p>
    <w:p>
      <w:pPr>
        <w:pStyle w:val="BodyText"/>
        <w:spacing w:line="316" w:lineRule="auto" w:before="76"/>
        <w:ind w:right="1034"/>
        <w:jc w:val="left"/>
      </w:pPr>
      <w:r>
        <w:rPr>
          <w:rFonts w:ascii="宋体" w:hAnsi="宋体" w:cs="宋体" w:eastAsia="宋体" w:hint="default"/>
          <w:spacing w:val="-2"/>
        </w:rPr>
        <w:t>ENLOOP-Ana</w:t>
      </w:r>
      <w:r>
        <w:rPr>
          <w:spacing w:val="-2"/>
        </w:rPr>
        <w:t>是一套集数据仓库、数据挖掘模型、交互式</w:t>
      </w:r>
      <w:r>
        <w:rPr>
          <w:rFonts w:ascii="宋体" w:hAnsi="宋体" w:cs="宋体" w:eastAsia="宋体" w:hint="default"/>
          <w:spacing w:val="-2"/>
        </w:rPr>
        <w:t>BI</w:t>
      </w:r>
      <w:r>
        <w:rPr>
          <w:spacing w:val="-2"/>
        </w:rPr>
        <w:t>工具、可视化应用组件和人工智能算法服务应用于一体的大数据分</w:t>
      </w:r>
      <w:r>
        <w:rPr>
          <w:spacing w:val="-59"/>
        </w:rPr>
        <w:t> </w:t>
      </w:r>
      <w:r>
        <w:rPr>
          <w:spacing w:val="-59"/>
        </w:rPr>
      </w:r>
      <w:r>
        <w:rPr/>
        <w:t>析与应用服务支撑平台。平台以“知、预、行”为数据开发方法论，形成了</w:t>
      </w:r>
      <w:r>
        <w:rPr>
          <w:rFonts w:ascii="宋体" w:hAnsi="宋体" w:cs="宋体" w:eastAsia="宋体" w:hint="default"/>
        </w:rPr>
        <w:t>3</w:t>
      </w:r>
      <w:r>
        <w:rPr/>
        <w:t>大核心支撑模块：“数据洞察”引擎、“模型 集市”引擎与“智能搜索”引擎。 “数据洞察”引擎研发并集成了可视化组件和交互式</w:t>
      </w:r>
      <w:r>
        <w:rPr>
          <w:rFonts w:ascii="宋体" w:hAnsi="宋体" w:cs="宋体" w:eastAsia="宋体" w:hint="default"/>
        </w:rPr>
        <w:t>BI</w:t>
      </w:r>
      <w:r>
        <w:rPr/>
        <w:t>分析工具，可高效支撑指标分析体系的逐级展现、大屏设计与开发。 目前已完成交互式</w:t>
      </w:r>
      <w:r>
        <w:rPr>
          <w:rFonts w:ascii="宋体" w:hAnsi="宋体" w:cs="宋体" w:eastAsia="宋体" w:hint="default"/>
        </w:rPr>
        <w:t>BI</w:t>
      </w:r>
      <w:r>
        <w:rPr/>
        <w:t>工具产品“智见”</w:t>
      </w:r>
      <w:r>
        <w:rPr>
          <w:rFonts w:ascii="宋体" w:hAnsi="宋体" w:cs="宋体" w:eastAsia="宋体" w:hint="default"/>
        </w:rPr>
        <w:t>v1.0</w:t>
      </w:r>
      <w:r>
        <w:rPr/>
        <w:t>版的开发，并已经在司法等领域落地应用。 </w:t>
      </w:r>
      <w:r>
        <w:rPr>
          <w:spacing w:val="-2"/>
        </w:rPr>
        <w:t>“模型集市”引擎研发并集成了通用的聚类、分类、回归等数据挖掘算法；并积累了面向司法、交通、医疗等多个行业领域</w:t>
      </w:r>
      <w:r>
        <w:rPr>
          <w:spacing w:val="-69"/>
        </w:rPr>
        <w:t> </w:t>
      </w:r>
      <w:r>
        <w:rPr>
          <w:spacing w:val="-69"/>
        </w:rPr>
      </w:r>
      <w:r>
        <w:rPr/>
        <w:t>特殊主题的分析、预测模型，为大数据的多视角价值发现提供了有力工具。 </w:t>
      </w:r>
      <w:r>
        <w:rPr>
          <w:spacing w:val="-2"/>
        </w:rPr>
        <w:t>“智能搜索”引擎通过集成知识图谱构建引擎、深度学习引擎与模型、文本智能识别引擎向上提供应用支撑。面向行业构建</w:t>
      </w:r>
      <w:r>
        <w:rPr>
          <w:spacing w:val="-66"/>
        </w:rPr>
        <w:t> </w:t>
      </w:r>
      <w:r>
        <w:rPr>
          <w:spacing w:val="-66"/>
        </w:rPr>
      </w:r>
      <w:r>
        <w:rPr/>
        <w:t>一</w:t>
      </w:r>
      <w:r>
        <w:rPr>
          <w:rFonts w:ascii="宋体" w:hAnsi="宋体" w:cs="宋体" w:eastAsia="宋体" w:hint="default"/>
        </w:rPr>
        <w:t>X</w:t>
      </w:r>
      <w:r>
        <w:rPr/>
        <w:t>一档及全息智能搜索服务池。</w:t>
      </w:r>
    </w:p>
    <w:p>
      <w:pPr>
        <w:pStyle w:val="BodyText"/>
        <w:spacing w:line="316" w:lineRule="auto" w:before="19"/>
        <w:ind w:right="0"/>
        <w:jc w:val="left"/>
      </w:pPr>
      <w:r>
        <w:rPr>
          <w:rFonts w:ascii="宋体" w:hAnsi="宋体" w:cs="宋体" w:eastAsia="宋体" w:hint="default"/>
          <w:spacing w:val="-2"/>
        </w:rPr>
        <w:t>Enloop-Ana</w:t>
      </w:r>
      <w:r>
        <w:rPr>
          <w:spacing w:val="-2"/>
        </w:rPr>
        <w:t>智能中枢平台下一阶段的主要研发目标是面向司法、医疗两个方向打造集感知智能、认知智能、业务智能、数据</w:t>
      </w:r>
      <w:r>
        <w:rPr>
          <w:spacing w:val="-59"/>
        </w:rPr>
        <w:t> </w:t>
      </w:r>
      <w:r>
        <w:rPr>
          <w:spacing w:val="-59"/>
        </w:rPr>
      </w:r>
      <w:r>
        <w:rPr/>
        <w:t>智能为一体的</w:t>
      </w:r>
      <w:r>
        <w:rPr>
          <w:rFonts w:ascii="宋体" w:hAnsi="宋体" w:cs="宋体" w:eastAsia="宋体" w:hint="default"/>
        </w:rPr>
        <w:t>API</w:t>
      </w:r>
      <w:r>
        <w:rPr/>
        <w:t>服务池。</w:t>
      </w:r>
    </w:p>
    <w:p>
      <w:pPr>
        <w:pStyle w:val="BodyText"/>
        <w:spacing w:line="316" w:lineRule="auto" w:before="19"/>
        <w:ind w:right="0"/>
        <w:jc w:val="left"/>
      </w:pPr>
      <w:r>
        <w:rPr>
          <w:rFonts w:ascii="宋体" w:hAnsi="宋体" w:cs="宋体" w:eastAsia="宋体" w:hint="default"/>
        </w:rPr>
        <w:t>6</w:t>
      </w:r>
      <w:r>
        <w:rPr/>
        <w:t>、智慧法援系统 </w:t>
      </w:r>
      <w:r>
        <w:rPr>
          <w:spacing w:val="-2"/>
        </w:rPr>
        <w:t>智慧法援系统通过数据打通、流程再造重新定义传统的法律援助业务系统，实现了人工到自动、人工到智能、经验决策到数</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034"/>
        <w:jc w:val="left"/>
      </w:pPr>
      <w:r>
        <w:rPr>
          <w:spacing w:val="-2"/>
        </w:rPr>
        <w:t>据决策的大幅度升级。提升了困难群众就近获取法律援助的便捷性；解决了法援与公检法办案机关间存在的数据壁垒和法援</w:t>
      </w:r>
      <w:r>
        <w:rPr>
          <w:spacing w:val="-64"/>
        </w:rPr>
        <w:t> </w:t>
      </w:r>
      <w:r>
        <w:rPr>
          <w:spacing w:val="-64"/>
        </w:rPr>
      </w:r>
      <w:r>
        <w:rPr/>
        <w:t>质量管理的静态化和碎片化问题。 </w:t>
      </w:r>
      <w:r>
        <w:rPr>
          <w:spacing w:val="-4"/>
        </w:rPr>
        <w:t>系统打通了案件申请、案件指派到案件办理全流程，实现了公安、检察院、法院的法律援助案件律师指派工作线上实时办理，</w:t>
      </w:r>
      <w:r>
        <w:rPr>
          <w:spacing w:val="-46"/>
        </w:rPr>
        <w:t> </w:t>
      </w:r>
      <w:r>
        <w:rPr>
          <w:spacing w:val="-46"/>
        </w:rPr>
      </w:r>
      <w:r>
        <w:rPr/>
        <w:t>同时系统根据案件情况、法援律师的专业特长及工作量等情况进行综合计算，智能推荐律师。 </w:t>
      </w:r>
      <w:r>
        <w:rPr>
          <w:spacing w:val="-2"/>
        </w:rPr>
        <w:t>目前，法援系统已在上海市成功运行超过</w:t>
      </w:r>
      <w:r>
        <w:rPr>
          <w:rFonts w:ascii="宋体" w:hAnsi="宋体" w:cs="宋体" w:eastAsia="宋体" w:hint="default"/>
          <w:spacing w:val="-2"/>
        </w:rPr>
        <w:t>8</w:t>
      </w:r>
      <w:r>
        <w:rPr>
          <w:spacing w:val="-2"/>
        </w:rPr>
        <w:t>个月，上线运行以来，累计已经办理</w:t>
      </w:r>
      <w:r>
        <w:rPr>
          <w:rFonts w:ascii="宋体" w:hAnsi="宋体" w:cs="宋体" w:eastAsia="宋体" w:hint="default"/>
          <w:spacing w:val="-2"/>
        </w:rPr>
        <w:t>1.2</w:t>
      </w:r>
      <w:r>
        <w:rPr>
          <w:spacing w:val="-2"/>
        </w:rPr>
        <w:t>万余个法律援助案件，不仅使法律援助工</w:t>
      </w:r>
      <w:r>
        <w:rPr>
          <w:spacing w:val="-61"/>
        </w:rPr>
        <w:t> </w:t>
      </w:r>
      <w:r>
        <w:rPr>
          <w:spacing w:val="-61"/>
        </w:rPr>
      </w:r>
      <w:r>
        <w:rPr/>
        <w:t>作人员办案高效，减少出错率，也让受援群众少跑路，获得更好的服务，让法律援助切实地“惠及民生”、“触手可及”。</w:t>
      </w:r>
      <w:r>
        <w:rPr/>
        <w:t> 目前系统正在向多个省市进行推广落地。</w:t>
      </w:r>
    </w:p>
    <w:p>
      <w:pPr>
        <w:pStyle w:val="BodyText"/>
        <w:spacing w:line="316" w:lineRule="auto" w:before="19"/>
        <w:ind w:right="0"/>
        <w:jc w:val="left"/>
      </w:pPr>
      <w:r>
        <w:rPr>
          <w:rFonts w:ascii="宋体" w:hAnsi="宋体" w:cs="宋体" w:eastAsia="宋体" w:hint="default"/>
        </w:rPr>
        <w:t>7</w:t>
      </w:r>
      <w:r>
        <w:rPr/>
        <w:t>、医疗物联网统一融合与运营管理平台 </w:t>
      </w:r>
      <w:r>
        <w:rPr>
          <w:spacing w:val="-2"/>
        </w:rPr>
        <w:t>在物联网、云计算、移动互联等新技术大革命的背景下，医疗物联网应用的市场化需求强烈，其中新建医院已将物联网需求</w:t>
      </w:r>
      <w:r>
        <w:rPr>
          <w:spacing w:val="-64"/>
        </w:rPr>
        <w:t> </w:t>
      </w:r>
      <w:r>
        <w:rPr>
          <w:spacing w:val="-64"/>
        </w:rPr>
      </w:r>
      <w:r>
        <w:rPr>
          <w:spacing w:val="-2"/>
        </w:rPr>
        <w:t>纳入标准建设规范中。面向医院基于统一的物联网管理平台管理多种不同业务场景的多种传感器设备对接、多种物联网连接</w:t>
      </w:r>
      <w:r>
        <w:rPr>
          <w:spacing w:val="-64"/>
        </w:rPr>
        <w:t> </w:t>
      </w:r>
      <w:r>
        <w:rPr>
          <w:spacing w:val="-64"/>
        </w:rPr>
      </w:r>
      <w:r>
        <w:rPr>
          <w:spacing w:val="-2"/>
        </w:rPr>
        <w:t>技术以及统一运维的需求，银江股份已于</w:t>
      </w:r>
      <w:r>
        <w:rPr>
          <w:rFonts w:ascii="宋体" w:hAnsi="宋体" w:cs="宋体" w:eastAsia="宋体" w:hint="default"/>
          <w:spacing w:val="-2"/>
        </w:rPr>
        <w:t>2019</w:t>
      </w:r>
      <w:r>
        <w:rPr>
          <w:spacing w:val="-2"/>
        </w:rPr>
        <w:t>年与华为</w:t>
      </w:r>
      <w:r>
        <w:rPr>
          <w:rFonts w:ascii="宋体" w:hAnsi="宋体" w:cs="宋体" w:eastAsia="宋体" w:hint="default"/>
          <w:spacing w:val="-2"/>
        </w:rPr>
        <w:t>ROMA</w:t>
      </w:r>
      <w:r>
        <w:rPr>
          <w:spacing w:val="-2"/>
        </w:rPr>
        <w:t>平台在医疗物联网领域形成统一的解决方案，医疗物联网统一融</w:t>
      </w:r>
      <w:r>
        <w:rPr>
          <w:spacing w:val="-59"/>
        </w:rPr>
        <w:t> </w:t>
      </w:r>
      <w:r>
        <w:rPr>
          <w:spacing w:val="-59"/>
        </w:rPr>
      </w:r>
      <w:r>
        <w:rPr>
          <w:spacing w:val="-2"/>
        </w:rPr>
        <w:t>合与运营管理平台是公司与华为在医院信息化领域共同研发的新一代数据平台。银江医疗</w:t>
      </w:r>
      <w:r>
        <w:rPr>
          <w:rFonts w:ascii="宋体" w:hAnsi="宋体" w:cs="宋体" w:eastAsia="宋体" w:hint="default"/>
          <w:spacing w:val="-2"/>
        </w:rPr>
        <w:t>IoT</w:t>
      </w:r>
      <w:r>
        <w:rPr>
          <w:spacing w:val="-2"/>
        </w:rPr>
        <w:t>平台与华为</w:t>
      </w:r>
      <w:r>
        <w:rPr>
          <w:rFonts w:ascii="宋体" w:hAnsi="宋体" w:cs="宋体" w:eastAsia="宋体" w:hint="default"/>
          <w:spacing w:val="-2"/>
        </w:rPr>
        <w:t>ROMA</w:t>
      </w:r>
      <w:r>
        <w:rPr>
          <w:spacing w:val="-2"/>
        </w:rPr>
        <w:t>进行耦合对接，</w:t>
      </w:r>
      <w:r>
        <w:rPr>
          <w:spacing w:val="-57"/>
        </w:rPr>
        <w:t> </w:t>
      </w:r>
      <w:r>
        <w:rPr>
          <w:spacing w:val="-57"/>
        </w:rPr>
      </w:r>
      <w:r>
        <w:rPr/>
        <w:t>支持接入各种协议的设备，并通过</w:t>
      </w:r>
      <w:r>
        <w:rPr>
          <w:rFonts w:ascii="宋体" w:hAnsi="宋体" w:cs="宋体" w:eastAsia="宋体" w:hint="default"/>
        </w:rPr>
        <w:t>API</w:t>
      </w:r>
      <w:r>
        <w:rPr/>
        <w:t>、消息等形式提供开放能力，与医院已有系统进行无缝对接，协助应用系统对物理实 </w:t>
      </w:r>
      <w:r>
        <w:rPr>
          <w:spacing w:val="-2"/>
        </w:rPr>
        <w:t>体的信息采集，加强了业务流程的管控，实现对多医疗物联网应用系统的集成管理，最终实现物与人、物与物的控制和信息</w:t>
      </w:r>
      <w:r>
        <w:rPr>
          <w:spacing w:val="-65"/>
        </w:rPr>
        <w:t> </w:t>
      </w:r>
      <w:r>
        <w:rPr>
          <w:spacing w:val="-65"/>
        </w:rPr>
      </w:r>
      <w:r>
        <w:rPr/>
        <w:t>的智能交互，提升了医院整体的运营效率、降低运维成本。</w:t>
      </w:r>
    </w:p>
    <w:p>
      <w:pPr>
        <w:pStyle w:val="BodyText"/>
        <w:spacing w:line="316" w:lineRule="auto" w:before="19"/>
        <w:ind w:right="1124"/>
        <w:jc w:val="left"/>
      </w:pPr>
      <w:r>
        <w:rPr>
          <w:rFonts w:ascii="宋体" w:hAnsi="宋体" w:cs="宋体" w:eastAsia="宋体" w:hint="default"/>
        </w:rPr>
        <w:t>8</w:t>
      </w:r>
      <w:r>
        <w:rPr/>
        <w:t>、家庭医生签约综合服务平台 </w:t>
      </w:r>
      <w:r>
        <w:rPr>
          <w:spacing w:val="-2"/>
        </w:rPr>
        <w:t>家庭医生签约综合服务平台是以国家卫健委家庭医生建设为背景，为各地居民搭建的签约服务平台。通过签约的方式，使家</w:t>
      </w:r>
      <w:r>
        <w:rPr>
          <w:spacing w:val="-65"/>
        </w:rPr>
        <w:t> </w:t>
      </w:r>
      <w:r>
        <w:rPr>
          <w:spacing w:val="-65"/>
        </w:rPr>
      </w:r>
      <w:r>
        <w:rPr>
          <w:spacing w:val="-2"/>
        </w:rPr>
        <w:t>庭医生成为家庭的健康守门人，不仅单纯治疗居民的疾病，还会主动帮助签约服务对象养成良好的生活习惯，预防疾病的发</w:t>
      </w:r>
      <w:r>
        <w:rPr>
          <w:spacing w:val="-65"/>
        </w:rPr>
        <w:t> </w:t>
      </w:r>
      <w:r>
        <w:rPr>
          <w:spacing w:val="-65"/>
        </w:rPr>
      </w:r>
      <w:r>
        <w:rPr/>
        <w:t>生；促使家庭医生与签约居民建立一种长期、稳定、可及的健康服务关系，以提高居民的健康服务品质。 </w:t>
      </w:r>
      <w:r>
        <w:rPr>
          <w:spacing w:val="-2"/>
        </w:rPr>
        <w:t>家庭医生平台技术来源于银江为沈阳打造的中国首个副省级省会城市全域大健康服务平台，目前已成功在沈阳市、兰州市投</w:t>
      </w:r>
      <w:r>
        <w:rPr>
          <w:spacing w:val="-64"/>
        </w:rPr>
        <w:t> </w:t>
      </w:r>
      <w:r>
        <w:rPr>
          <w:spacing w:val="-64"/>
        </w:rPr>
      </w:r>
      <w:r>
        <w:rPr/>
        <w:t>入运营。在沈阳运营阶段成功实现全市</w:t>
      </w:r>
      <w:r>
        <w:rPr>
          <w:rFonts w:ascii="宋体" w:hAnsi="宋体" w:cs="宋体" w:eastAsia="宋体" w:hint="default"/>
        </w:rPr>
        <w:t>13</w:t>
      </w:r>
      <w:r>
        <w:rPr/>
        <w:t>个区县的医生入驻平台，实现家庭医生进入社区，致力于为全市</w:t>
      </w:r>
      <w:r>
        <w:rPr>
          <w:rFonts w:ascii="宋体" w:hAnsi="宋体" w:cs="宋体" w:eastAsia="宋体" w:hint="default"/>
        </w:rPr>
        <w:t>800</w:t>
      </w:r>
      <w:r>
        <w:rPr/>
        <w:t>多万居民提供 </w:t>
      </w:r>
      <w:r>
        <w:rPr>
          <w:rFonts w:ascii="宋体" w:hAnsi="宋体" w:cs="宋体" w:eastAsia="宋体" w:hint="default"/>
          <w:spacing w:val="-2"/>
        </w:rPr>
        <w:t>O2O</w:t>
      </w:r>
      <w:r>
        <w:rPr>
          <w:spacing w:val="-2"/>
        </w:rPr>
        <w:t>模式的医疗健康服务。家庭医生签约综合服务平台主要功能包括：居民</w:t>
      </w:r>
      <w:r>
        <w:rPr>
          <w:rFonts w:ascii="宋体" w:hAnsi="宋体" w:cs="宋体" w:eastAsia="宋体" w:hint="default"/>
          <w:spacing w:val="-2"/>
        </w:rPr>
        <w:t>APP</w:t>
      </w:r>
      <w:r>
        <w:rPr>
          <w:spacing w:val="-2"/>
        </w:rPr>
        <w:t>端（家医在线、健康小屋、家有老人、健康教</w:t>
      </w:r>
      <w:r>
        <w:rPr>
          <w:spacing w:val="-64"/>
        </w:rPr>
        <w:t> </w:t>
      </w:r>
      <w:r>
        <w:rPr>
          <w:spacing w:val="-64"/>
        </w:rPr>
      </w:r>
      <w:r>
        <w:rPr/>
        <w:t>育、孕产妇健康管理、婴幼儿健康管理）；医生</w:t>
      </w:r>
      <w:r>
        <w:rPr>
          <w:rFonts w:ascii="宋体" w:hAnsi="宋体" w:cs="宋体" w:eastAsia="宋体" w:hint="default"/>
        </w:rPr>
        <w:t>APP</w:t>
      </w:r>
      <w:r>
        <w:rPr/>
        <w:t>端（签约居民管理、工作统计、资质认证，签约团队管理）；机构</w:t>
      </w:r>
      <w:r>
        <w:rPr>
          <w:rFonts w:ascii="宋体" w:hAnsi="宋体" w:cs="宋体" w:eastAsia="宋体" w:hint="default"/>
        </w:rPr>
        <w:t>WEB</w:t>
      </w:r>
      <w:r>
        <w:rPr>
          <w:rFonts w:ascii="宋体" w:hAnsi="宋体" w:cs="宋体" w:eastAsia="宋体" w:hint="default"/>
          <w:spacing w:val="-86"/>
        </w:rPr>
        <w:t> </w:t>
      </w:r>
      <w:r>
        <w:rPr/>
        <w:t>端（家庭医生签约服务大数据展示、医生管理、资质管理、内容公告管理）。</w:t>
      </w:r>
    </w:p>
    <w:p>
      <w:pPr>
        <w:pStyle w:val="BodyText"/>
        <w:spacing w:line="316" w:lineRule="auto" w:before="19"/>
        <w:ind w:right="1034"/>
        <w:jc w:val="left"/>
      </w:pPr>
      <w:r>
        <w:rPr>
          <w:rFonts w:ascii="宋体" w:hAnsi="宋体" w:cs="宋体" w:eastAsia="宋体" w:hint="default"/>
        </w:rPr>
        <w:t>9</w:t>
      </w:r>
      <w:r>
        <w:rPr/>
        <w:t>、医院院感监测系统 </w:t>
      </w:r>
      <w:r>
        <w:rPr>
          <w:spacing w:val="-2"/>
        </w:rPr>
        <w:t>医院院感监测系统面向医院感染的全流程闭环管理，实时联通医院内部业务系统，具有对高危人群、高危科室、高危因素等</w:t>
      </w:r>
      <w:r>
        <w:rPr>
          <w:spacing w:val="-64"/>
        </w:rPr>
        <w:t> </w:t>
      </w:r>
      <w:r>
        <w:rPr>
          <w:spacing w:val="-64"/>
        </w:rPr>
      </w:r>
      <w:r>
        <w:rPr>
          <w:spacing w:val="-2"/>
        </w:rPr>
        <w:t>提供目标监测和跟踪干预等功能。借助该系统，过去大量繁琐的手工收集和录入基本被系统代替，极大地降低了管理人员的</w:t>
      </w:r>
      <w:r>
        <w:rPr>
          <w:spacing w:val="-65"/>
        </w:rPr>
        <w:t> </w:t>
      </w:r>
      <w:r>
        <w:rPr>
          <w:spacing w:val="-65"/>
        </w:rPr>
      </w:r>
      <w:r>
        <w:rPr/>
        <w:t>工作强度和工作压力，从而使院感专职人员可以将更多的时间和精力投入到监督指导临床一线落实医院感染控制措施上来。 同时，医院可以将有限的资源集中在高感染危险病区，放在有已知控制措施的感染上，并且能够和其他控制策略结合起来， 从而提高监控的有效性。 利用这套系统医院已经高质高效完成医院感染监测，目前该系统已在多家医院上线运行，如杭州红会医院、杭州市七医院、 昆山第四医院、昆山第五医院。</w:t>
      </w:r>
    </w:p>
    <w:p>
      <w:pPr>
        <w:spacing w:line="240" w:lineRule="auto" w:before="10"/>
        <w:rPr>
          <w:rFonts w:ascii="宋体" w:hAnsi="宋体" w:cs="宋体" w:eastAsia="宋体" w:hint="default"/>
          <w:sz w:val="19"/>
          <w:szCs w:val="19"/>
        </w:rPr>
      </w:pPr>
    </w:p>
    <w:p>
      <w:pPr>
        <w:pStyle w:val="BodyText"/>
        <w:spacing w:line="240" w:lineRule="auto"/>
        <w:ind w:right="1133"/>
        <w:jc w:val="left"/>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35.86%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119,155,919.99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111,649,420.66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117,122,125.75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31,409,977.91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25,721,554.91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21,638,653.22</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18.48%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15.61%</w:t>
            </w:r>
          </w:p>
        </w:tc>
      </w:tr>
    </w:tbl>
    <w:p>
      <w:pPr>
        <w:pStyle w:val="BodyText"/>
        <w:spacing w:line="240" w:lineRule="auto" w:before="49"/>
        <w:ind w:right="1133"/>
        <w:jc w:val="left"/>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研发投入资本化率大幅变动的原因及其合理性说明</w:t>
      </w:r>
    </w:p>
    <w:p>
      <w:pPr>
        <w:pStyle w:val="BodyText"/>
        <w:spacing w:line="240" w:lineRule="auto" w:before="39"/>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2279"/>
        <w:gridCol w:w="2412"/>
        <w:gridCol w:w="2338"/>
      </w:tblGrid>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2,325,660,293.26</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2,652,244,431.12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-12.31%</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2,445,742,541.25</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2,638,951,334.76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-120,082,247.99</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13,293,096.36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-1,003.34%</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185,553,642.51</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233,418,842.96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-20.51%</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479,075,908.08</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681,291,640.93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-29.68%</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-293,522,265.57</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-447,872,797.97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34.46%</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2,238,208,151.54</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1,364,902,162.21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63.98%</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1,867,874,746.48</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1,454,724,834.79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28.40%</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370,333,405.06</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-89,822,672.58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512.29%</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-43,269,670.05</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-524,342,513.14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91.75%</w:t>
            </w:r>
          </w:p>
        </w:tc>
      </w:tr>
    </w:tbl>
    <w:p>
      <w:pPr>
        <w:pStyle w:val="BodyText"/>
        <w:spacing w:line="240" w:lineRule="auto" w:before="49"/>
        <w:ind w:right="1133"/>
        <w:jc w:val="left"/>
      </w:pPr>
      <w:r>
        <w:rPr/>
        <w:t>相关数据同比发生重大变动的主要影响因素说明</w:t>
      </w:r>
    </w:p>
    <w:p>
      <w:pPr>
        <w:pStyle w:val="BodyText"/>
        <w:spacing w:line="338" w:lineRule="auto" w:before="117"/>
        <w:ind w:right="418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w:t>
      </w:r>
      <w:r>
        <w:rPr>
          <w:rFonts w:ascii="Times New Roman" w:hAnsi="Times New Roman" w:cs="Times New Roman" w:eastAsia="Times New Roman" w:hint="default"/>
        </w:rPr>
        <w:t>1</w:t>
      </w:r>
      <w:r>
        <w:rPr/>
        <w:t>、经营活动产生的现金流量净额减少，主要系报告期内收入下降，回款减少所致。</w:t>
      </w:r>
    </w:p>
    <w:p>
      <w:pPr>
        <w:pStyle w:val="BodyText"/>
        <w:spacing w:line="230" w:lineRule="exact"/>
        <w:ind w:right="1133"/>
        <w:jc w:val="left"/>
      </w:pPr>
      <w:r>
        <w:rPr>
          <w:rFonts w:ascii="Times New Roman" w:hAnsi="Times New Roman" w:cs="Times New Roman" w:eastAsia="Times New Roman" w:hint="default"/>
        </w:rPr>
        <w:t>2</w:t>
      </w:r>
      <w:r>
        <w:rPr/>
        <w:t>、筹资活动产生的现金流量净额增加，主要短期借款增加所致。</w:t>
      </w:r>
    </w:p>
    <w:p>
      <w:pPr>
        <w:pStyle w:val="BodyText"/>
        <w:spacing w:line="240" w:lineRule="auto" w:before="103"/>
        <w:ind w:right="1133"/>
        <w:jc w:val="left"/>
      </w:pPr>
      <w:r>
        <w:rPr/>
        <w:t>报告期内公司经营活动产生的现金净流量与本年度净利润存在重大差异的原因说明</w:t>
      </w:r>
    </w:p>
    <w:p>
      <w:pPr>
        <w:pStyle w:val="BodyText"/>
        <w:spacing w:line="240" w:lineRule="auto" w:before="117"/>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103"/>
        <w:ind w:left="7208" w:right="113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2"/>
        <w:gridCol w:w="2879"/>
        <w:gridCol w:w="1630"/>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93"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14,740,268.22</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8.87%</w:t>
            </w:r>
          </w:p>
        </w:tc>
        <w:tc>
          <w:tcPr>
            <w:tcW w:w="2879"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主要系报告期内投资的企业所持有 的金融资产公允价值变动影响</w:t>
            </w:r>
          </w:p>
        </w:tc>
        <w:tc>
          <w:tcPr>
            <w:tcW w:w="163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不可持续</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879" w:type="dxa"/>
            <w:vMerge/>
            <w:tcBorders>
              <w:left w:val="single" w:sz="4" w:space="0" w:color="000000"/>
              <w:right w:val="single" w:sz="4" w:space="0" w:color="000000"/>
            </w:tcBorders>
          </w:tcPr>
          <w:p>
            <w:pPr/>
          </w:p>
        </w:tc>
        <w:tc>
          <w:tcPr>
            <w:tcW w:w="1630" w:type="dxa"/>
            <w:vMerge/>
            <w:tcBorders>
              <w:left w:val="single" w:sz="4" w:space="0" w:color="000000"/>
              <w:right w:val="single" w:sz="4" w:space="0" w:color="000000"/>
            </w:tcBorders>
          </w:tcPr>
          <w:p>
            <w:pPr/>
          </w:p>
        </w:tc>
      </w:tr>
      <w:tr>
        <w:trPr>
          <w:trHeight w:val="163"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879"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3"/>
        <w:ind w:right="-17"/>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38"/>
        <w:gridCol w:w="1427"/>
        <w:gridCol w:w="1277"/>
        <w:gridCol w:w="1419"/>
        <w:gridCol w:w="1274"/>
        <w:gridCol w:w="1419"/>
        <w:gridCol w:w="1205"/>
      </w:tblGrid>
      <w:tr>
        <w:trPr>
          <w:trHeight w:val="206"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6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38" w:type="dxa"/>
            <w:vMerge w:val="restart"/>
            <w:tcBorders>
              <w:top w:val="nil" w:sz="6" w:space="0" w:color="auto"/>
              <w:left w:val="single" w:sz="4" w:space="0" w:color="000000"/>
              <w:right w:val="single" w:sz="4" w:space="0" w:color="000000"/>
            </w:tcBorders>
            <w:shd w:val="clear" w:color="auto" w:fill="D2D2D2"/>
          </w:tcPr>
          <w:p>
            <w:pPr/>
          </w:p>
        </w:tc>
        <w:tc>
          <w:tcPr>
            <w:tcW w:w="2704" w:type="dxa"/>
            <w:gridSpan w:val="2"/>
            <w:vMerge/>
            <w:tcBorders>
              <w:left w:val="single" w:sz="4" w:space="0" w:color="000000"/>
              <w:bottom w:val="single" w:sz="4" w:space="0" w:color="000000"/>
              <w:right w:val="single" w:sz="4" w:space="0" w:color="000000"/>
            </w:tcBorders>
            <w:shd w:val="clear" w:color="auto" w:fill="D2D2D2"/>
          </w:tcPr>
          <w:p>
            <w:pPr/>
          </w:p>
        </w:tc>
        <w:tc>
          <w:tcPr>
            <w:tcW w:w="2693" w:type="dxa"/>
            <w:gridSpan w:val="2"/>
            <w:vMerge/>
            <w:tcBorders>
              <w:left w:val="single" w:sz="4" w:space="0" w:color="000000"/>
              <w:bottom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9" w:hRule="exact"/>
        </w:trPr>
        <w:tc>
          <w:tcPr>
            <w:tcW w:w="1538" w:type="dxa"/>
            <w:vMerge/>
            <w:tcBorders>
              <w:left w:val="single" w:sz="4" w:space="0" w:color="000000"/>
              <w:bottom w:val="nil" w:sz="6" w:space="0" w:color="auto"/>
              <w:right w:val="single" w:sz="4" w:space="0" w:color="000000"/>
            </w:tcBorders>
            <w:shd w:val="clear" w:color="auto" w:fill="D2D2D2"/>
          </w:tcPr>
          <w:p>
            <w:pPr/>
          </w:p>
        </w:tc>
        <w:tc>
          <w:tcPr>
            <w:tcW w:w="14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9" w:type="dxa"/>
            <w:vMerge/>
            <w:tcBorders>
              <w:left w:val="single" w:sz="4" w:space="0" w:color="000000"/>
              <w:bottom w:val="nil" w:sz="6" w:space="0" w:color="auto"/>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634,221,957.43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679,042,807.14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1,466,422,666.61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1,323,138,742.09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1,761,337,689.38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1,688,730,482.70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282,775,638.98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274,140,352.36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649,996,499.81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613,507,346.20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523,299,079.57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200,763,828.47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39,893,577.98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0.63%</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1,634,650,000.00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1,150,950,000.00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207,548,167.24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423,117,293.76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w:t>
            </w: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103"/>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70"/>
        <w:gridCol w:w="1021"/>
        <w:gridCol w:w="1058"/>
        <w:gridCol w:w="1193"/>
        <w:gridCol w:w="925"/>
        <w:gridCol w:w="1207"/>
        <w:gridCol w:w="1052"/>
        <w:gridCol w:w="920"/>
        <w:gridCol w:w="1212"/>
      </w:tblGrid>
      <w:tr>
        <w:trPr>
          <w:trHeight w:val="161" w:hRule="exact"/>
        </w:trPr>
        <w:tc>
          <w:tcPr>
            <w:tcW w:w="970" w:type="dxa"/>
            <w:vMerge w:val="restart"/>
            <w:tcBorders>
              <w:top w:val="single" w:sz="4" w:space="0" w:color="000000"/>
              <w:left w:val="single" w:sz="4" w:space="0" w:color="000000"/>
              <w:right w:val="single" w:sz="4" w:space="0" w:color="000000"/>
            </w:tcBorders>
            <w:shd w:val="clear" w:color="auto" w:fill="D2D2D2"/>
          </w:tcPr>
          <w:p>
            <w:pPr/>
          </w:p>
        </w:tc>
        <w:tc>
          <w:tcPr>
            <w:tcW w:w="1021" w:type="dxa"/>
            <w:vMerge w:val="restart"/>
            <w:tcBorders>
              <w:top w:val="single" w:sz="4" w:space="0" w:color="000000"/>
              <w:left w:val="single" w:sz="4" w:space="0" w:color="000000"/>
              <w:right w:val="single" w:sz="4" w:space="0" w:color="000000"/>
            </w:tcBorders>
            <w:shd w:val="clear" w:color="auto" w:fill="D2D2D2"/>
          </w:tcPr>
          <w:p>
            <w:pPr/>
          </w:p>
        </w:tc>
        <w:tc>
          <w:tcPr>
            <w:tcW w:w="1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2" w:right="4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970" w:type="dxa"/>
            <w:vMerge/>
            <w:tcBorders>
              <w:left w:val="single" w:sz="4" w:space="0" w:color="000000"/>
              <w:bottom w:val="nil" w:sz="6" w:space="0" w:color="auto"/>
              <w:right w:val="single" w:sz="4" w:space="0" w:color="000000"/>
            </w:tcBorders>
            <w:shd w:val="clear" w:color="auto" w:fill="D2D2D2"/>
          </w:tcPr>
          <w:p>
            <w:pPr/>
          </w:p>
        </w:tc>
        <w:tc>
          <w:tcPr>
            <w:tcW w:w="1021" w:type="dxa"/>
            <w:vMerge/>
            <w:tcBorders>
              <w:left w:val="single" w:sz="4" w:space="0" w:color="000000"/>
              <w:bottom w:val="nil" w:sz="6" w:space="0" w:color="auto"/>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70" w:right="75"/>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3"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89" w:right="93"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07"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30" w:right="69"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20"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9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58"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925" w:type="dxa"/>
            <w:vMerge/>
            <w:tcBorders>
              <w:left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052" w:type="dxa"/>
            <w:vMerge/>
            <w:tcBorders>
              <w:left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970" w:type="dxa"/>
            <w:vMerge w:val="restart"/>
            <w:tcBorders>
              <w:top w:val="nil" w:sz="6" w:space="0" w:color="auto"/>
              <w:left w:val="single" w:sz="4" w:space="0" w:color="000000"/>
              <w:right w:val="single" w:sz="4" w:space="0" w:color="000000"/>
            </w:tcBorders>
            <w:shd w:val="clear" w:color="auto" w:fill="D2D2D2"/>
          </w:tcPr>
          <w:p>
            <w:pPr/>
          </w:p>
        </w:tc>
        <w:tc>
          <w:tcPr>
            <w:tcW w:w="1021" w:type="dxa"/>
            <w:vMerge w:val="restart"/>
            <w:tcBorders>
              <w:top w:val="nil" w:sz="6" w:space="0" w:color="auto"/>
              <w:left w:val="single" w:sz="4" w:space="0" w:color="000000"/>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920" w:type="dxa"/>
            <w:vMerge w:val="restart"/>
            <w:tcBorders>
              <w:top w:val="nil" w:sz="6" w:space="0" w:color="auto"/>
              <w:left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970" w:type="dxa"/>
            <w:vMerge/>
            <w:tcBorders>
              <w:left w:val="single" w:sz="4" w:space="0" w:color="000000"/>
              <w:bottom w:val="single" w:sz="4" w:space="0" w:color="000000"/>
              <w:right w:val="single" w:sz="4" w:space="0" w:color="000000"/>
            </w:tcBorders>
            <w:shd w:val="clear" w:color="auto" w:fill="D2D2D2"/>
          </w:tcPr>
          <w:p>
            <w:pPr/>
          </w:p>
        </w:tc>
        <w:tc>
          <w:tcPr>
            <w:tcW w:w="1021" w:type="dxa"/>
            <w:vMerge/>
            <w:tcBorders>
              <w:left w:val="single" w:sz="4" w:space="0" w:color="000000"/>
              <w:bottom w:val="single" w:sz="4" w:space="0" w:color="000000"/>
              <w:right w:val="single" w:sz="4" w:space="0" w:color="000000"/>
            </w:tcBorders>
            <w:shd w:val="clear" w:color="auto" w:fill="D2D2D2"/>
          </w:tcPr>
          <w:p>
            <w:pPr/>
          </w:p>
        </w:tc>
        <w:tc>
          <w:tcPr>
            <w:tcW w:w="1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13"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 工具投资</w:t>
            </w:r>
          </w:p>
        </w:tc>
        <w:tc>
          <w:tcPr>
            <w:tcW w:w="10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423,117,293.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76</w:t>
            </w:r>
          </w:p>
        </w:tc>
        <w:tc>
          <w:tcPr>
            <w:tcW w:w="105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207,548,167.24</w:t>
            </w:r>
          </w:p>
        </w:tc>
      </w:tr>
      <w:tr>
        <w:trPr>
          <w:trHeight w:val="161" w:hRule="exact"/>
        </w:trPr>
        <w:tc>
          <w:tcPr>
            <w:tcW w:w="97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1" w:type="dxa"/>
            <w:vMerge w:val="restart"/>
            <w:tcBorders>
              <w:top w:val="single" w:sz="4" w:space="0" w:color="000000"/>
              <w:left w:val="single" w:sz="9" w:space="0" w:color="D2D2D2"/>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423,117,293.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c>
          <w:tcPr>
            <w:tcW w:w="1058" w:type="dxa"/>
            <w:vMerge w:val="restart"/>
            <w:tcBorders>
              <w:top w:val="single" w:sz="4" w:space="0" w:color="000000"/>
              <w:left w:val="single" w:sz="4" w:space="0" w:color="000000"/>
              <w:right w:val="single" w:sz="4" w:space="0" w:color="000000"/>
            </w:tcBorders>
          </w:tcPr>
          <w:p>
            <w:pPr/>
          </w:p>
        </w:tc>
        <w:tc>
          <w:tcPr>
            <w:tcW w:w="1193" w:type="dxa"/>
            <w:vMerge w:val="restart"/>
            <w:tcBorders>
              <w:top w:val="single" w:sz="4" w:space="0" w:color="000000"/>
              <w:left w:val="single" w:sz="4" w:space="0" w:color="000000"/>
              <w:right w:val="single" w:sz="4" w:space="0" w:color="000000"/>
            </w:tcBorders>
          </w:tcPr>
          <w:p>
            <w:pPr/>
          </w:p>
        </w:tc>
        <w:tc>
          <w:tcPr>
            <w:tcW w:w="925" w:type="dxa"/>
            <w:vMerge w:val="restart"/>
            <w:tcBorders>
              <w:top w:val="single" w:sz="4" w:space="0" w:color="000000"/>
              <w:left w:val="single" w:sz="4" w:space="0" w:color="000000"/>
              <w:right w:val="single" w:sz="4" w:space="0" w:color="000000"/>
            </w:tcBorders>
          </w:tcPr>
          <w:p>
            <w:pPr/>
          </w:p>
        </w:tc>
        <w:tc>
          <w:tcPr>
            <w:tcW w:w="1207" w:type="dxa"/>
            <w:vMerge w:val="restart"/>
            <w:tcBorders>
              <w:top w:val="single" w:sz="4" w:space="0" w:color="000000"/>
              <w:left w:val="single" w:sz="4" w:space="0" w:color="000000"/>
              <w:right w:val="single" w:sz="4" w:space="0" w:color="000000"/>
            </w:tcBorders>
          </w:tcPr>
          <w:p>
            <w:pPr/>
          </w:p>
        </w:tc>
        <w:tc>
          <w:tcPr>
            <w:tcW w:w="105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207,548,167.24</w:t>
            </w:r>
          </w:p>
        </w:tc>
      </w:tr>
      <w:tr>
        <w:trPr>
          <w:trHeight w:val="394" w:hRule="exact"/>
        </w:trPr>
        <w:tc>
          <w:tcPr>
            <w:tcW w:w="9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21" w:type="dxa"/>
            <w:vMerge/>
            <w:tcBorders>
              <w:left w:val="single" w:sz="9" w:space="0" w:color="D2D2D2"/>
              <w:right w:val="single" w:sz="4" w:space="0" w:color="000000"/>
            </w:tcBorders>
          </w:tcPr>
          <w:p>
            <w:pPr/>
          </w:p>
        </w:tc>
        <w:tc>
          <w:tcPr>
            <w:tcW w:w="1058"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925" w:type="dxa"/>
            <w:vMerge/>
            <w:tcBorders>
              <w:left w:val="single" w:sz="4" w:space="0" w:color="000000"/>
              <w:right w:val="single" w:sz="4" w:space="0" w:color="000000"/>
            </w:tcBorders>
          </w:tcPr>
          <w:p>
            <w:pPr/>
          </w:p>
        </w:tc>
        <w:tc>
          <w:tcPr>
            <w:tcW w:w="1207"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r>
      <w:tr>
        <w:trPr>
          <w:trHeight w:val="161" w:hRule="exact"/>
        </w:trPr>
        <w:tc>
          <w:tcPr>
            <w:tcW w:w="97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1" w:type="dxa"/>
            <w:vMerge/>
            <w:tcBorders>
              <w:left w:val="single" w:sz="9" w:space="0" w:color="D2D2D2"/>
              <w:bottom w:val="single" w:sz="4" w:space="0" w:color="000000"/>
              <w:right w:val="single" w:sz="4" w:space="0" w:color="000000"/>
            </w:tcBorders>
          </w:tcPr>
          <w:p>
            <w:pPr/>
          </w:p>
        </w:tc>
        <w:tc>
          <w:tcPr>
            <w:tcW w:w="1058"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925"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r>
      <w:tr>
        <w:trPr>
          <w:trHeight w:val="401"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658" w:right="0"/>
              <w:jc w:val="left"/>
              <w:rPr>
                <w:rFonts w:ascii="Times New Roman" w:hAnsi="Times New Roman" w:cs="Times New Roman" w:eastAsia="Times New Roman" w:hint="default"/>
                <w:sz w:val="18"/>
                <w:szCs w:val="18"/>
              </w:rPr>
            </w:pPr>
            <w:r>
              <w:rPr>
                <w:rFonts w:ascii="Times New Roman"/>
                <w:sz w:val="18"/>
              </w:rPr>
              <w:t>0.00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60" w:lineRule="auto" w:before="49"/>
        <w:ind w:right="6794"/>
        <w:jc w:val="left"/>
      </w:pPr>
      <w:r>
        <w:rPr/>
        <w:t>其他变动的内容 报告期内公司主要资产计量属性是否发生重大变化</w:t>
      </w:r>
    </w:p>
    <w:p>
      <w:pPr>
        <w:pStyle w:val="BodyText"/>
        <w:spacing w:line="240" w:lineRule="auto" w:before="25"/>
        <w:ind w:right="1133"/>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867"/>
        <w:gridCol w:w="2345"/>
        <w:gridCol w:w="4004"/>
      </w:tblGrid>
      <w:tr>
        <w:trPr>
          <w:trHeight w:val="341" w:hRule="exact"/>
        </w:trPr>
        <w:tc>
          <w:tcPr>
            <w:tcW w:w="28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626" w:right="0"/>
              <w:jc w:val="left"/>
              <w:rPr>
                <w:rFonts w:ascii="宋体" w:hAnsi="宋体" w:cs="宋体" w:eastAsia="宋体" w:hint="default"/>
                <w:sz w:val="18"/>
                <w:szCs w:val="18"/>
              </w:rPr>
            </w:pPr>
            <w:r>
              <w:rPr>
                <w:rFonts w:ascii="宋体" w:hAnsi="宋体" w:cs="宋体" w:eastAsia="宋体" w:hint="default"/>
                <w:sz w:val="18"/>
                <w:szCs w:val="18"/>
              </w:rPr>
              <w:t>年末账面价值</w:t>
            </w:r>
          </w:p>
        </w:tc>
        <w:tc>
          <w:tcPr>
            <w:tcW w:w="40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867"/>
        <w:gridCol w:w="2345"/>
        <w:gridCol w:w="4004"/>
      </w:tblGrid>
      <w:tr>
        <w:trPr>
          <w:trHeight w:val="341" w:hRule="exact"/>
        </w:trPr>
        <w:tc>
          <w:tcPr>
            <w:tcW w:w="28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73,182,403.56</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保证金、质押定期存款等</w:t>
            </w:r>
          </w:p>
        </w:tc>
      </w:tr>
      <w:tr>
        <w:trPr>
          <w:trHeight w:val="343" w:hRule="exact"/>
        </w:trPr>
        <w:tc>
          <w:tcPr>
            <w:tcW w:w="28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81,018,809.00</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用于质押的应收账款</w:t>
            </w:r>
          </w:p>
        </w:tc>
      </w:tr>
      <w:tr>
        <w:trPr>
          <w:trHeight w:val="341" w:hRule="exact"/>
        </w:trPr>
        <w:tc>
          <w:tcPr>
            <w:tcW w:w="28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4,033,821.81</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用于抵押的房屋建筑物</w:t>
            </w:r>
          </w:p>
        </w:tc>
      </w:tr>
      <w:tr>
        <w:trPr>
          <w:trHeight w:val="343" w:hRule="exact"/>
        </w:trPr>
        <w:tc>
          <w:tcPr>
            <w:tcW w:w="28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6,525,921.14</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用于抵押的房屋建筑物</w:t>
            </w:r>
          </w:p>
        </w:tc>
      </w:tr>
      <w:tr>
        <w:trPr>
          <w:trHeight w:val="343" w:hRule="exact"/>
        </w:trPr>
        <w:tc>
          <w:tcPr>
            <w:tcW w:w="28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164,760,955.51</w:t>
            </w:r>
          </w:p>
        </w:tc>
        <w:tc>
          <w:tcPr>
            <w:tcW w:w="40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479,075,908.08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681,291,640.93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-29.68%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103"/>
        <w:ind w:left="7208"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6"/>
        <w:gridCol w:w="660"/>
        <w:gridCol w:w="629"/>
        <w:gridCol w:w="739"/>
        <w:gridCol w:w="733"/>
        <w:gridCol w:w="734"/>
        <w:gridCol w:w="722"/>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7" w:right="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95"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1"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897"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20"/>
              <w:jc w:val="left"/>
              <w:rPr>
                <w:rFonts w:ascii="宋体" w:hAnsi="宋体" w:cs="宋体" w:eastAsia="宋体" w:hint="default"/>
                <w:sz w:val="18"/>
                <w:szCs w:val="18"/>
              </w:rPr>
            </w:pPr>
            <w:r>
              <w:rPr>
                <w:rFonts w:ascii="宋体" w:hAnsi="宋体" w:cs="宋体" w:eastAsia="宋体" w:hint="default"/>
                <w:sz w:val="18"/>
                <w:szCs w:val="18"/>
              </w:rPr>
              <w:t>杭州银 江智慧 产业创 业投资 合伙企 </w:t>
            </w:r>
            <w:r>
              <w:rPr>
                <w:rFonts w:ascii="宋体" w:hAnsi="宋体" w:cs="宋体" w:eastAsia="宋体" w:hint="default"/>
                <w:spacing w:val="-21"/>
                <w:sz w:val="18"/>
                <w:szCs w:val="18"/>
              </w:rPr>
              <w:t>业（有限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智慧城 市产业 </w:t>
            </w:r>
            <w:r>
              <w:rPr>
                <w:rFonts w:ascii="宋体" w:hAnsi="宋体" w:cs="宋体" w:eastAsia="宋体" w:hint="default"/>
                <w:spacing w:val="-22"/>
                <w:sz w:val="18"/>
                <w:szCs w:val="18"/>
              </w:rPr>
              <w:t>投资、互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联网金 融、教 育、旅 </w:t>
            </w:r>
            <w:r>
              <w:rPr>
                <w:rFonts w:ascii="宋体" w:hAnsi="宋体" w:cs="宋体" w:eastAsia="宋体" w:hint="default"/>
                <w:spacing w:val="-22"/>
                <w:sz w:val="18"/>
                <w:szCs w:val="18"/>
              </w:rPr>
              <w:t>游、健康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领域股 权投资</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66"/>
              <w:jc w:val="right"/>
              <w:rPr>
                <w:rFonts w:ascii="宋体" w:hAnsi="宋体" w:cs="宋体" w:eastAsia="宋体" w:hint="default"/>
                <w:sz w:val="18"/>
                <w:szCs w:val="18"/>
              </w:rPr>
            </w:pPr>
            <w:r>
              <w:rPr>
                <w:rFonts w:ascii="宋体" w:hAnsi="宋体" w:cs="宋体" w:eastAsia="宋体" w:hint="default"/>
                <w:sz w:val="18"/>
                <w:szCs w:val="18"/>
              </w:rPr>
              <w:t>增资</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544,000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60" w:right="0"/>
              <w:jc w:val="center"/>
              <w:rPr>
                <w:rFonts w:ascii="Times New Roman" w:hAnsi="Times New Roman" w:cs="Times New Roman" w:eastAsia="Times New Roman" w:hint="default"/>
                <w:sz w:val="18"/>
                <w:szCs w:val="18"/>
              </w:rPr>
            </w:pPr>
            <w:r>
              <w:rPr>
                <w:rFonts w:ascii="Times New Roman"/>
                <w:sz w:val="18"/>
              </w:rPr>
              <w:t>36.27%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83"/>
              <w:jc w:val="both"/>
              <w:rPr>
                <w:rFonts w:ascii="宋体" w:hAnsi="宋体" w:cs="宋体" w:eastAsia="宋体" w:hint="default"/>
                <w:sz w:val="18"/>
                <w:szCs w:val="18"/>
              </w:rPr>
            </w:pPr>
            <w:r>
              <w:rPr>
                <w:rFonts w:ascii="宋体" w:hAnsi="宋体" w:cs="宋体" w:eastAsia="宋体" w:hint="default"/>
                <w:sz w:val="18"/>
                <w:szCs w:val="18"/>
              </w:rPr>
              <w:t>科学技 术部技 术型中 小企业 技术创 新基金 管理中 心</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57"/>
              <w:jc w:val="righ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16,408,1</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06.25</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2018-10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71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544,000</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16,408,1</w:t>
            </w:r>
          </w:p>
          <w:p>
            <w:pPr>
              <w:pStyle w:val="TableParagraph"/>
              <w:spacing w:line="240" w:lineRule="auto" w:before="102"/>
              <w:ind w:left="302" w:right="0"/>
              <w:jc w:val="left"/>
              <w:rPr>
                <w:rFonts w:ascii="Times New Roman" w:hAnsi="Times New Roman" w:cs="Times New Roman" w:eastAsia="Times New Roman" w:hint="default"/>
                <w:sz w:val="18"/>
                <w:szCs w:val="18"/>
              </w:rPr>
            </w:pPr>
            <w:r>
              <w:rPr>
                <w:rFonts w:ascii="Times New Roman"/>
                <w:sz w:val="18"/>
              </w:rPr>
              <w:t>06.25</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103"/>
        <w:ind w:left="7208" w:right="1131"/>
        <w:jc w:val="right"/>
      </w:pPr>
      <w:r>
        <w:rPr/>
        <w:t>单位：元</w:t>
      </w:r>
    </w:p>
    <w:p>
      <w:pPr>
        <w:spacing w:line="240" w:lineRule="auto" w:before="1"/>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1377"/>
        <w:gridCol w:w="895"/>
        <w:gridCol w:w="1089"/>
        <w:gridCol w:w="1180"/>
        <w:gridCol w:w="1193"/>
        <w:gridCol w:w="956"/>
        <w:gridCol w:w="957"/>
        <w:gridCol w:w="954"/>
        <w:gridCol w:w="958"/>
      </w:tblGrid>
      <w:tr>
        <w:trPr>
          <w:trHeight w:val="382" w:hRule="exact"/>
        </w:trPr>
        <w:tc>
          <w:tcPr>
            <w:tcW w:w="1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1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2" w:right="0"/>
              <w:jc w:val="left"/>
              <w:rPr>
                <w:rFonts w:ascii="宋体" w:hAnsi="宋体" w:cs="宋体" w:eastAsia="宋体" w:hint="default"/>
                <w:sz w:val="18"/>
                <w:szCs w:val="18"/>
              </w:rPr>
            </w:pPr>
            <w:r>
              <w:rPr>
                <w:rFonts w:ascii="宋体" w:hAnsi="宋体" w:cs="宋体" w:eastAsia="宋体" w:hint="default"/>
                <w:sz w:val="18"/>
                <w:szCs w:val="18"/>
              </w:rPr>
              <w:t>初始投资</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7" w:right="0"/>
              <w:jc w:val="left"/>
              <w:rPr>
                <w:rFonts w:ascii="宋体" w:hAnsi="宋体" w:cs="宋体" w:eastAsia="宋体" w:hint="default"/>
                <w:sz w:val="18"/>
                <w:szCs w:val="18"/>
              </w:rPr>
            </w:pPr>
            <w:r>
              <w:rPr>
                <w:rFonts w:ascii="宋体" w:hAnsi="宋体" w:cs="宋体" w:eastAsia="宋体" w:hint="default"/>
                <w:sz w:val="18"/>
                <w:szCs w:val="18"/>
              </w:rPr>
              <w:t>本期公允价</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5" w:right="0"/>
              <w:jc w:val="left"/>
              <w:rPr>
                <w:rFonts w:ascii="宋体" w:hAnsi="宋体" w:cs="宋体" w:eastAsia="宋体" w:hint="default"/>
                <w:sz w:val="18"/>
                <w:szCs w:val="18"/>
              </w:rPr>
            </w:pPr>
            <w:r>
              <w:rPr>
                <w:rFonts w:ascii="宋体" w:hAnsi="宋体" w:cs="宋体" w:eastAsia="宋体" w:hint="default"/>
                <w:sz w:val="18"/>
                <w:szCs w:val="18"/>
              </w:rPr>
              <w:t>计入权益的累</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1" w:right="0"/>
              <w:jc w:val="left"/>
              <w:rPr>
                <w:rFonts w:ascii="宋体" w:hAnsi="宋体" w:cs="宋体" w:eastAsia="宋体" w:hint="default"/>
                <w:sz w:val="18"/>
                <w:szCs w:val="18"/>
              </w:rPr>
            </w:pPr>
            <w:r>
              <w:rPr>
                <w:rFonts w:ascii="宋体" w:hAnsi="宋体" w:cs="宋体" w:eastAsia="宋体" w:hint="default"/>
                <w:sz w:val="18"/>
                <w:szCs w:val="18"/>
              </w:rPr>
              <w:t>报告期内购入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报告期内售</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累计投资收</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11"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67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6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89"/>
              <w:jc w:val="right"/>
              <w:rPr>
                <w:rFonts w:ascii="宋体" w:hAnsi="宋体" w:cs="宋体" w:eastAsia="宋体" w:hint="default"/>
                <w:sz w:val="18"/>
                <w:szCs w:val="18"/>
              </w:rPr>
            </w:pPr>
            <w:r>
              <w:rPr>
                <w:rFonts w:ascii="宋体" w:hAnsi="宋体" w:cs="宋体" w:eastAsia="宋体" w:hint="default"/>
                <w:sz w:val="18"/>
                <w:szCs w:val="18"/>
              </w:rPr>
              <w:t>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494" w:right="41" w:hanging="449"/>
              <w:jc w:val="left"/>
              <w:rPr>
                <w:rFonts w:ascii="宋体" w:hAnsi="宋体" w:cs="宋体" w:eastAsia="宋体" w:hint="default"/>
                <w:sz w:val="18"/>
                <w:szCs w:val="18"/>
              </w:rPr>
            </w:pPr>
            <w:r>
              <w:rPr>
                <w:rFonts w:ascii="宋体" w:hAnsi="宋体" w:cs="宋体" w:eastAsia="宋体" w:hint="default"/>
                <w:sz w:val="18"/>
                <w:szCs w:val="18"/>
              </w:rPr>
              <w:t>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3" w:right="0"/>
              <w:jc w:val="left"/>
              <w:rPr>
                <w:rFonts w:ascii="宋体" w:hAnsi="宋体" w:cs="宋体" w:eastAsia="宋体" w:hint="default"/>
                <w:sz w:val="18"/>
                <w:szCs w:val="18"/>
              </w:rPr>
            </w:pPr>
            <w:r>
              <w:rPr>
                <w:rFonts w:ascii="宋体" w:hAnsi="宋体" w:cs="宋体" w:eastAsia="宋体" w:hint="default"/>
                <w:sz w:val="18"/>
                <w:szCs w:val="18"/>
              </w:rPr>
              <w:t>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154,280,00</w:t>
            </w:r>
          </w:p>
          <w:p>
            <w:pPr>
              <w:pStyle w:val="TableParagraph"/>
              <w:spacing w:line="240" w:lineRule="auto" w:before="105"/>
              <w:ind w:left="549" w:right="0"/>
              <w:jc w:val="lef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3,563.76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154,271,339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12,224.08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股权置换</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154,280,00</w:t>
            </w:r>
          </w:p>
          <w:p>
            <w:pPr>
              <w:pStyle w:val="TableParagraph"/>
              <w:spacing w:line="240" w:lineRule="auto" w:before="105"/>
              <w:ind w:left="549" w:right="0"/>
              <w:jc w:val="lef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3,563.76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154,271,339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12,224.08</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公司报告期无募集资金使用情况。</w:t>
      </w:r>
    </w:p>
    <w:p>
      <w:pPr>
        <w:spacing w:line="240" w:lineRule="auto" w:before="9"/>
        <w:rPr>
          <w:rFonts w:ascii="宋体" w:hAnsi="宋体" w:cs="宋体" w:eastAsia="宋体" w:hint="default"/>
          <w:sz w:val="19"/>
          <w:szCs w:val="19"/>
        </w:rPr>
      </w:pPr>
    </w:p>
    <w:p>
      <w:pPr>
        <w:pStyle w:val="Heading2"/>
        <w:spacing w:line="240" w:lineRule="auto"/>
        <w:ind w:right="1133"/>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出售重大资产情况" w:id="51"/>
      <w:bookmarkEnd w:id="51"/>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公司报告期未出售重大资产。</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2、出售重大股权情况" w:id="52"/>
      <w:bookmarkEnd w:id="52"/>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103"/>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山东银江交 通技术有限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19,610,000.0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22,537,823.4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17,894,898.4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405,319.42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-2,574,000.7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-2,576,859.0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w:t>
            </w:r>
          </w:p>
        </w:tc>
      </w:tr>
      <w:tr>
        <w:trPr>
          <w:trHeight w:val="134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福建银江智 慧城市信息 技术有限公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3"/>
              <w:jc w:val="center"/>
              <w:rPr>
                <w:rFonts w:ascii="Times New Roman" w:hAnsi="Times New Roman" w:cs="Times New Roman" w:eastAsia="Times New Roman" w:hint="default"/>
                <w:sz w:val="18"/>
                <w:szCs w:val="18"/>
              </w:rPr>
            </w:pPr>
            <w:r>
              <w:rPr>
                <w:rFonts w:ascii="Times New Roman"/>
                <w:sz w:val="18"/>
              </w:rPr>
              <w:t>11,110,000.0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4,039,126.16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-4,453,974.8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582,524.27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-2,541,293.5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-2,544,791.7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江西银江智 慧城市信息 技术有限公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45"/>
              <w:jc w:val="center"/>
              <w:rPr>
                <w:rFonts w:ascii="Times New Roman" w:hAnsi="Times New Roman" w:cs="Times New Roman" w:eastAsia="Times New Roman" w:hint="default"/>
                <w:sz w:val="18"/>
                <w:szCs w:val="18"/>
              </w:rPr>
            </w:pPr>
            <w:r>
              <w:rPr>
                <w:rFonts w:ascii="Times New Roman"/>
                <w:sz w:val="18"/>
              </w:rPr>
              <w:t>11,200,000.0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17,880,055.5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-3,938,852.9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2,113,511.15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-5,120,662.2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-4,902,942.8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118"/>
              <w:jc w:val="left"/>
              <w:rPr>
                <w:rFonts w:ascii="宋体" w:hAnsi="宋体" w:cs="宋体" w:eastAsia="宋体" w:hint="default"/>
                <w:sz w:val="18"/>
                <w:szCs w:val="18"/>
              </w:rPr>
            </w:pPr>
            <w:r>
              <w:rPr>
                <w:rFonts w:ascii="宋体" w:hAnsi="宋体" w:cs="宋体" w:eastAsia="宋体" w:hint="default"/>
                <w:sz w:val="18"/>
                <w:szCs w:val="18"/>
              </w:rPr>
              <w:t>西安银江智 慧城市技术</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3"/>
              <w:jc w:val="center"/>
              <w:rPr>
                <w:rFonts w:ascii="Times New Roman" w:hAnsi="Times New Roman" w:cs="Times New Roman" w:eastAsia="Times New Roman" w:hint="default"/>
                <w:sz w:val="18"/>
                <w:szCs w:val="18"/>
              </w:rPr>
            </w:pPr>
            <w:r>
              <w:rPr>
                <w:rFonts w:ascii="Times New Roman"/>
                <w:sz w:val="18"/>
              </w:rPr>
              <w:t>11,110,000.0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24,296,506.7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3,024,229.32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5,994,091.19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-5,012,552.7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-4,624,467.4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36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湖南银江交 通技术有限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pacing w:val="-1"/>
                <w:sz w:val="18"/>
              </w:rPr>
              <w:t>10,000,000.0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1,492,966.35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-84,457.95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-1,546,651.7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-1,546,651.7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山西银江交 通信息技术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pacing w:val="-1"/>
                <w:sz w:val="18"/>
              </w:rPr>
              <w:t>10,000,000.0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9,085,494.41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4,669,329.29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6,394,432.38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2,448,968.07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2,330,365.47</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浙江浙大健 康管理有限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医疗咨询服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pacing w:val="-1"/>
                <w:sz w:val="18"/>
              </w:rPr>
              <w:t>6,278,000.00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79,909.27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-3,434,673.2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0" w:right="0"/>
              <w:jc w:val="center"/>
              <w:rPr>
                <w:rFonts w:ascii="Times New Roman" w:hAnsi="Times New Roman" w:cs="Times New Roman" w:eastAsia="Times New Roman" w:hint="default"/>
                <w:sz w:val="18"/>
                <w:szCs w:val="18"/>
              </w:rPr>
            </w:pPr>
            <w:r>
              <w:rPr>
                <w:rFonts w:ascii="Times New Roman"/>
                <w:sz w:val="18"/>
              </w:rPr>
              <w:t>-481,062.93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-481,062.93</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健康宝互联 网技术有限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10"/>
              <w:jc w:val="left"/>
              <w:rPr>
                <w:rFonts w:ascii="宋体" w:hAnsi="宋体" w:cs="宋体" w:eastAsia="宋体" w:hint="default"/>
                <w:sz w:val="18"/>
                <w:szCs w:val="18"/>
              </w:rPr>
            </w:pPr>
            <w:r>
              <w:rPr>
                <w:rFonts w:ascii="宋体" w:hAnsi="宋体" w:cs="宋体" w:eastAsia="宋体" w:hint="default"/>
                <w:sz w:val="18"/>
                <w:szCs w:val="18"/>
              </w:rPr>
              <w:t>物联网技术 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pacing w:val="-1"/>
                <w:sz w:val="18"/>
              </w:rPr>
              <w:t>25,952,800.0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30,663,806.7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7,979,217.23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561,371.68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-3,032,317.7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-3,931,706.7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济南银江信 息技术有限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pacing w:val="-1"/>
                <w:sz w:val="18"/>
              </w:rPr>
              <w:t>10,000,000.0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9,045,361.01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9,000,067.66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0" w:right="0"/>
              <w:jc w:val="center"/>
              <w:rPr>
                <w:rFonts w:ascii="Times New Roman" w:hAnsi="Times New Roman" w:cs="Times New Roman" w:eastAsia="Times New Roman" w:hint="default"/>
                <w:sz w:val="18"/>
                <w:szCs w:val="18"/>
              </w:rPr>
            </w:pPr>
            <w:r>
              <w:rPr>
                <w:rFonts w:ascii="Times New Roman"/>
                <w:sz w:val="18"/>
              </w:rPr>
              <w:t>-506,886.83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-506,886.83</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沈阳智享大 健康信息科 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智能技术服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pacing w:val="-1"/>
                <w:sz w:val="18"/>
              </w:rPr>
              <w:t>136,800,000.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141,461,053.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126,017,395.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8,216,890.01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-8,647,927.5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-8,639,108.8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49"/>
        <w:ind w:right="1133"/>
        <w:jc w:val="left"/>
      </w:pPr>
      <w:r>
        <w:rPr/>
        <w:t>报告期内取得和处置子公司的情况</w:t>
      </w:r>
    </w:p>
    <w:p>
      <w:pPr>
        <w:pStyle w:val="BodyText"/>
        <w:spacing w:line="240" w:lineRule="auto" w:before="115"/>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浙江银江云计算技术有限公司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积极影响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浙江智尔信息技术有限公司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积极影响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杭州众嗨网络技术有限公司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银江（北京）物联网技术有限公司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济南银江智慧城市技术有限公司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1133"/>
        <w:jc w:val="left"/>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jc w:val="left"/>
      </w:pPr>
      <w:r>
        <w:rPr/>
        <w:t>（一）公司所处的行业发展趋势 </w:t>
      </w:r>
      <w:r>
        <w:rPr>
          <w:spacing w:val="-2"/>
        </w:rPr>
        <w:t>“城市大脑”是运用人工智能、大数据、物联网等先进技术，为城市交通治理、环境保护、城市精细化管理、区域经济管理</w:t>
      </w:r>
      <w:r>
        <w:rPr>
          <w:spacing w:val="-73"/>
        </w:rPr>
        <w:t> </w:t>
      </w:r>
      <w:r>
        <w:rPr>
          <w:spacing w:val="-73"/>
        </w:rPr>
      </w:r>
      <w:r>
        <w:rPr>
          <w:spacing w:val="-2"/>
        </w:rPr>
        <w:t>等构建一个后台系统，打通各数据后台，发挥数据价值，形成数据资产，推动城市数字化管理。城市大脑是未来城市可持续</w:t>
      </w:r>
      <w:r>
        <w:rPr>
          <w:spacing w:val="-67"/>
        </w:rPr>
        <w:t> </w:t>
      </w:r>
      <w:r>
        <w:rPr>
          <w:spacing w:val="-67"/>
        </w:rPr>
      </w:r>
      <w:r>
        <w:rPr>
          <w:spacing w:val="-2"/>
        </w:rPr>
        <w:t>发展的全新支撑，其核心是利用城市数据资源全局优化城市公共资源，即时修正城市运行缺陷，实现城市治理模式突破、城</w:t>
      </w:r>
      <w:r>
        <w:rPr>
          <w:spacing w:val="-64"/>
        </w:rPr>
        <w:t> </w:t>
      </w:r>
      <w:r>
        <w:rPr>
          <w:spacing w:val="-64"/>
        </w:rPr>
      </w:r>
      <w:r>
        <w:rPr/>
        <w:t>市服务模式突破、城市产业发展突破。</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034"/>
        <w:jc w:val="left"/>
      </w:pPr>
      <w:r>
        <w:rPr/>
        <w:t>在我国十三五规划战略实施的</w:t>
      </w:r>
      <w:r>
        <w:rPr>
          <w:rFonts w:ascii="宋体" w:hAnsi="宋体" w:cs="宋体" w:eastAsia="宋体" w:hint="default"/>
        </w:rPr>
        <w:t>5</w:t>
      </w:r>
      <w:r>
        <w:rPr/>
        <w:t>年中（</w:t>
      </w:r>
      <w:r>
        <w:rPr>
          <w:rFonts w:ascii="宋体" w:hAnsi="宋体" w:cs="宋体" w:eastAsia="宋体" w:hint="default"/>
        </w:rPr>
        <w:t>2016</w:t>
      </w:r>
      <w:r>
        <w:rPr/>
        <w:t>年</w:t>
      </w:r>
      <w:r>
        <w:rPr>
          <w:rFonts w:ascii="宋体" w:hAnsi="宋体" w:cs="宋体" w:eastAsia="宋体" w:hint="default"/>
        </w:rPr>
        <w:t>-2020</w:t>
      </w:r>
      <w:r>
        <w:rPr/>
        <w:t>年），我国各地省市建设了一大批以基础设施智能化、公共服务便利化、 </w:t>
      </w:r>
      <w:r>
        <w:rPr>
          <w:spacing w:val="-2"/>
        </w:rPr>
        <w:t>社会治理精细化为重点，充分运用现代化信息技术和大数据发挥城市高效运作和治理的示范性智慧城市。在此期间，为推动</w:t>
      </w:r>
      <w:r>
        <w:rPr>
          <w:spacing w:val="-66"/>
        </w:rPr>
        <w:t> </w:t>
      </w:r>
      <w:r>
        <w:rPr>
          <w:spacing w:val="-66"/>
        </w:rPr>
      </w:r>
      <w:r>
        <w:rPr>
          <w:spacing w:val="-2"/>
        </w:rPr>
        <w:t>大数据和人工智能关键技术和应用的发展，国家各部委制定了一系列政策，例如《促进大数据发展行动纲要》、《新一代人</w:t>
      </w:r>
      <w:r>
        <w:rPr>
          <w:spacing w:val="-67"/>
        </w:rPr>
        <w:t> </w:t>
      </w:r>
      <w:r>
        <w:rPr>
          <w:spacing w:val="-67"/>
        </w:rPr>
      </w:r>
      <w:r>
        <w:rPr/>
        <w:t>工智能发展规划》、《关于积极推进“互联网</w:t>
      </w:r>
      <w:r>
        <w:rPr>
          <w:rFonts w:ascii="宋体" w:hAnsi="宋体" w:cs="宋体" w:eastAsia="宋体" w:hint="default"/>
        </w:rPr>
        <w:t>+</w:t>
      </w:r>
      <w:r>
        <w:rPr/>
        <w:t>”行动的指导意见》等。我国还公布了第一批自动驾驶、城市大脑、医疗影</w:t>
      </w:r>
      <w:r>
        <w:rPr>
          <w:spacing w:val="-83"/>
        </w:rPr>
        <w:t> </w:t>
      </w:r>
      <w:r>
        <w:rPr>
          <w:spacing w:val="-83"/>
        </w:rPr>
      </w:r>
      <w:r>
        <w:rPr>
          <w:spacing w:val="-2"/>
        </w:rPr>
        <w:t>像、智能语音四个国家人工智能开放创新平台。部分省市地方政府在出台地方性保障政策的同时，还新设立了大数据局</w:t>
      </w:r>
      <w:r>
        <w:rPr>
          <w:rFonts w:ascii="宋体" w:hAnsi="宋体" w:cs="宋体" w:eastAsia="宋体" w:hint="default"/>
          <w:spacing w:val="-2"/>
        </w:rPr>
        <w:t>/</w:t>
      </w:r>
      <w:r>
        <w:rPr>
          <w:spacing w:val="-2"/>
        </w:rPr>
        <w:t>办、</w:t>
      </w:r>
      <w:r>
        <w:rPr>
          <w:spacing w:val="-61"/>
        </w:rPr>
        <w:t> </w:t>
      </w:r>
      <w:r>
        <w:rPr/>
        <w:t>数据资源局等政府组织机构积极推进城市数据资源的开发和利用，同步落实城市公共数据开放管理办法，从而在政策保障、</w:t>
      </w:r>
      <w:r>
        <w:rPr/>
        <w:t> 组织保障和制度保障等多个维度积极推动城市数据的深度应用和广泛服务。杭州在成功实现交通领域城市大脑探索和实践</w:t>
      </w:r>
      <w:r>
        <w:rPr>
          <w:spacing w:val="-11"/>
        </w:rPr>
        <w:t> </w:t>
      </w:r>
      <w:r>
        <w:rPr>
          <w:spacing w:val="-11"/>
        </w:rPr>
      </w:r>
      <w:r>
        <w:rPr>
          <w:spacing w:val="-2"/>
        </w:rPr>
        <w:t>后，出台了杭州城市数据大脑规划，并陆续在城市管理、医疗健康、旅游服务等方面进行了大量的实践和探索，并取得了良</w:t>
      </w:r>
      <w:r>
        <w:rPr>
          <w:spacing w:val="-67"/>
        </w:rPr>
        <w:t> </w:t>
      </w:r>
      <w:r>
        <w:rPr>
          <w:spacing w:val="-67"/>
        </w:rPr>
      </w:r>
      <w:r>
        <w:rPr>
          <w:spacing w:val="-2"/>
        </w:rPr>
        <w:t>好的经济和社会效益，引起了世界性的关注。同时，上海、深圳、南京、西安、郑州、海口等城市纷纷借鉴杭州模式并试点</w:t>
      </w:r>
      <w:r>
        <w:rPr>
          <w:spacing w:val="-68"/>
        </w:rPr>
        <w:t> </w:t>
      </w:r>
      <w:r>
        <w:rPr>
          <w:spacing w:val="-68"/>
        </w:rPr>
      </w:r>
      <w:r>
        <w:rPr/>
        <w:t>城市大脑规划建设，城市大脑建设符合我国新型智慧城市建设和发展的政策导向。 </w:t>
      </w:r>
      <w:r>
        <w:rPr>
          <w:rFonts w:ascii="宋体" w:hAnsi="宋体" w:cs="宋体" w:eastAsia="宋体" w:hint="default"/>
        </w:rPr>
        <w:t>2020</w:t>
      </w:r>
      <w:r>
        <w:rPr/>
        <w:t>年是我国十三五规划收官之年也是十四五规划谋划之年，高标准的智慧城市建设显的尤为重要。在</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24</w:t>
      </w:r>
      <w:r>
        <w:rPr/>
        <w:t>日，国</w:t>
      </w:r>
      <w:r>
        <w:rPr>
          <w:spacing w:val="-86"/>
        </w:rPr>
        <w:t> </w:t>
      </w:r>
      <w:r>
        <w:rPr>
          <w:spacing w:val="-86"/>
        </w:rPr>
      </w:r>
      <w:r>
        <w:rPr>
          <w:spacing w:val="-2"/>
        </w:rPr>
        <w:t>家发改委、工信部、公安部等</w:t>
      </w:r>
      <w:r>
        <w:rPr>
          <w:rFonts w:ascii="宋体" w:hAnsi="宋体" w:cs="宋体" w:eastAsia="宋体" w:hint="default"/>
          <w:spacing w:val="-2"/>
        </w:rPr>
        <w:t>11</w:t>
      </w:r>
      <w:r>
        <w:rPr>
          <w:spacing w:val="-2"/>
        </w:rPr>
        <w:t>部委联合印发《智能汽车创新发展战略》文件，加推车路协同和</w:t>
      </w:r>
      <w:r>
        <w:rPr>
          <w:rFonts w:ascii="宋体" w:hAnsi="宋体" w:cs="宋体" w:eastAsia="宋体" w:hint="default"/>
          <w:spacing w:val="-2"/>
        </w:rPr>
        <w:t>5G</w:t>
      </w:r>
      <w:r>
        <w:rPr>
          <w:spacing w:val="-2"/>
        </w:rPr>
        <w:t>网络技术在智能驾驶中的</w:t>
      </w:r>
      <w:r>
        <w:rPr>
          <w:spacing w:val="-62"/>
        </w:rPr>
        <w:t> </w:t>
      </w:r>
      <w:r>
        <w:rPr>
          <w:spacing w:val="-62"/>
        </w:rPr>
      </w:r>
      <w:r>
        <w:rPr>
          <w:spacing w:val="-2"/>
        </w:rPr>
        <w:t>应用。</w:t>
      </w:r>
      <w:r>
        <w:rPr>
          <w:rFonts w:ascii="宋体" w:hAnsi="宋体" w:cs="宋体" w:eastAsia="宋体" w:hint="default"/>
          <w:spacing w:val="-2"/>
        </w:rPr>
        <w:t>3</w:t>
      </w:r>
      <w:r>
        <w:rPr>
          <w:spacing w:val="-2"/>
        </w:rPr>
        <w:t>月</w:t>
      </w:r>
      <w:r>
        <w:rPr>
          <w:rFonts w:ascii="宋体" w:hAnsi="宋体" w:cs="宋体" w:eastAsia="宋体" w:hint="default"/>
          <w:spacing w:val="-2"/>
        </w:rPr>
        <w:t>4</w:t>
      </w:r>
      <w:r>
        <w:rPr>
          <w:spacing w:val="-2"/>
        </w:rPr>
        <w:t>日，中共中央政治局常务委员会会议强调，加快</w:t>
      </w:r>
      <w:r>
        <w:rPr>
          <w:rFonts w:ascii="宋体" w:hAnsi="宋体" w:cs="宋体" w:eastAsia="宋体" w:hint="default"/>
          <w:spacing w:val="-2"/>
        </w:rPr>
        <w:t>5G</w:t>
      </w:r>
      <w:r>
        <w:rPr>
          <w:spacing w:val="-2"/>
        </w:rPr>
        <w:t>网络、数据中心等新型基础设施建设进度。目前有</w:t>
      </w:r>
      <w:r>
        <w:rPr>
          <w:rFonts w:ascii="宋体" w:hAnsi="宋体" w:cs="宋体" w:eastAsia="宋体" w:hint="default"/>
          <w:spacing w:val="-2"/>
        </w:rPr>
        <w:t>20</w:t>
      </w:r>
      <w:r>
        <w:rPr>
          <w:spacing w:val="-2"/>
        </w:rPr>
        <w:t>多个省份</w:t>
      </w:r>
      <w:r>
        <w:rPr>
          <w:spacing w:val="-61"/>
        </w:rPr>
        <w:t> </w:t>
      </w:r>
      <w:r>
        <w:rPr>
          <w:spacing w:val="-61"/>
        </w:rPr>
      </w:r>
      <w:r>
        <w:rPr>
          <w:spacing w:val="-2"/>
        </w:rPr>
        <w:t>在今年政府工作报告中提及新型基建，近期北京、上海、河北等</w:t>
      </w:r>
      <w:r>
        <w:rPr>
          <w:rFonts w:ascii="宋体" w:hAnsi="宋体" w:cs="宋体" w:eastAsia="宋体" w:hint="default"/>
          <w:spacing w:val="-2"/>
        </w:rPr>
        <w:t>13</w:t>
      </w:r>
      <w:r>
        <w:rPr>
          <w:spacing w:val="-2"/>
        </w:rPr>
        <w:t>个省份公布了总投资规模接近</w:t>
      </w:r>
      <w:r>
        <w:rPr>
          <w:rFonts w:ascii="宋体" w:hAnsi="宋体" w:cs="宋体" w:eastAsia="宋体" w:hint="default"/>
          <w:spacing w:val="-2"/>
        </w:rPr>
        <w:t>34</w:t>
      </w:r>
      <w:r>
        <w:rPr>
          <w:spacing w:val="-2"/>
        </w:rPr>
        <w:t>万亿元的</w:t>
      </w:r>
      <w:r>
        <w:rPr>
          <w:rFonts w:ascii="宋体" w:hAnsi="宋体" w:cs="宋体" w:eastAsia="宋体" w:hint="default"/>
          <w:spacing w:val="-2"/>
        </w:rPr>
        <w:t>2020</w:t>
      </w:r>
      <w:r>
        <w:rPr>
          <w:spacing w:val="-2"/>
        </w:rPr>
        <w:t>年重点项目</w:t>
      </w:r>
      <w:r>
        <w:rPr>
          <w:spacing w:val="-61"/>
        </w:rPr>
        <w:t> </w:t>
      </w:r>
      <w:r>
        <w:rPr>
          <w:spacing w:val="-61"/>
        </w:rPr>
      </w:r>
      <w:r>
        <w:rPr>
          <w:spacing w:val="-2"/>
        </w:rPr>
        <w:t>投资计划清单，除了传统基建领域外，各地区都加速推进</w:t>
      </w:r>
      <w:r>
        <w:rPr>
          <w:rFonts w:ascii="宋体" w:hAnsi="宋体" w:cs="宋体" w:eastAsia="宋体" w:hint="default"/>
          <w:spacing w:val="-2"/>
        </w:rPr>
        <w:t>5G</w:t>
      </w:r>
      <w:r>
        <w:rPr>
          <w:spacing w:val="-2"/>
        </w:rPr>
        <w:t>、人工智能、智慧城市、教育医疗等新型基建项目大比例的投入</w:t>
      </w:r>
      <w:r>
        <w:rPr>
          <w:spacing w:val="-63"/>
        </w:rPr>
        <w:t> </w:t>
      </w:r>
      <w:r>
        <w:rPr>
          <w:spacing w:val="-63"/>
        </w:rPr>
      </w:r>
      <w:r>
        <w:rPr/>
        <w:t>建设。因此在新基建的推动下，“城市大脑”会成为十四五规划中智慧城市建设发展的新方向。</w:t>
      </w:r>
    </w:p>
    <w:p>
      <w:pPr>
        <w:pStyle w:val="BodyText"/>
        <w:spacing w:line="316" w:lineRule="auto" w:before="19"/>
        <w:ind w:right="7334"/>
        <w:jc w:val="left"/>
      </w:pPr>
      <w:r>
        <w:rPr/>
        <w:t>（二）公司未来发展战略及</w:t>
      </w:r>
      <w:r>
        <w:rPr>
          <w:rFonts w:ascii="宋体" w:hAnsi="宋体" w:cs="宋体" w:eastAsia="宋体" w:hint="default"/>
        </w:rPr>
        <w:t>2020</w:t>
      </w:r>
      <w:r>
        <w:rPr/>
        <w:t>年经营计划 </w:t>
      </w:r>
      <w:r>
        <w:rPr>
          <w:rFonts w:ascii="宋体" w:hAnsi="宋体" w:cs="宋体" w:eastAsia="宋体" w:hint="default"/>
        </w:rPr>
        <w:t>1</w:t>
      </w:r>
      <w:r>
        <w:rPr/>
        <w:t>、公司未来发展战略</w:t>
      </w:r>
    </w:p>
    <w:p>
      <w:pPr>
        <w:pStyle w:val="BodyText"/>
        <w:spacing w:line="316" w:lineRule="auto" w:before="19"/>
        <w:ind w:right="1119"/>
        <w:jc w:val="left"/>
      </w:pPr>
      <w:r>
        <w:rPr>
          <w:spacing w:val="-2"/>
        </w:rPr>
        <w:t>公司作为城市大脑运营服务商，以技术产品创新驱动产业升级迭代，以城市大脑赋能智慧城市实现转型发展。未来公司将专</w:t>
      </w:r>
      <w:r>
        <w:rPr>
          <w:spacing w:val="-63"/>
        </w:rPr>
        <w:t> </w:t>
      </w:r>
      <w:r>
        <w:rPr>
          <w:spacing w:val="-63"/>
        </w:rPr>
      </w:r>
      <w:r>
        <w:rPr>
          <w:spacing w:val="-2"/>
        </w:rPr>
        <w:t>注于运用物联网、云计算、大数据、人工智能、</w:t>
      </w:r>
      <w:r>
        <w:rPr>
          <w:rFonts w:ascii="宋体" w:hAnsi="宋体" w:cs="宋体" w:eastAsia="宋体" w:hint="default"/>
          <w:spacing w:val="-2"/>
        </w:rPr>
        <w:t>5G</w:t>
      </w:r>
      <w:r>
        <w:rPr>
          <w:spacing w:val="-2"/>
        </w:rPr>
        <w:t>等技术的行业应用，为城市管理和民生服务打造跨领域、跨区域的城市大</w:t>
      </w:r>
      <w:r>
        <w:rPr>
          <w:spacing w:val="-65"/>
        </w:rPr>
        <w:t> </w:t>
      </w:r>
      <w:r>
        <w:rPr>
          <w:spacing w:val="-65"/>
        </w:rPr>
      </w:r>
      <w:r>
        <w:rPr>
          <w:spacing w:val="-2"/>
        </w:rPr>
        <w:t>脑数据资源交换和共享平台，推动城市文明发展的新浪潮。公司聚焦交通管控、医疗健康等行业，通过在全国各地设立区域</w:t>
      </w:r>
      <w:r>
        <w:rPr>
          <w:spacing w:val="-65"/>
        </w:rPr>
        <w:t> </w:t>
      </w:r>
      <w:r>
        <w:rPr>
          <w:spacing w:val="-65"/>
        </w:rPr>
      </w:r>
      <w:r>
        <w:rPr>
          <w:spacing w:val="-2"/>
        </w:rPr>
        <w:t>服务公司构建了覆盖全国的完整市场营销网络，通过“系统建设、软件交付、运营服务”落实三位一体的企业发展战略和经</w:t>
      </w:r>
      <w:r>
        <w:rPr>
          <w:spacing w:val="-65"/>
        </w:rPr>
        <w:t> </w:t>
      </w:r>
      <w:r>
        <w:rPr>
          <w:spacing w:val="-65"/>
        </w:rPr>
      </w:r>
      <w:r>
        <w:rPr/>
        <w:t>营策略，通过市场平台和产业资本的深度融合构建全产业链的开放生态系统。 </w:t>
      </w:r>
      <w:r>
        <w:rPr>
          <w:spacing w:val="-2"/>
        </w:rPr>
        <w:t>公司以城市大脑为战略推进主体，深耕交通大脑和健康大脑的行业应用，率先开拓司法大脑的行业创新应用，通过线上与线</w:t>
      </w:r>
      <w:r>
        <w:rPr>
          <w:spacing w:val="-63"/>
        </w:rPr>
        <w:t> </w:t>
      </w:r>
      <w:r>
        <w:rPr>
          <w:spacing w:val="-63"/>
        </w:rPr>
      </w:r>
      <w:r>
        <w:rPr>
          <w:spacing w:val="-2"/>
        </w:rPr>
        <w:t>下相结合做全行业应用做深行业技术，通过系统建设与运营服务业务同步发展实现公司主营业务的转型升级，进一步提升公</w:t>
      </w:r>
      <w:r>
        <w:rPr>
          <w:spacing w:val="-64"/>
        </w:rPr>
        <w:t> </w:t>
      </w:r>
      <w:r>
        <w:rPr>
          <w:spacing w:val="-64"/>
        </w:rPr>
      </w:r>
      <w:r>
        <w:rPr/>
        <w:t>司经营质量。</w:t>
      </w:r>
    </w:p>
    <w:p>
      <w:pPr>
        <w:pStyle w:val="BodyText"/>
        <w:spacing w:line="316" w:lineRule="auto" w:before="19"/>
        <w:ind w:right="0"/>
        <w:jc w:val="left"/>
      </w:pPr>
      <w:r>
        <w:rPr>
          <w:rFonts w:ascii="宋体" w:hAnsi="宋体" w:cs="宋体" w:eastAsia="宋体" w:hint="default"/>
        </w:rPr>
        <w:t>2</w:t>
      </w:r>
      <w:r>
        <w:rPr/>
        <w:t>、</w:t>
      </w:r>
      <w:r>
        <w:rPr>
          <w:rFonts w:ascii="宋体" w:hAnsi="宋体" w:cs="宋体" w:eastAsia="宋体" w:hint="default"/>
        </w:rPr>
        <w:t>2020</w:t>
      </w:r>
      <w:r>
        <w:rPr/>
        <w:t>经营计划 </w:t>
      </w:r>
      <w:r>
        <w:rPr>
          <w:spacing w:val="-2"/>
        </w:rPr>
        <w:t>根据公司战略规划，</w:t>
      </w:r>
      <w:r>
        <w:rPr>
          <w:rFonts w:ascii="宋体" w:hAnsi="宋体" w:cs="宋体" w:eastAsia="宋体" w:hint="default"/>
          <w:spacing w:val="-2"/>
        </w:rPr>
        <w:t>2020</w:t>
      </w:r>
      <w:r>
        <w:rPr>
          <w:spacing w:val="-2"/>
        </w:rPr>
        <w:t>年公司总体经营思路是巩固现有业务，继续开拓新领域新产品业务，进一步执行“城市大脑运营服</w:t>
      </w:r>
      <w:r>
        <w:rPr>
          <w:spacing w:val="-59"/>
        </w:rPr>
        <w:t> </w:t>
      </w:r>
      <w:r>
        <w:rPr>
          <w:spacing w:val="-59"/>
        </w:rPr>
      </w:r>
      <w:r>
        <w:rPr>
          <w:spacing w:val="-2"/>
        </w:rPr>
        <w:t>务商”的战略定位并稳抓“技术驱动”的基本盘，实现智慧城市建设、维护、运营和服务全过程发展，持续提升公司综合竞</w:t>
      </w:r>
      <w:r>
        <w:rPr>
          <w:spacing w:val="-71"/>
        </w:rPr>
        <w:t> </w:t>
      </w:r>
      <w:r>
        <w:rPr>
          <w:spacing w:val="-71"/>
        </w:rPr>
      </w:r>
      <w:r>
        <w:rPr/>
        <w:t>争力。</w:t>
      </w:r>
      <w:r>
        <w:rPr>
          <w:rFonts w:ascii="宋体" w:hAnsi="宋体" w:cs="宋体" w:eastAsia="宋体" w:hint="default"/>
        </w:rPr>
        <w:t>2020</w:t>
      </w:r>
      <w:r>
        <w:rPr/>
        <w:t>年度重点工作计划如下：</w:t>
      </w:r>
    </w:p>
    <w:p>
      <w:pPr>
        <w:pStyle w:val="BodyText"/>
        <w:spacing w:line="319" w:lineRule="auto" w:before="19"/>
        <w:ind w:right="1034"/>
        <w:jc w:val="left"/>
      </w:pPr>
      <w:r>
        <w:rPr/>
        <w:t>（</w:t>
      </w:r>
      <w:r>
        <w:rPr>
          <w:rFonts w:ascii="宋体" w:hAnsi="宋体" w:cs="宋体" w:eastAsia="宋体" w:hint="default"/>
        </w:rPr>
        <w:t>1</w:t>
      </w:r>
      <w:r>
        <w:rPr/>
        <w:t>）坚定发力城市大脑战略，持续构建数字产业平台 </w:t>
      </w:r>
      <w:r>
        <w:rPr>
          <w:spacing w:val="-2"/>
        </w:rPr>
        <w:t>公司通过资本运作和产品技术创新，持续构建城市大脑产业平台，覆盖交通大脑、健康大脑、司法大脑等。其中城市大脑在</w:t>
      </w:r>
      <w:r>
        <w:rPr>
          <w:spacing w:val="-67"/>
        </w:rPr>
        <w:t> </w:t>
      </w:r>
      <w:r>
        <w:rPr>
          <w:spacing w:val="-67"/>
        </w:rPr>
      </w:r>
      <w:r>
        <w:rPr>
          <w:spacing w:val="-2"/>
        </w:rPr>
        <w:t>交通领域通过大脑中枢和手脚联动，实现完整的交通大脑闭环和深度应用服务，在杭州、南昌、西安等地实现进一步应用升</w:t>
      </w:r>
      <w:r>
        <w:rPr>
          <w:spacing w:val="-64"/>
        </w:rPr>
        <w:t> </w:t>
      </w:r>
      <w:r>
        <w:rPr>
          <w:spacing w:val="-64"/>
        </w:rPr>
      </w:r>
      <w:r>
        <w:rPr>
          <w:spacing w:val="-2"/>
        </w:rPr>
        <w:t>级并在其他目标城市进行推广；健康大脑以沈阳市区域人口健康信息平台为核心，努力打造公司在医疗健康行业应用的新模</w:t>
      </w:r>
      <w:r>
        <w:rPr>
          <w:spacing w:val="-62"/>
        </w:rPr>
        <w:t> </w:t>
      </w:r>
      <w:r>
        <w:rPr>
          <w:spacing w:val="-62"/>
        </w:rPr>
      </w:r>
      <w:r>
        <w:rPr>
          <w:spacing w:val="-2"/>
        </w:rPr>
        <w:t>式；司法大脑，通过上海司法大数据项目，继续立足于司法及和谐社会建设通过实践应用得到业内更多司法体系业主的充分</w:t>
      </w:r>
      <w:r>
        <w:rPr>
          <w:spacing w:val="-66"/>
        </w:rPr>
        <w:t> </w:t>
      </w:r>
      <w:r>
        <w:rPr>
          <w:spacing w:val="-66"/>
        </w:rPr>
      </w:r>
      <w:r>
        <w:rPr/>
        <w:t>认可。同时，公司城市街镇大脑将在杭州三墩镇的具体应用基础上，将以崭新面貌在杭州乃至其他地区城镇得到快速复制。</w:t>
      </w:r>
    </w:p>
    <w:p>
      <w:pPr>
        <w:pStyle w:val="BodyText"/>
        <w:spacing w:line="316" w:lineRule="auto" w:before="17"/>
        <w:ind w:right="0"/>
        <w:jc w:val="left"/>
      </w:pPr>
      <w:r>
        <w:rPr/>
        <w:t>（</w:t>
      </w:r>
      <w:r>
        <w:rPr>
          <w:rFonts w:ascii="宋体" w:hAnsi="宋体" w:cs="宋体" w:eastAsia="宋体" w:hint="default"/>
        </w:rPr>
        <w:t>2</w:t>
      </w:r>
      <w:r>
        <w:rPr/>
        <w:t>）全力推进再融资，实现产业再升级 </w:t>
      </w:r>
      <w:r>
        <w:rPr>
          <w:spacing w:val="-2"/>
        </w:rPr>
        <w:t>公司拟通过非公开发行股票募集</w:t>
      </w:r>
      <w:r>
        <w:rPr>
          <w:rFonts w:ascii="宋体" w:hAnsi="宋体" w:cs="宋体" w:eastAsia="宋体" w:hint="default"/>
          <w:spacing w:val="-2"/>
        </w:rPr>
        <w:t>10</w:t>
      </w:r>
      <w:r>
        <w:rPr>
          <w:spacing w:val="-2"/>
        </w:rPr>
        <w:t>亿元，推动公司技术和产业再升级发展。本次募集资金用于“城市大脑”整体解决方案研</w:t>
      </w:r>
      <w:r>
        <w:rPr>
          <w:spacing w:val="-61"/>
        </w:rPr>
        <w:t> </w:t>
      </w:r>
      <w:r>
        <w:rPr>
          <w:spacing w:val="-61"/>
        </w:rPr>
      </w:r>
      <w:r>
        <w:rPr>
          <w:spacing w:val="-2"/>
        </w:rPr>
        <w:t>发升级、建设、推广和服务项目、交通</w:t>
      </w:r>
      <w:r>
        <w:rPr>
          <w:rFonts w:ascii="宋体" w:hAnsi="宋体" w:cs="宋体" w:eastAsia="宋体" w:hint="default"/>
          <w:spacing w:val="-2"/>
        </w:rPr>
        <w:t>AI</w:t>
      </w:r>
      <w:r>
        <w:rPr>
          <w:spacing w:val="-2"/>
        </w:rPr>
        <w:t>综合治理及一体化运营、推广和服务项目、基于物联网技术的智慧医院平台项目和</w:t>
      </w:r>
      <w:r>
        <w:rPr>
          <w:spacing w:val="-66"/>
        </w:rPr>
        <w:t> </w:t>
      </w:r>
      <w:r>
        <w:rPr>
          <w:spacing w:val="-66"/>
        </w:rPr>
      </w:r>
      <w:r>
        <w:rPr>
          <w:spacing w:val="-2"/>
        </w:rPr>
        <w:t>补充流动资金项目。</w:t>
      </w:r>
      <w:r>
        <w:rPr>
          <w:rFonts w:ascii="宋体" w:hAnsi="宋体" w:cs="宋体" w:eastAsia="宋体" w:hint="default"/>
          <w:spacing w:val="-2"/>
        </w:rPr>
        <w:t>2020</w:t>
      </w:r>
      <w:r>
        <w:rPr>
          <w:spacing w:val="-2"/>
        </w:rPr>
        <w:t>年是公司上市的第</w:t>
      </w:r>
      <w:r>
        <w:rPr>
          <w:rFonts w:ascii="宋体" w:hAnsi="宋体" w:cs="宋体" w:eastAsia="宋体" w:hint="default"/>
          <w:spacing w:val="-2"/>
        </w:rPr>
        <w:t>11</w:t>
      </w:r>
      <w:r>
        <w:rPr>
          <w:spacing w:val="-2"/>
        </w:rPr>
        <w:t>个年头，公司的战略已由“智慧城市建设运营服务商”升级为“城市大脑运营</w:t>
      </w:r>
      <w:r>
        <w:rPr>
          <w:spacing w:val="-64"/>
        </w:rPr>
        <w:t> </w:t>
      </w:r>
      <w:r>
        <w:rPr>
          <w:spacing w:val="-64"/>
        </w:rPr>
      </w:r>
      <w:r>
        <w:rPr>
          <w:spacing w:val="-4"/>
        </w:rPr>
        <w:t>服务商”，公司技术和产业的发展离不开资本市场和全体股东的支持。公司将以本次再融资为契机，以技术创新驱动为核心，</w:t>
      </w:r>
      <w:r>
        <w:rPr>
          <w:spacing w:val="-46"/>
        </w:rPr>
        <w:t> </w:t>
      </w:r>
      <w:r>
        <w:rPr>
          <w:spacing w:val="-46"/>
        </w:rPr>
      </w:r>
      <w:r>
        <w:rPr/>
        <w:t>以建设运营服务为抓手，推广“城市大脑”系统建设和服务，不断提升公司数据运营服务能力。</w:t>
      </w:r>
    </w:p>
    <w:p>
      <w:pPr>
        <w:pStyle w:val="BodyText"/>
        <w:spacing w:line="316" w:lineRule="auto" w:before="19"/>
        <w:ind w:right="0"/>
        <w:jc w:val="left"/>
      </w:pPr>
      <w:r>
        <w:rPr/>
        <w:t>（</w:t>
      </w:r>
      <w:r>
        <w:rPr>
          <w:rFonts w:ascii="宋体" w:hAnsi="宋体" w:cs="宋体" w:eastAsia="宋体" w:hint="default"/>
        </w:rPr>
        <w:t>3</w:t>
      </w:r>
      <w:r>
        <w:rPr/>
        <w:t>）推动技术和产业整合，构建平台化体系 </w:t>
      </w:r>
      <w:r>
        <w:rPr>
          <w:spacing w:val="-4"/>
        </w:rPr>
        <w:t>公司加快推进城市大脑战略，坚持创新驱动发展，着重提升技术实力，增强技术创新能力，提升技术品牌。在技术引领方面，</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jc w:val="both"/>
      </w:pPr>
      <w:r>
        <w:rPr>
          <w:spacing w:val="-2"/>
        </w:rPr>
        <w:t>公司以浙江省科技进步一等奖为契机，加快技术和理论创新升级，向国家科技进步奖方向迈进。在产品服务应用方面，公司</w:t>
      </w:r>
      <w:r>
        <w:rPr>
          <w:spacing w:val="-63"/>
        </w:rPr>
        <w:t> </w:t>
      </w:r>
      <w:r>
        <w:rPr>
          <w:spacing w:val="-63"/>
        </w:rPr>
      </w:r>
      <w:r>
        <w:rPr/>
        <w:t>加快</w:t>
      </w:r>
      <w:r>
        <w:rPr>
          <w:rFonts w:ascii="宋体" w:hAnsi="宋体" w:cs="宋体" w:eastAsia="宋体" w:hint="default"/>
        </w:rPr>
        <w:t>ENLOOP-Hub</w:t>
      </w:r>
      <w:r>
        <w:rPr/>
        <w:t>数据中枢平台、</w:t>
      </w:r>
      <w:r>
        <w:rPr>
          <w:rFonts w:ascii="宋体" w:hAnsi="宋体" w:cs="宋体" w:eastAsia="宋体" w:hint="default"/>
        </w:rPr>
        <w:t>ENLOOP-Analysis</w:t>
      </w:r>
      <w:r>
        <w:rPr/>
        <w:t>智能分析平台、</w:t>
      </w:r>
      <w:r>
        <w:rPr>
          <w:rFonts w:ascii="宋体" w:hAnsi="宋体" w:cs="宋体" w:eastAsia="宋体" w:hint="default"/>
        </w:rPr>
        <w:t>HERO</w:t>
      </w:r>
      <w:r>
        <w:rPr/>
        <w:t>下一代全域交通</w:t>
      </w:r>
      <w:r>
        <w:rPr>
          <w:rFonts w:ascii="宋体" w:hAnsi="宋体" w:cs="宋体" w:eastAsia="宋体" w:hint="default"/>
        </w:rPr>
        <w:t>AI</w:t>
      </w:r>
      <w:r>
        <w:rPr/>
        <w:t>控制系统、</w:t>
      </w:r>
      <w:r>
        <w:rPr>
          <w:rFonts w:ascii="宋体" w:hAnsi="宋体" w:cs="宋体" w:eastAsia="宋体" w:hint="default"/>
        </w:rPr>
        <w:t>ENLOOP</w:t>
      </w:r>
      <w:r>
        <w:rPr/>
        <w:t>交通大数据平台 等大型软件产品在城市大脑及细分领域的产业化应用。</w:t>
      </w:r>
    </w:p>
    <w:p>
      <w:pPr>
        <w:pStyle w:val="BodyText"/>
        <w:spacing w:line="316" w:lineRule="auto" w:before="17"/>
        <w:ind w:right="1034"/>
        <w:jc w:val="left"/>
      </w:pPr>
      <w:r>
        <w:rPr/>
        <w:t>（</w:t>
      </w:r>
      <w:r>
        <w:rPr>
          <w:rFonts w:ascii="宋体" w:hAnsi="宋体" w:cs="宋体" w:eastAsia="宋体" w:hint="default"/>
        </w:rPr>
        <w:t>4</w:t>
      </w:r>
      <w:r>
        <w:rPr/>
        <w:t>）优化中高层次人才队伍，推动企业文化建设 公司坚持以人为本，人才发展是企业第一发展力。公司大力推进人才战略规划建设工作，依托各领域精英人才在城市治理、 交通出行、医疗健康等领域的丰富技术开发、项目建设经验，带动新一代的领域新人，为公司在行业内发展奠定坚定基础。 </w:t>
      </w:r>
      <w:r>
        <w:rPr>
          <w:spacing w:val="-2"/>
        </w:rPr>
        <w:t>为保持员工的创新活力，公司在保持核心人员的稳定的基础上，坚决淘汰低能低效，不认同企业文化的落后员工，补充新鲜</w:t>
      </w:r>
      <w:r>
        <w:rPr>
          <w:spacing w:val="-64"/>
        </w:rPr>
        <w:t> </w:t>
      </w:r>
      <w:r>
        <w:rPr>
          <w:spacing w:val="-64"/>
        </w:rPr>
      </w:r>
      <w:r>
        <w:rPr>
          <w:spacing w:val="-2"/>
        </w:rPr>
        <w:t>血液，引进高精尖人才，促进上市公司的第二个十年再上台阶。除此之外，公司制定了全员培训计划，从商业模式、应用技</w:t>
      </w:r>
      <w:r>
        <w:rPr>
          <w:spacing w:val="-67"/>
        </w:rPr>
        <w:t> </w:t>
      </w:r>
      <w:r>
        <w:rPr>
          <w:spacing w:val="-67"/>
        </w:rPr>
      </w:r>
      <w:r>
        <w:rPr/>
        <w:t>术、企业文化等多方面强化各级员工的学习和业务能力，打造出强有力的作战队伍。</w:t>
      </w:r>
    </w:p>
    <w:p>
      <w:pPr>
        <w:pStyle w:val="BodyText"/>
        <w:spacing w:line="316" w:lineRule="auto" w:before="19"/>
        <w:ind w:right="9494"/>
        <w:jc w:val="left"/>
      </w:pPr>
      <w:r>
        <w:rPr/>
        <w:t>（三）风险因素 </w:t>
      </w:r>
      <w:r>
        <w:rPr>
          <w:rFonts w:ascii="宋体" w:hAnsi="宋体" w:cs="宋体" w:eastAsia="宋体" w:hint="default"/>
        </w:rPr>
        <w:t>1</w:t>
      </w:r>
      <w:r>
        <w:rPr/>
        <w:t>、政策性风险</w:t>
      </w:r>
    </w:p>
    <w:p>
      <w:pPr>
        <w:pStyle w:val="BodyText"/>
        <w:spacing w:line="319" w:lineRule="auto" w:before="19"/>
        <w:ind w:right="0"/>
        <w:jc w:val="left"/>
      </w:pPr>
      <w:r>
        <w:rPr>
          <w:spacing w:val="-2"/>
        </w:rPr>
        <w:t>公司所处智慧城市建设相关行业与国家宏观经济运行状况密切，公司的发展与国民经济运行状况呈正相关性，当前公司主要</w:t>
      </w:r>
      <w:r>
        <w:rPr>
          <w:spacing w:val="-64"/>
        </w:rPr>
        <w:t> </w:t>
      </w:r>
      <w:r>
        <w:rPr>
          <w:spacing w:val="-64"/>
        </w:rPr>
      </w:r>
      <w:r>
        <w:rPr/>
        <w:t>客户为政府部门，政府政策、宏观调控政策、政府主管负责人的更替等因素直接和间接影响公司主营业务和公司客户。 </w:t>
      </w:r>
      <w:r>
        <w:rPr>
          <w:spacing w:val="-2"/>
        </w:rPr>
        <w:t>应对措施：为减少因行业集中形成的风险，公司更积极增加各相关细分行业的投入，筛选优质客户，并选择信誉好、财政充</w:t>
      </w:r>
      <w:r>
        <w:rPr>
          <w:spacing w:val="-67"/>
        </w:rPr>
        <w:t> </w:t>
      </w:r>
      <w:r>
        <w:rPr>
          <w:spacing w:val="-67"/>
        </w:rPr>
      </w:r>
      <w:r>
        <w:rPr/>
        <w:t>足的客户共同合作，规避客户风险。</w:t>
      </w:r>
    </w:p>
    <w:p>
      <w:pPr>
        <w:pStyle w:val="BodyText"/>
        <w:spacing w:line="316" w:lineRule="auto" w:before="17"/>
        <w:ind w:right="0"/>
        <w:jc w:val="left"/>
      </w:pPr>
      <w:r>
        <w:rPr>
          <w:rFonts w:ascii="宋体" w:hAnsi="宋体" w:cs="宋体" w:eastAsia="宋体" w:hint="default"/>
        </w:rPr>
        <w:t>2</w:t>
      </w:r>
      <w:r>
        <w:rPr/>
        <w:t>、核心人员流失风险 </w:t>
      </w:r>
      <w:r>
        <w:rPr>
          <w:spacing w:val="-2"/>
        </w:rPr>
        <w:t>行业技术变革日新月异和市场竞争的不断加剧，特别是大数据和互联网的产业兴起，对公司的市场开拓、技术储备和人才储</w:t>
      </w:r>
      <w:r>
        <w:rPr>
          <w:spacing w:val="-63"/>
        </w:rPr>
        <w:t> </w:t>
      </w:r>
      <w:r>
        <w:rPr>
          <w:spacing w:val="-63"/>
        </w:rPr>
      </w:r>
      <w:r>
        <w:rPr>
          <w:spacing w:val="-2"/>
        </w:rPr>
        <w:t>备带来一定的挑战。如果公司不能有效保持和完善核心人员的激励机制，将会影响到核心人员积极性、创造性的发挥，也会</w:t>
      </w:r>
      <w:r>
        <w:rPr>
          <w:spacing w:val="-64"/>
        </w:rPr>
        <w:t> </w:t>
      </w:r>
      <w:r>
        <w:rPr>
          <w:spacing w:val="-64"/>
        </w:rPr>
      </w:r>
      <w:r>
        <w:rPr/>
        <w:t>影响到核心团队后备力量的建设，造成人才流失，从而给公司的生产经营造成不利影响。 </w:t>
      </w:r>
      <w:r>
        <w:rPr>
          <w:spacing w:val="-2"/>
        </w:rPr>
        <w:t>应对措施：人才资源是公司核心竞争力，公司把对外部高端人才的引进和对内部骨干及后备人才的培养提到了战略高度，建</w:t>
      </w:r>
      <w:r>
        <w:rPr>
          <w:spacing w:val="-62"/>
        </w:rPr>
        <w:t> </w:t>
      </w:r>
      <w:r>
        <w:rPr>
          <w:spacing w:val="-62"/>
        </w:rPr>
      </w:r>
      <w:r>
        <w:rPr>
          <w:spacing w:val="-5"/>
        </w:rPr>
        <w:t>立完善了的人才聘用及管理、激励制度，并通过股权激励、员工持股计划、子公司改制来稳定核心技术人才队伍。公司的“银</w:t>
      </w:r>
      <w:r>
        <w:rPr>
          <w:spacing w:val="-77"/>
        </w:rPr>
        <w:t> </w:t>
      </w:r>
      <w:r>
        <w:rPr>
          <w:spacing w:val="-77"/>
        </w:rPr>
      </w:r>
      <w:r>
        <w:rPr>
          <w:spacing w:val="-4"/>
        </w:rPr>
        <w:t>江合伙人计划”通过选择合适的全资和控股子公司股权改造，实现子公司经营管理层持有其所经营的子公司适当比例的股权，</w:t>
      </w:r>
      <w:r>
        <w:rPr>
          <w:spacing w:val="-44"/>
        </w:rPr>
        <w:t> </w:t>
      </w:r>
      <w:r>
        <w:rPr>
          <w:spacing w:val="-44"/>
        </w:rPr>
      </w:r>
      <w:r>
        <w:rPr>
          <w:spacing w:val="-2"/>
        </w:rPr>
        <w:t>使股东、管理层、骨干员工的利益进一步趋同，为公司的持续发展提供制度性和政策性的保障环境。公司自上市以来，核心</w:t>
      </w:r>
      <w:r>
        <w:rPr>
          <w:spacing w:val="-67"/>
        </w:rPr>
        <w:t> </w:t>
      </w:r>
      <w:r>
        <w:rPr>
          <w:spacing w:val="-67"/>
        </w:rPr>
      </w:r>
      <w:r>
        <w:rPr/>
        <w:t>人员稳定，流失风险较小。</w:t>
      </w:r>
    </w:p>
    <w:p>
      <w:pPr>
        <w:pStyle w:val="BodyText"/>
        <w:spacing w:line="316" w:lineRule="auto" w:before="19"/>
        <w:ind w:right="0"/>
        <w:jc w:val="left"/>
      </w:pPr>
      <w:r>
        <w:rPr>
          <w:rFonts w:ascii="宋体" w:hAnsi="宋体" w:cs="宋体" w:eastAsia="宋体" w:hint="default"/>
        </w:rPr>
        <w:t>3</w:t>
      </w:r>
      <w:r>
        <w:rPr/>
        <w:t>、智慧城市业务模式的风险 </w:t>
      </w:r>
      <w:r>
        <w:rPr>
          <w:spacing w:val="-2"/>
        </w:rPr>
        <w:t>智慧城市建设主导者是城市管理者即地方政府或政府有关部门，而受益者则是城市的主体即城市中的企业和市民。由于智慧</w:t>
      </w:r>
      <w:r>
        <w:rPr>
          <w:spacing w:val="-63"/>
        </w:rPr>
        <w:t> </w:t>
      </w:r>
      <w:r>
        <w:rPr>
          <w:spacing w:val="-63"/>
        </w:rPr>
      </w:r>
      <w:r>
        <w:rPr>
          <w:spacing w:val="-2"/>
        </w:rPr>
        <w:t>城市总包项目投资总金额大、项目建设周期长、项目所涉及的地方政府下属部门或分支机构较多、智慧城市总包合同仅为较</w:t>
      </w:r>
      <w:r>
        <w:rPr>
          <w:spacing w:val="-63"/>
        </w:rPr>
        <w:t> </w:t>
      </w:r>
      <w:r>
        <w:rPr>
          <w:spacing w:val="-63"/>
        </w:rPr>
      </w:r>
      <w:r>
        <w:rPr>
          <w:spacing w:val="-2"/>
        </w:rPr>
        <w:t>笼统的框架性协议，因此智慧城市总包业务模式存在政府换届或国家政策调整变化、地方政府财政紧张导致投入延迟或无法</w:t>
      </w:r>
      <w:r>
        <w:rPr>
          <w:spacing w:val="-64"/>
        </w:rPr>
        <w:t> </w:t>
      </w:r>
      <w:r>
        <w:rPr>
          <w:spacing w:val="-64"/>
        </w:rPr>
      </w:r>
      <w:r>
        <w:rPr/>
        <w:t>持续投入、费用控制不力、公司现金流压力和回款压力等因素造成项目部分或全部无法实施或延期的风险。 </w:t>
      </w:r>
      <w:r>
        <w:rPr>
          <w:spacing w:val="-2"/>
        </w:rPr>
        <w:t>应对措施：公司会持续密切关注国家政策和相关法律法规规章制度在智慧城市建设方面的变化，选择地方财政和信誉情况较</w:t>
      </w:r>
      <w:r>
        <w:rPr>
          <w:spacing w:val="-64"/>
        </w:rPr>
        <w:t> </w:t>
      </w:r>
      <w:r>
        <w:rPr>
          <w:spacing w:val="-64"/>
        </w:rPr>
      </w:r>
      <w:r>
        <w:rPr>
          <w:spacing w:val="-2"/>
        </w:rPr>
        <w:t>好的地区开拓业务市场，由专门的工作小组跟进总包业务项目，及时向公司管理层反馈项目进展情况，按照项目计划严格控</w:t>
      </w:r>
      <w:r>
        <w:rPr>
          <w:spacing w:val="-62"/>
        </w:rPr>
        <w:t> </w:t>
      </w:r>
      <w:r>
        <w:rPr>
          <w:spacing w:val="-62"/>
        </w:rPr>
      </w:r>
      <w:r>
        <w:rPr>
          <w:spacing w:val="-2"/>
        </w:rPr>
        <w:t>制项目费用和成本投入，并以“质量优先、风险为上”为指导原则，对于风险可能较大的总包业务项目采取“宁可暂缓、宁</w:t>
      </w:r>
      <w:r>
        <w:rPr>
          <w:spacing w:val="-69"/>
        </w:rPr>
        <w:t> </w:t>
      </w:r>
      <w:r>
        <w:rPr>
          <w:spacing w:val="-69"/>
        </w:rPr>
      </w:r>
      <w:r>
        <w:rPr/>
        <w:t>可放弃、不可强求”的执行原则，降低总包业务风险。</w:t>
      </w:r>
    </w:p>
    <w:p>
      <w:pPr>
        <w:pStyle w:val="BodyText"/>
        <w:spacing w:line="316" w:lineRule="auto" w:before="19"/>
        <w:ind w:right="1034"/>
        <w:jc w:val="left"/>
      </w:pPr>
      <w:r>
        <w:rPr>
          <w:rFonts w:ascii="宋体" w:hAnsi="宋体" w:cs="宋体" w:eastAsia="宋体" w:hint="default"/>
        </w:rPr>
        <w:t>4</w:t>
      </w:r>
      <w:r>
        <w:rPr/>
        <w:t>、投资并购及管理风险 </w:t>
      </w:r>
      <w:r>
        <w:rPr>
          <w:spacing w:val="-2"/>
        </w:rPr>
        <w:t>为了公司发展战略及规划的需要，公司及公司全资子公司或产业基金于相继完成多个公司的股权投资和并购，但投资并购本</w:t>
      </w:r>
      <w:r>
        <w:rPr>
          <w:spacing w:val="-64"/>
        </w:rPr>
        <w:t> </w:t>
      </w:r>
      <w:r>
        <w:rPr>
          <w:spacing w:val="-64"/>
        </w:rPr>
      </w:r>
      <w:r>
        <w:rPr/>
        <w:t>身就是一种风险较高的商业活动。随着投资并购项目的不断增多，公司与被投资并购的企业之间存在业务模式、管理制度、 </w:t>
      </w:r>
      <w:r>
        <w:rPr>
          <w:spacing w:val="-2"/>
        </w:rPr>
        <w:t>企业文化上的差异，异地管理带来的管控风险、团队的稳定性风险等因素都给公司管理带来新的挑战。同时，公司对外投资</w:t>
      </w:r>
      <w:r>
        <w:rPr>
          <w:spacing w:val="-63"/>
        </w:rPr>
        <w:t> </w:t>
      </w:r>
      <w:r>
        <w:rPr>
          <w:spacing w:val="-63"/>
        </w:rPr>
      </w:r>
      <w:r>
        <w:rPr/>
        <w:t>并购时，存在项目本身承诺利润能否实现、市场政策变化及法律等方面的风险因素。 </w:t>
      </w:r>
      <w:r>
        <w:rPr>
          <w:spacing w:val="-4"/>
        </w:rPr>
        <w:t>应对措施：公司在投资并购方面采取较为稳健的投资策略，审慎选择投资标的，投前做好市场以及收购对象的尽职调查工作，</w:t>
      </w:r>
      <w:r>
        <w:rPr>
          <w:spacing w:val="-44"/>
        </w:rPr>
        <w:t> </w:t>
      </w:r>
      <w:r>
        <w:rPr>
          <w:spacing w:val="-44"/>
        </w:rPr>
      </w:r>
      <w:r>
        <w:rPr>
          <w:spacing w:val="-2"/>
        </w:rPr>
        <w:t>并完善投资并购协议以减少法律风险，投后发挥协同效应实现其价值，从而不断提升公司盈利能力和市场规模。同时，公司</w:t>
      </w:r>
      <w:r>
        <w:rPr>
          <w:spacing w:val="-64"/>
        </w:rPr>
        <w:t> </w:t>
      </w:r>
      <w:r>
        <w:rPr>
          <w:spacing w:val="-64"/>
        </w:rPr>
      </w:r>
      <w:r>
        <w:rPr/>
        <w:t>将加强内部控制尤其是风险控制体系建设，以面对公司规模扩大后所带来的管理风险。</w:t>
      </w:r>
    </w:p>
    <w:p>
      <w:pPr>
        <w:pStyle w:val="BodyText"/>
        <w:spacing w:line="316" w:lineRule="auto" w:before="19"/>
        <w:ind w:right="0"/>
        <w:jc w:val="left"/>
      </w:pPr>
      <w:r>
        <w:rPr>
          <w:rFonts w:ascii="宋体" w:hAnsi="宋体" w:cs="宋体" w:eastAsia="宋体" w:hint="default"/>
        </w:rPr>
        <w:t>5</w:t>
      </w:r>
      <w:r>
        <w:rPr/>
        <w:t>、商业模式创新风险 </w:t>
      </w:r>
      <w:r>
        <w:rPr>
          <w:spacing w:val="-2"/>
        </w:rPr>
        <w:t>凡是创新就一定具有不确定性，就一定存在风险。目前公司业务采用的是智慧城市项目建设</w:t>
      </w:r>
      <w:r>
        <w:rPr>
          <w:rFonts w:ascii="宋体" w:hAnsi="宋体" w:cs="宋体" w:eastAsia="宋体" w:hint="default"/>
          <w:spacing w:val="-2"/>
        </w:rPr>
        <w:t>+</w:t>
      </w:r>
      <w:r>
        <w:rPr>
          <w:spacing w:val="-2"/>
        </w:rPr>
        <w:t>业务总包</w:t>
      </w:r>
      <w:r>
        <w:rPr>
          <w:rFonts w:ascii="宋体" w:hAnsi="宋体" w:cs="宋体" w:eastAsia="宋体" w:hint="default"/>
          <w:spacing w:val="-2"/>
        </w:rPr>
        <w:t>+</w:t>
      </w:r>
      <w:r>
        <w:rPr>
          <w:spacing w:val="-2"/>
        </w:rPr>
        <w:t>数据运营服务三结合</w:t>
      </w:r>
      <w:r>
        <w:rPr>
          <w:spacing w:val="-59"/>
        </w:rPr>
        <w:t> </w:t>
      </w:r>
      <w:r>
        <w:rPr>
          <w:spacing w:val="-2"/>
        </w:rPr>
        <w:t>的商业模式，无论是政府出资企业建设模式，或政府和企业共同出资建设模式，或政府规划第三方建设和运营模式，均存在</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24"/>
        <w:jc w:val="left"/>
      </w:pPr>
      <w:r>
        <w:rPr>
          <w:spacing w:val="-2"/>
        </w:rPr>
        <w:t>不同利弊和风险。同时，公司创新的城市大脑运营服务是智慧城市推进面临的最大挑战之一，是全行业企业都需要探索的新</w:t>
      </w:r>
      <w:r>
        <w:rPr>
          <w:spacing w:val="-66"/>
        </w:rPr>
        <w:t> </w:t>
      </w:r>
      <w:r>
        <w:rPr>
          <w:spacing w:val="-66"/>
        </w:rPr>
      </w:r>
      <w:r>
        <w:rPr/>
        <w:t>业务和新模式，存在大量的不确定性。 </w:t>
      </w:r>
      <w:r>
        <w:rPr>
          <w:spacing w:val="-2"/>
        </w:rPr>
        <w:t>应对措施：公司会密切关注与行业相关的国家政策法规的跟踪与研究，在现有智慧城市项目商业模式的基础上，根据市场和</w:t>
      </w:r>
      <w:r>
        <w:rPr>
          <w:spacing w:val="-63"/>
        </w:rPr>
        <w:t> </w:t>
      </w:r>
      <w:r>
        <w:rPr>
          <w:spacing w:val="-63"/>
        </w:rPr>
      </w:r>
      <w:r>
        <w:rPr>
          <w:spacing w:val="-2"/>
        </w:rPr>
        <w:t>行业发展需求，采取“存量”业务和“增量”业务并重且比例优化的经营方式，在保证“存量”业务体量的基础上，逐步提</w:t>
      </w:r>
      <w:r>
        <w:rPr>
          <w:spacing w:val="-69"/>
        </w:rPr>
        <w:t> </w:t>
      </w:r>
      <w:r>
        <w:rPr>
          <w:spacing w:val="-69"/>
        </w:rPr>
      </w:r>
      <w:r>
        <w:rPr/>
        <w:t>升“增量”业务——大型软件支持和交付、运维</w:t>
      </w:r>
      <w:r>
        <w:rPr>
          <w:rFonts w:ascii="宋体" w:hAnsi="宋体" w:cs="宋体" w:eastAsia="宋体" w:hint="default"/>
        </w:rPr>
        <w:t>/</w:t>
      </w:r>
      <w:r>
        <w:rPr/>
        <w:t>数据运营服务的业务占比，待“增量”业务的商业模式得到充分验证后再</w:t>
      </w:r>
      <w:r>
        <w:rPr>
          <w:spacing w:val="-85"/>
        </w:rPr>
        <w:t> </w:t>
      </w:r>
      <w:r>
        <w:rPr>
          <w:spacing w:val="-85"/>
        </w:rPr>
      </w:r>
      <w:r>
        <w:rPr/>
        <w:t>大规模推进，由此可以尽可能降低由于商业模式创新风险对公司可能带来的影响。</w:t>
      </w:r>
    </w:p>
    <w:p>
      <w:pPr>
        <w:pStyle w:val="BodyText"/>
        <w:spacing w:line="240" w:lineRule="auto" w:before="19"/>
        <w:ind w:right="1133"/>
        <w:jc w:val="left"/>
      </w:pPr>
      <w:r>
        <w:rPr>
          <w:rFonts w:ascii="宋体" w:hAnsi="宋体" w:cs="宋体" w:eastAsia="宋体" w:hint="default"/>
        </w:rPr>
        <w:t>6</w:t>
      </w:r>
      <w:r>
        <w:rPr/>
        <w:t>、诉讼执行结果不确定的风险</w:t>
      </w:r>
    </w:p>
    <w:p>
      <w:pPr>
        <w:pStyle w:val="BodyText"/>
        <w:spacing w:line="316" w:lineRule="auto" w:before="76"/>
        <w:ind w:right="1121"/>
        <w:jc w:val="left"/>
      </w:pPr>
      <w:r>
        <w:rPr>
          <w:rFonts w:ascii="宋体" w:hAnsi="宋体" w:cs="宋体" w:eastAsia="宋体" w:hint="default"/>
          <w:spacing w:val="-3"/>
        </w:rPr>
        <w:t>2019</w:t>
      </w:r>
      <w:r>
        <w:rPr>
          <w:spacing w:val="-3"/>
        </w:rPr>
        <w:t>年</w:t>
      </w:r>
      <w:r>
        <w:rPr>
          <w:rFonts w:ascii="宋体" w:hAnsi="宋体" w:cs="宋体" w:eastAsia="宋体" w:hint="default"/>
          <w:spacing w:val="-3"/>
        </w:rPr>
        <w:t>2</w:t>
      </w:r>
      <w:r>
        <w:rPr>
          <w:spacing w:val="-3"/>
        </w:rPr>
        <w:t>月，公司收到浙江省杭州市中级人民法院，杭州市中级人民法院作出一审判决，驳回原告银江股份的诉讼请求。</w:t>
      </w:r>
      <w:r>
        <w:rPr>
          <w:rFonts w:ascii="宋体" w:hAnsi="宋体" w:cs="宋体" w:eastAsia="宋体" w:hint="default"/>
          <w:spacing w:val="-3"/>
        </w:rPr>
        <w:t>2019</w:t>
      </w:r>
      <w:r>
        <w:rPr>
          <w:rFonts w:ascii="宋体" w:hAnsi="宋体" w:cs="宋体" w:eastAsia="宋体" w:hint="default"/>
          <w:spacing w:val="-84"/>
        </w:rPr>
        <w:t> </w:t>
      </w:r>
      <w:r>
        <w:rPr/>
        <w:t>年</w:t>
      </w:r>
      <w:r>
        <w:rPr>
          <w:rFonts w:ascii="宋体" w:hAnsi="宋体" w:cs="宋体" w:eastAsia="宋体" w:hint="default"/>
        </w:rPr>
        <w:t>2</w:t>
      </w:r>
      <w:r>
        <w:rPr/>
        <w:t>月，公司对一审判决不服，向浙江省高级人民法院提起上诉。判决审理结果存在不确定性。 应对措施：以保护上市公司基本利益，维护广大投资者合法权益为前提，公司将积极应对案件执行过程中的所有可能性。</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十、接待调研、沟通、采访等活动登记表" w:id="56"/>
      <w:bookmarkEnd w:id="56"/>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接待调研、沟通、采访等活动登记表" w:id="57"/>
      <w:bookmarkEnd w:id="57"/>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8"/>
        <w:jc w:val="center"/>
        <w:rPr>
          <w:b w:val="0"/>
          <w:bCs w:val="0"/>
        </w:rPr>
      </w:pPr>
      <w:bookmarkStart w:name="第五节重要事项" w:id="58"/>
      <w:bookmarkEnd w:id="58"/>
      <w:r>
        <w:rPr>
          <w:b w:val="0"/>
          <w:bCs w:val="0"/>
        </w:rPr>
      </w:r>
      <w:bookmarkStart w:name="_bookmark4" w:id="59"/>
      <w:bookmarkEnd w:id="59"/>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bookmarkStart w:name="一、公司普通股利润分配及资本公积金转增股本情况" w:id="60"/>
      <w:bookmarkEnd w:id="60"/>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38" w:lineRule="auto" w:before="117"/>
        <w:ind w:right="886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w:t>
      </w:r>
      <w:r>
        <w:rPr>
          <w:rFonts w:ascii="Times New Roman" w:hAnsi="Times New Roman" w:cs="Times New Roman" w:eastAsia="Times New Roman" w:hint="default"/>
        </w:rPr>
        <w:t>1</w:t>
      </w:r>
      <w:r>
        <w:rPr/>
        <w:t>、利润分配政策的调整</w:t>
      </w:r>
    </w:p>
    <w:p>
      <w:pPr>
        <w:pStyle w:val="BodyText"/>
        <w:spacing w:line="217" w:lineRule="exact"/>
        <w:ind w:right="0"/>
        <w:jc w:val="both"/>
      </w:pPr>
      <w:r>
        <w:rPr/>
        <w:t>报告期内，利润分配政策未发生调整。</w:t>
      </w:r>
    </w:p>
    <w:p>
      <w:pPr>
        <w:pStyle w:val="BodyText"/>
        <w:spacing w:line="240" w:lineRule="auto" w:before="76"/>
        <w:ind w:right="0"/>
        <w:jc w:val="both"/>
      </w:pPr>
      <w:r>
        <w:rPr>
          <w:rFonts w:ascii="Times New Roman" w:hAnsi="Times New Roman" w:cs="Times New Roman" w:eastAsia="Times New Roman" w:hint="default"/>
        </w:rPr>
        <w:t>2</w:t>
      </w:r>
      <w:r>
        <w:rPr/>
        <w:t>、利润分配政策的执行</w:t>
      </w:r>
    </w:p>
    <w:p>
      <w:pPr>
        <w:pStyle w:val="BodyText"/>
        <w:spacing w:line="300" w:lineRule="auto" w:before="63"/>
        <w:ind w:right="1138"/>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日，公司</w:t>
      </w:r>
      <w:r>
        <w:rPr>
          <w:rFonts w:ascii="Times New Roman" w:hAnsi="Times New Roman" w:cs="Times New Roman" w:eastAsia="Times New Roman" w:hint="default"/>
        </w:rPr>
        <w:t>2018</w:t>
      </w:r>
      <w:r>
        <w:rPr/>
        <w:t>年度股东大会审议通过了《</w:t>
      </w:r>
      <w:r>
        <w:rPr>
          <w:rFonts w:ascii="Times New Roman" w:hAnsi="Times New Roman" w:cs="Times New Roman" w:eastAsia="Times New Roman" w:hint="default"/>
        </w:rPr>
        <w:t>2018</w:t>
      </w:r>
      <w:r>
        <w:rPr/>
        <w:t>年度利润分配预案》：以</w:t>
      </w:r>
      <w:r>
        <w:rPr>
          <w:rFonts w:ascii="Times New Roman" w:hAnsi="Times New Roman" w:cs="Times New Roman" w:eastAsia="Times New Roman" w:hint="default"/>
        </w:rPr>
        <w:t>2018</w:t>
      </w:r>
      <w:r>
        <w:rPr/>
        <w:t>年末公司总股本</w:t>
      </w:r>
      <w:r>
        <w:rPr>
          <w:rFonts w:ascii="Times New Roman" w:hAnsi="Times New Roman" w:cs="Times New Roman" w:eastAsia="Times New Roman" w:hint="default"/>
        </w:rPr>
        <w:t>655,789,086</w:t>
      </w:r>
      <w:r>
        <w:rPr/>
        <w:t>股为基 数，按每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0.30</w:t>
      </w:r>
      <w:r>
        <w:rPr/>
        <w:t>元（含税），共计</w:t>
      </w:r>
      <w:r>
        <w:rPr>
          <w:rFonts w:ascii="Times New Roman" w:hAnsi="Times New Roman" w:cs="Times New Roman" w:eastAsia="Times New Roman" w:hint="default"/>
        </w:rPr>
        <w:t>19,673,672.58</w:t>
      </w:r>
      <w:r>
        <w:rPr/>
        <w:t>元（含税），剩余未分配利润结转以后年度分配。本 次权益分配方案已于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日实施完毕。上述现金分红政策符合公司章程的规定，独立董事发表了独立意见。</w:t>
      </w:r>
    </w:p>
    <w:tbl>
      <w:tblPr>
        <w:tblW w:w="0" w:type="auto"/>
        <w:jc w:val="left"/>
        <w:tblInd w:w="160" w:type="dxa"/>
        <w:tblLayout w:type="fixed"/>
        <w:tblCellMar>
          <w:top w:w="0" w:type="dxa"/>
          <w:left w:w="0" w:type="dxa"/>
          <w:bottom w:w="0" w:type="dxa"/>
          <w:right w:w="0" w:type="dxa"/>
        </w:tblCellMar>
        <w:tblLook w:val="01E0"/>
      </w:tblPr>
      <w:tblGrid>
        <w:gridCol w:w="6641"/>
        <w:gridCol w:w="2918"/>
      </w:tblGrid>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不适合</w:t>
            </w:r>
          </w:p>
        </w:tc>
      </w:tr>
    </w:tbl>
    <w:p>
      <w:pPr>
        <w:pStyle w:val="BodyText"/>
        <w:spacing w:line="240" w:lineRule="auto" w:before="55"/>
        <w:ind w:right="1133"/>
        <w:jc w:val="left"/>
      </w:pPr>
      <w:r>
        <w:rPr/>
        <w:t>公司报告期利润分配预案及资本公积金转增股本预案与公司章程和分红管理办法等的相关规定一致</w:t>
      </w:r>
    </w:p>
    <w:p>
      <w:pPr>
        <w:pStyle w:val="BodyText"/>
        <w:spacing w:line="350" w:lineRule="auto" w:before="115"/>
        <w:ind w:right="4274"/>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w:t>
      </w:r>
      <w:r>
        <w:rPr>
          <w:rFonts w:ascii="Times New Roman" w:hAnsi="Times New Roman" w:cs="Times New Roman" w:eastAsia="Times New Roman" w:hint="default"/>
        </w:rPr>
        <w:t>□</w:t>
      </w:r>
      <w:r>
        <w:rPr/>
        <w:t>不适用 公司报告期利润分配预案及资本公积金转增股本预案符合公司章程等的相关规定。 本年度利润分配及资本公积金转增股本情况</w:t>
      </w:r>
    </w:p>
    <w:p>
      <w:pPr>
        <w:spacing w:line="240" w:lineRule="auto" w:before="0"/>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6641"/>
        <w:gridCol w:w="2918"/>
      </w:tblGrid>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655,789,086</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19,673,672.58</w:t>
            </w:r>
          </w:p>
        </w:tc>
      </w:tr>
      <w:tr>
        <w:trPr>
          <w:trHeight w:val="403"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19,673,672.58</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1,036,761,655.23</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2"/>
        <w:rPr>
          <w:rFonts w:ascii="宋体" w:hAnsi="宋体" w:cs="宋体" w:eastAsia="宋体" w:hint="default"/>
          <w:sz w:val="28"/>
          <w:szCs w:val="28"/>
        </w:rPr>
      </w:pPr>
    </w:p>
    <w:p>
      <w:pPr>
        <w:spacing w:line="734" w:lineRule="exact"/>
        <w:ind w:left="148"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82.05pt;height:36.75pt;mso-position-horizontal-relative:char;mso-position-vertical-relative:line" coordorigin="0,0" coordsize="9641,735">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5;top:5;width:2;height:726" coordorigin="5,5" coordsize="2,726">
              <v:shape style="position:absolute;left:5;top:5;width:2;height:726" coordorigin="5,5" coordsize="0,726" path="m5,5l5,730e" filled="false" stroked="true" strokeweight=".48pt" strokecolor="#000000">
                <v:path arrowok="t"/>
              </v:shape>
            </v:group>
            <v:group style="position:absolute;left:10;top:725;width:9562;height:2" coordorigin="10,725" coordsize="9562,2">
              <v:shape style="position:absolute;left:10;top:725;width:9562;height:2" coordorigin="10,725" coordsize="9562,0" path="m10,725l9571,725e" filled="false" stroked="true" strokeweight=".48pt" strokecolor="#000000">
                <v:path arrowok="t"/>
              </v:shape>
            </v:group>
            <v:group style="position:absolute;left:9576;top:5;width:2;height:726" coordorigin="9576,5" coordsize="2,726">
              <v:shape style="position:absolute;left:9576;top:5;width:2;height:726" coordorigin="9576,5" coordsize="0,726" path="m9576,5l9576,730e" filled="false" stroked="true" strokeweight=".47998pt" strokecolor="#000000">
                <v:path arrowok="t"/>
              </v:shape>
              <v:shape style="position:absolute;left:0;top:0;width:9641;height:735" type="#_x0000_t202" filled="false" stroked="false">
                <v:textbox inset="0,0,0,0">
                  <w:txbxContent>
                    <w:p>
                      <w:pPr>
                        <w:spacing w:before="63"/>
                        <w:ind w:left="33"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年度利润分配预案</w:t>
                      </w:r>
                      <w:r>
                        <w:rPr>
                          <w:rFonts w:ascii="宋体" w:hAnsi="宋体" w:cs="宋体" w:eastAsia="宋体" w:hint="default"/>
                          <w:spacing w:val="-70"/>
                          <w:sz w:val="18"/>
                          <w:szCs w:val="18"/>
                        </w:rPr>
                        <w:t>：</w:t>
                      </w:r>
                      <w:r>
                        <w:rPr>
                          <w:rFonts w:ascii="宋体" w:hAnsi="宋体" w:cs="宋体" w:eastAsia="宋体" w:hint="default"/>
                          <w:sz w:val="18"/>
                          <w:szCs w:val="18"/>
                        </w:rPr>
                        <w:t>拟以</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年末的公司总股</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89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w:t>
                      </w:r>
                      <w:r>
                        <w:rPr>
                          <w:rFonts w:ascii="宋体" w:hAnsi="宋体" w:cs="宋体" w:eastAsia="宋体" w:hint="default"/>
                          <w:spacing w:val="-70"/>
                          <w:sz w:val="18"/>
                          <w:szCs w:val="18"/>
                        </w:rPr>
                        <w:t>，</w:t>
                      </w:r>
                      <w:r>
                        <w:rPr>
                          <w:rFonts w:ascii="宋体" w:hAnsi="宋体" w:cs="宋体" w:eastAsia="宋体" w:hint="default"/>
                          <w:sz w:val="18"/>
                          <w:szCs w:val="18"/>
                        </w:rPr>
                        <w:t>按每</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3"/>
                          <w:sz w:val="18"/>
                          <w:szCs w:val="18"/>
                        </w:rPr>
                        <w:t>现</w:t>
                      </w:r>
                      <w:r>
                        <w:rPr>
                          <w:rFonts w:ascii="宋体" w:hAnsi="宋体" w:cs="宋体" w:eastAsia="宋体" w:hint="default"/>
                          <w:sz w:val="18"/>
                          <w:szCs w:val="18"/>
                        </w:rPr>
                        <w:t>金股利人民币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70"/>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z w:val="18"/>
                          <w:szCs w:val="18"/>
                        </w:rPr>
                        <w:t>，</w:t>
                      </w:r>
                    </w:p>
                    <w:p>
                      <w:pPr>
                        <w:spacing w:before="63"/>
                        <w:ind w:left="33" w:right="0" w:firstLine="0"/>
                        <w:jc w:val="left"/>
                        <w:rPr>
                          <w:rFonts w:ascii="宋体" w:hAnsi="宋体" w:cs="宋体" w:eastAsia="宋体" w:hint="default"/>
                          <w:sz w:val="18"/>
                          <w:szCs w:val="18"/>
                        </w:rPr>
                      </w:pPr>
                      <w:r>
                        <w:rPr>
                          <w:rFonts w:ascii="宋体" w:hAnsi="宋体" w:cs="宋体" w:eastAsia="宋体" w:hint="default"/>
                          <w:sz w:val="18"/>
                          <w:szCs w:val="18"/>
                        </w:rPr>
                        <w:t>共计</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4"/>
                          <w:sz w:val="18"/>
                          <w:szCs w:val="18"/>
                        </w:rPr>
                        <w:t>）</w:t>
                      </w:r>
                      <w:r>
                        <w:rPr>
                          <w:rFonts w:ascii="宋体" w:hAnsi="宋体" w:cs="宋体" w:eastAsia="宋体" w:hint="default"/>
                          <w:sz w:val="18"/>
                          <w:szCs w:val="18"/>
                        </w:rPr>
                        <w:t>，剩余未分配利润结转以后年度分配。本预案还需提交公司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w:t>
                      </w:r>
                    </w:p>
                  </w:txbxContent>
                </v:textbox>
                <w10:wrap type="none"/>
              </v:shape>
            </v:group>
          </v:group>
        </w:pict>
      </w:r>
      <w:r>
        <w:rPr>
          <w:rFonts w:ascii="宋体" w:hAnsi="宋体" w:cs="宋体" w:eastAsia="宋体" w:hint="default"/>
          <w:position w:val="-14"/>
          <w:sz w:val="20"/>
          <w:szCs w:val="20"/>
        </w:rPr>
      </w:r>
    </w:p>
    <w:p>
      <w:pPr>
        <w:pStyle w:val="BodyText"/>
        <w:spacing w:line="240" w:lineRule="auto" w:before="45"/>
        <w:ind w:right="113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00" w:lineRule="auto" w:before="101"/>
        <w:ind w:right="0"/>
        <w:jc w:val="left"/>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11</w:t>
      </w:r>
      <w:r>
        <w:rPr>
          <w:spacing w:val="-4"/>
        </w:rPr>
        <w:t>日，公司召开了</w:t>
      </w:r>
      <w:r>
        <w:rPr>
          <w:rFonts w:ascii="Times New Roman" w:hAnsi="Times New Roman" w:cs="Times New Roman" w:eastAsia="Times New Roman" w:hint="default"/>
          <w:spacing w:val="-4"/>
        </w:rPr>
        <w:t>2017</w:t>
      </w:r>
      <w:r>
        <w:rPr>
          <w:spacing w:val="-4"/>
        </w:rPr>
        <w:t>年度股东大会，审议通过了</w:t>
      </w:r>
      <w:r>
        <w:rPr>
          <w:rFonts w:ascii="Times New Roman" w:hAnsi="Times New Roman" w:cs="Times New Roman" w:eastAsia="Times New Roman" w:hint="default"/>
          <w:spacing w:val="-4"/>
        </w:rPr>
        <w:t>2017</w:t>
      </w:r>
      <w:r>
        <w:rPr>
          <w:spacing w:val="-4"/>
        </w:rPr>
        <w:t>年度利润分配预案：以</w:t>
      </w:r>
      <w:r>
        <w:rPr>
          <w:rFonts w:ascii="Times New Roman" w:hAnsi="Times New Roman" w:cs="Times New Roman" w:eastAsia="Times New Roman" w:hint="default"/>
          <w:spacing w:val="-4"/>
        </w:rPr>
        <w:t>2017</w:t>
      </w:r>
      <w:r>
        <w:rPr>
          <w:spacing w:val="-4"/>
        </w:rPr>
        <w:t>年末公司总股本</w:t>
      </w:r>
      <w:r>
        <w:rPr>
          <w:rFonts w:ascii="Times New Roman" w:hAnsi="Times New Roman" w:cs="Times New Roman" w:eastAsia="Times New Roman" w:hint="default"/>
          <w:spacing w:val="-4"/>
        </w:rPr>
        <w:t>655,789,086</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股为基数，按每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0.5</w:t>
      </w:r>
      <w:r>
        <w:rPr/>
        <w:t>元（含税），共分配现金股利</w:t>
      </w:r>
      <w:r>
        <w:rPr>
          <w:rFonts w:ascii="Times New Roman" w:hAnsi="Times New Roman" w:cs="Times New Roman" w:eastAsia="Times New Roman" w:hint="default"/>
        </w:rPr>
        <w:t>32,789,454.30</w:t>
      </w:r>
      <w:r>
        <w:rPr/>
        <w:t>元（含税）。</w:t>
      </w:r>
    </w:p>
    <w:p>
      <w:pPr>
        <w:pStyle w:val="BodyText"/>
        <w:spacing w:line="300" w:lineRule="auto" w:before="13"/>
        <w:ind w:right="0"/>
        <w:jc w:val="left"/>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17</w:t>
      </w:r>
      <w:r>
        <w:rPr>
          <w:spacing w:val="-4"/>
        </w:rPr>
        <w:t>日，公司召开了</w:t>
      </w:r>
      <w:r>
        <w:rPr>
          <w:rFonts w:ascii="Times New Roman" w:hAnsi="Times New Roman" w:cs="Times New Roman" w:eastAsia="Times New Roman" w:hint="default"/>
          <w:spacing w:val="-4"/>
        </w:rPr>
        <w:t>2018</w:t>
      </w:r>
      <w:r>
        <w:rPr>
          <w:spacing w:val="-4"/>
        </w:rPr>
        <w:t>年度股东大会，审议通过了</w:t>
      </w:r>
      <w:r>
        <w:rPr>
          <w:rFonts w:ascii="Times New Roman" w:hAnsi="Times New Roman" w:cs="Times New Roman" w:eastAsia="Times New Roman" w:hint="default"/>
          <w:spacing w:val="-4"/>
        </w:rPr>
        <w:t>2018</w:t>
      </w:r>
      <w:r>
        <w:rPr>
          <w:spacing w:val="-4"/>
        </w:rPr>
        <w:t>年度利润分配预案：以</w:t>
      </w:r>
      <w:r>
        <w:rPr>
          <w:rFonts w:ascii="Times New Roman" w:hAnsi="Times New Roman" w:cs="Times New Roman" w:eastAsia="Times New Roman" w:hint="default"/>
          <w:spacing w:val="-4"/>
        </w:rPr>
        <w:t>2018</w:t>
      </w:r>
      <w:r>
        <w:rPr>
          <w:spacing w:val="-4"/>
        </w:rPr>
        <w:t>年末公司总股本</w:t>
      </w:r>
      <w:r>
        <w:rPr>
          <w:rFonts w:ascii="Times New Roman" w:hAnsi="Times New Roman" w:cs="Times New Roman" w:eastAsia="Times New Roman" w:hint="default"/>
          <w:spacing w:val="-4"/>
        </w:rPr>
        <w:t>655,789,086</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股为基数，按每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0.3</w:t>
      </w:r>
      <w:r>
        <w:rPr/>
        <w:t>元（含税），共分配现金股利</w:t>
      </w:r>
      <w:r>
        <w:rPr>
          <w:rFonts w:ascii="Times New Roman" w:hAnsi="Times New Roman" w:cs="Times New Roman" w:eastAsia="Times New Roman" w:hint="default"/>
        </w:rPr>
        <w:t>19,673,672.58</w:t>
      </w:r>
      <w:r>
        <w:rPr/>
        <w:t>元（含税）。</w:t>
      </w:r>
    </w:p>
    <w:p>
      <w:pPr>
        <w:pStyle w:val="BodyText"/>
        <w:spacing w:line="300" w:lineRule="auto" w:before="13"/>
        <w:ind w:right="1133"/>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日，公司召开第五届董事会第三次会议，审议通过了</w:t>
      </w:r>
      <w:r>
        <w:rPr>
          <w:rFonts w:ascii="Times New Roman" w:hAnsi="Times New Roman" w:cs="Times New Roman" w:eastAsia="Times New Roman" w:hint="default"/>
        </w:rPr>
        <w:t>2019</w:t>
      </w:r>
      <w:r>
        <w:rPr/>
        <w:t>年度利润分配预案；以</w:t>
      </w:r>
      <w:r>
        <w:rPr>
          <w:rFonts w:ascii="Times New Roman" w:hAnsi="Times New Roman" w:cs="Times New Roman" w:eastAsia="Times New Roman" w:hint="default"/>
        </w:rPr>
        <w:t>2019</w:t>
      </w:r>
      <w:r>
        <w:rPr/>
        <w:t>年末公司总股本 </w:t>
      </w:r>
      <w:r>
        <w:rPr>
          <w:rFonts w:ascii="Times New Roman" w:hAnsi="Times New Roman" w:cs="Times New Roman" w:eastAsia="Times New Roman" w:hint="default"/>
          <w:spacing w:val="-2"/>
        </w:rPr>
        <w:t>655,789,086</w:t>
      </w:r>
      <w:r>
        <w:rPr>
          <w:spacing w:val="-2"/>
        </w:rPr>
        <w:t>股为基数，按每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0.3</w:t>
      </w:r>
      <w:r>
        <w:rPr>
          <w:spacing w:val="-2"/>
        </w:rPr>
        <w:t>元（含税），共分配现金股利</w:t>
      </w:r>
      <w:r>
        <w:rPr>
          <w:rFonts w:ascii="Times New Roman" w:hAnsi="Times New Roman" w:cs="Times New Roman" w:eastAsia="Times New Roman" w:hint="default"/>
          <w:spacing w:val="-2"/>
        </w:rPr>
        <w:t>19,673,672.58</w:t>
      </w:r>
      <w:r>
        <w:rPr>
          <w:spacing w:val="-2"/>
        </w:rPr>
        <w:t>元（含税）。剩余未分配</w:t>
      </w:r>
      <w:r>
        <w:rPr>
          <w:spacing w:val="-50"/>
        </w:rPr>
        <w:t> </w:t>
      </w:r>
      <w:r>
        <w:rPr>
          <w:spacing w:val="-50"/>
        </w:rPr>
      </w:r>
      <w:r>
        <w:rPr/>
        <w:t>利润结转以后年度分配。本预案还需提交公司</w:t>
      </w:r>
      <w:r>
        <w:rPr>
          <w:rFonts w:ascii="Times New Roman" w:hAnsi="Times New Roman" w:cs="Times New Roman" w:eastAsia="Times New Roman" w:hint="default"/>
        </w:rPr>
        <w:t>2019</w:t>
      </w:r>
      <w:r>
        <w:rPr/>
        <w:t>年度股东大会审议。</w:t>
      </w:r>
    </w:p>
    <w:p>
      <w:pPr>
        <w:pStyle w:val="BodyText"/>
        <w:spacing w:line="240" w:lineRule="auto" w:before="133"/>
        <w:ind w:right="1133"/>
        <w:jc w:val="left"/>
      </w:pPr>
      <w:r>
        <w:rPr/>
        <w:t>公司近三年（包括本报告期）普通股现金分红情况表</w:t>
      </w:r>
    </w:p>
    <w:p>
      <w:pPr>
        <w:pStyle w:val="BodyText"/>
        <w:spacing w:line="240" w:lineRule="auto" w:before="118"/>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6"/>
        <w:gridCol w:w="1197"/>
        <w:gridCol w:w="1184"/>
        <w:gridCol w:w="1219"/>
        <w:gridCol w:w="117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0"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23" w:right="152"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394"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19,673,672.58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148,813,913.73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13.22%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19,673,672.58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13.22%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19,673,672.58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26,444,095.70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74.40%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19,673,672.58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74.40%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32,789,454.30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138,654,236.34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23.65%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32,789,454.30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23.65%</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7"/>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二、承诺事项履行情况" w:id="61"/>
      <w:bookmarkEnd w:id="61"/>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9" w:lineRule="auto"/>
        <w:ind w:right="1133"/>
        <w:jc w:val="left"/>
        <w:rPr>
          <w:b w:val="0"/>
          <w:bCs w:val="0"/>
        </w:rPr>
      </w:pPr>
      <w:bookmarkStart w:name="1、公司实际控制人、股东、关联方、收购人以及公司等承诺相关方在报告期内履行完毕及" w:id="62"/>
      <w:bookmarkEnd w:id="62"/>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8"/>
        <w:gridCol w:w="709"/>
        <w:gridCol w:w="994"/>
        <w:gridCol w:w="2268"/>
        <w:gridCol w:w="850"/>
        <w:gridCol w:w="853"/>
        <w:gridCol w:w="1627"/>
      </w:tblGrid>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收购报告书或权益变动报告 书中所作承诺</w:t>
            </w:r>
          </w:p>
        </w:tc>
        <w:tc>
          <w:tcPr>
            <w:tcW w:w="709" w:type="dxa"/>
            <w:tcBorders>
              <w:top w:val="single" w:sz="4" w:space="0" w:color="000000"/>
              <w:left w:val="single" w:sz="9"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922" w:hRule="exact"/>
        </w:trPr>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994" w:type="dxa"/>
            <w:vMerge w:val="restart"/>
            <w:tcBorders>
              <w:top w:val="single" w:sz="4" w:space="0" w:color="000000"/>
              <w:left w:val="single" w:sz="4" w:space="0" w:color="000000"/>
              <w:right w:val="single" w:sz="4" w:space="0" w:color="000000"/>
            </w:tcBorders>
          </w:tcPr>
          <w:p>
            <w:pPr/>
          </w:p>
        </w:tc>
        <w:tc>
          <w:tcPr>
            <w:tcW w:w="2268"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自本次交易中取得的股份自 本次发行结束之日起十二个 月内不得转让。自法定限售 期十二个月届满后，第一年 可解禁所获股份的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，第 二年可再解禁所获股份的 </w:t>
            </w:r>
            <w:r>
              <w:rPr>
                <w:rFonts w:ascii="Times New Roman" w:hAnsi="Times New Roman" w:cs="Times New Roman" w:eastAsia="Times New Roman" w:hint="default"/>
                <w:sz w:val="18"/>
                <w:szCs w:val="18"/>
              </w:rPr>
              <w:t>15%</w:t>
            </w:r>
            <w:r>
              <w:rPr>
                <w:rFonts w:ascii="宋体" w:hAnsi="宋体" w:cs="宋体" w:eastAsia="宋体" w:hint="default"/>
                <w:sz w:val="18"/>
                <w:szCs w:val="18"/>
              </w:rPr>
              <w:t>，第三年可再解禁所获</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7"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年度业绩承诺 </w:t>
            </w:r>
            <w:r>
              <w:rPr>
                <w:rFonts w:ascii="宋体" w:hAnsi="宋体" w:cs="宋体" w:eastAsia="宋体" w:hint="default"/>
                <w:spacing w:val="-6"/>
                <w:sz w:val="18"/>
                <w:szCs w:val="18"/>
              </w:rPr>
              <w:t>未达预期，涉及股份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补偿事宜。李欣未经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上市公司同意将所 持公司股份 </w:t>
            </w:r>
            <w:r>
              <w:rPr>
                <w:rFonts w:ascii="Times New Roman" w:hAnsi="Times New Roman" w:cs="Times New Roman" w:eastAsia="Times New Roman" w:hint="default"/>
                <w:sz w:val="18"/>
                <w:szCs w:val="18"/>
              </w:rPr>
              <w:t>27,813,840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股在限售</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期内质押给浙江浙</w:t>
            </w:r>
          </w:p>
        </w:tc>
      </w:tr>
      <w:tr>
        <w:trPr>
          <w:trHeight w:val="391" w:hRule="exact"/>
        </w:trPr>
        <w:tc>
          <w:tcPr>
            <w:tcW w:w="22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709" w:type="dxa"/>
            <w:vMerge/>
            <w:tcBorders>
              <w:left w:val="single" w:sz="9"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22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922" w:hRule="exact"/>
        </w:trPr>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9"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26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162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67"/>
        <w:gridCol w:w="709"/>
        <w:gridCol w:w="994"/>
        <w:gridCol w:w="2268"/>
        <w:gridCol w:w="850"/>
        <w:gridCol w:w="853"/>
        <w:gridCol w:w="1630"/>
      </w:tblGrid>
      <w:tr>
        <w:trPr>
          <w:trHeight w:val="4731" w:hRule="exact"/>
        </w:trPr>
        <w:tc>
          <w:tcPr>
            <w:tcW w:w="2267"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55"/>
              <w:jc w:val="left"/>
              <w:rPr>
                <w:rFonts w:ascii="宋体" w:hAnsi="宋体" w:cs="宋体" w:eastAsia="宋体" w:hint="default"/>
                <w:sz w:val="18"/>
                <w:szCs w:val="18"/>
              </w:rPr>
            </w:pPr>
            <w:r>
              <w:rPr>
                <w:rFonts w:ascii="宋体" w:hAnsi="宋体" w:cs="宋体" w:eastAsia="宋体" w:hint="default"/>
                <w:sz w:val="18"/>
                <w:szCs w:val="18"/>
              </w:rPr>
              <w:t>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，第四年可再解 禁所获股份的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，第五年 可再解禁所获股份的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 自法定限售期届满后五年即 全解禁。</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年为 李欣业绩承诺期，应待亚太 安讯审计报告出具后，视是 否需实行股份补偿，按以上 比例计算当年可解禁股份数 并扣减需进行股份补偿部分 后予以解禁，若不足扣减， 则当年无股份解禁。李欣承 诺所持股份在限售期内未经 上市公司同意不得用于质 押。</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54"/>
              <w:jc w:val="both"/>
              <w:rPr>
                <w:rFonts w:ascii="宋体" w:hAnsi="宋体" w:cs="宋体" w:eastAsia="宋体" w:hint="default"/>
                <w:sz w:val="18"/>
                <w:szCs w:val="18"/>
              </w:rPr>
            </w:pPr>
            <w:r>
              <w:rPr>
                <w:rFonts w:ascii="宋体" w:hAnsi="宋体" w:cs="宋体" w:eastAsia="宋体" w:hint="default"/>
                <w:sz w:val="18"/>
                <w:szCs w:val="18"/>
              </w:rPr>
              <w:t>商证券资产管理有 限公司，违反了承 诺。</w:t>
            </w:r>
          </w:p>
        </w:tc>
      </w:tr>
      <w:tr>
        <w:trPr>
          <w:trHeight w:val="6642" w:hRule="exact"/>
        </w:trPr>
        <w:tc>
          <w:tcPr>
            <w:tcW w:w="2267"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99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、承诺人目前没有直接或间</w:t>
            </w:r>
            <w:r>
              <w:rPr>
                <w:rFonts w:ascii="宋体" w:hAnsi="宋体" w:cs="宋体" w:eastAsia="宋体" w:hint="default"/>
                <w:sz w:val="18"/>
                <w:szCs w:val="18"/>
              </w:rPr>
              <w:t> 接通过其直接或间接控制的 其他经营主体从事与银江股 份及亚太安迅业务相同或类 似的业务，或有其它任何与 银江股份或亚太安迅存在同 </w:t>
            </w:r>
            <w:r>
              <w:rPr>
                <w:rFonts w:ascii="宋体" w:hAnsi="宋体" w:cs="宋体" w:eastAsia="宋体" w:hint="default"/>
                <w:spacing w:val="-3"/>
                <w:sz w:val="18"/>
                <w:szCs w:val="18"/>
              </w:rPr>
              <w:t>业竞争的情形。</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、本次交易</w:t>
            </w:r>
            <w:r>
              <w:rPr>
                <w:rFonts w:ascii="宋体" w:hAnsi="宋体" w:cs="宋体" w:eastAsia="宋体" w:hint="default"/>
                <w:sz w:val="18"/>
                <w:szCs w:val="18"/>
              </w:rPr>
              <w:t> 完成后，承诺人将不会以自 营方式、直接或间接通过直 接或间接控制的其他经营主 体开展、经营与银江股份或 亚太安迅业务相同或相似的 业务；不以银江股份或亚太 安迅的名义为银江股份或亚 太安迅现有客户提供与银江 股份或亚太安迅业务相同或 类似的商品或服务，避免产 </w:t>
            </w:r>
            <w:r>
              <w:rPr>
                <w:rFonts w:ascii="宋体" w:hAnsi="宋体" w:cs="宋体" w:eastAsia="宋体" w:hint="default"/>
                <w:spacing w:val="-5"/>
                <w:sz w:val="18"/>
                <w:szCs w:val="18"/>
              </w:rPr>
              <w:t>生任何同业竞争情形。</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、如</w:t>
            </w:r>
            <w:r>
              <w:rPr>
                <w:rFonts w:ascii="宋体" w:hAnsi="宋体" w:cs="宋体" w:eastAsia="宋体" w:hint="default"/>
                <w:spacing w:val="-83"/>
                <w:sz w:val="18"/>
                <w:szCs w:val="18"/>
              </w:rPr>
              <w:t> </w:t>
            </w:r>
            <w:r>
              <w:rPr>
                <w:rFonts w:ascii="宋体" w:hAnsi="宋体" w:cs="宋体" w:eastAsia="宋体" w:hint="default"/>
                <w:sz w:val="18"/>
                <w:szCs w:val="18"/>
              </w:rPr>
              <w:t>因承诺人违反上述承诺而给</w:t>
            </w:r>
            <w:r>
              <w:rPr>
                <w:rFonts w:ascii="宋体" w:hAnsi="宋体" w:cs="宋体" w:eastAsia="宋体" w:hint="default"/>
                <w:sz w:val="18"/>
                <w:szCs w:val="18"/>
              </w:rPr>
              <w:t> 银江股份或亚太安迅造成损 失的，应承担全部赔偿。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2546" w:hRule="exact"/>
        </w:trPr>
        <w:tc>
          <w:tcPr>
            <w:tcW w:w="2267"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99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本人将按照《中华人民共和 国公司法》等法律法规以及 银江股份有限公司《公司章 程》的有关规定行使股东权 利；在股东大会对涉及本人 的关联交易进行表决时，履 行回避表决的义务。本人将 杜绝一切非法占用银江股份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1.692993pt;margin-top:433.849976pt;width:129.3pt;height:124.85pt;mso-position-horizontal-relative:page;mso-position-vertical-relative:page;z-index:-11859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pStyle w:val="BodyText"/>
                    <w:spacing w:line="240" w:lineRule="auto"/>
                    <w:ind w:left="0" w:right="0"/>
                    <w:jc w:val="left"/>
                  </w:pPr>
                  <w:r>
                    <w:rPr/>
                    <w:t>同事红筹架构解除时，</w:t>
                  </w:r>
                </w:p>
              </w:txbxContent>
            </v:textbox>
            <w10:wrap type="none"/>
          </v:shape>
        </w:pict>
      </w:r>
      <w:r>
        <w:rPr/>
        <w:pict>
          <v:group style="position:absolute;margin-left:368.829987pt;margin-top:433.849976pt;width:42.15pt;height:124.85pt;mso-position-horizontal-relative:page;mso-position-vertical-relative:page;z-index:-1185952" coordorigin="7377,8677" coordsize="843,2497">
            <v:shape style="position:absolute;left:7377;top:8677;width:843;height:2497" coordorigin="7377,8677" coordsize="843,2497" path="m7377,11173l8219,11173,8219,8677,7377,8677,7377,1117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67"/>
        <w:gridCol w:w="709"/>
        <w:gridCol w:w="994"/>
        <w:gridCol w:w="2268"/>
        <w:gridCol w:w="850"/>
        <w:gridCol w:w="853"/>
        <w:gridCol w:w="1627"/>
      </w:tblGrid>
      <w:tr>
        <w:trPr>
          <w:trHeight w:val="315" w:hRule="exact"/>
        </w:trPr>
        <w:tc>
          <w:tcPr>
            <w:tcW w:w="2267"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有限公司的资金、资产的行</w:t>
            </w:r>
          </w:p>
        </w:tc>
        <w:tc>
          <w:tcPr>
            <w:tcW w:w="850"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1627" w:type="dxa"/>
            <w:vMerge w:val="restart"/>
            <w:tcBorders>
              <w:top w:val="single" w:sz="4" w:space="0" w:color="000000"/>
              <w:left w:val="single" w:sz="4" w:space="0" w:color="000000"/>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为、在任何情况下，不要求</w:t>
            </w: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银江股份有限公司向本人及</w:t>
            </w: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本人投资或控制的其他企业</w:t>
            </w: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提供任何形式的担保。本人</w:t>
            </w: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将尽可能地避免和减少与银</w:t>
            </w: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江股份有限公司的关联交</w:t>
            </w: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易；对无法避免或者有合理</w:t>
            </w: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原因而发生的关联交易，将</w:t>
            </w: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遵循市场公正、公平、公开</w:t>
            </w: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的原则，并依法签订协议，</w:t>
            </w: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履行合法程序，按照银江股</w:t>
            </w: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份有限公</w:t>
            </w:r>
            <w:r>
              <w:rPr>
                <w:rFonts w:ascii="宋体" w:hAnsi="宋体" w:cs="宋体" w:eastAsia="宋体" w:hint="default"/>
                <w:spacing w:val="-20"/>
                <w:sz w:val="18"/>
                <w:szCs w:val="18"/>
              </w:rPr>
              <w:t>司</w:t>
            </w:r>
            <w:r>
              <w:rPr>
                <w:rFonts w:ascii="宋体" w:hAnsi="宋体" w:cs="宋体" w:eastAsia="宋体" w:hint="default"/>
                <w:sz w:val="18"/>
                <w:szCs w:val="18"/>
              </w:rPr>
              <w:t>《公司章程</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有</w:t>
            </w: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关法律法规和《上市规则》</w:t>
            </w: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等有关规定履行信息披露义</w:t>
            </w: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务和办理有关报批程序，保</w:t>
            </w: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证不通过关联交易损害银江</w:t>
            </w: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股份有限公司及其他股东的</w:t>
            </w: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合法权益。如因本人未履行</w:t>
            </w: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本承诺函所作的承诺而给银</w:t>
            </w: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江股份有限公司造成一切损</w:t>
            </w: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失和后果，本人承担赔偿责</w:t>
            </w: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360"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w:t>
            </w:r>
          </w:p>
        </w:tc>
        <w:tc>
          <w:tcPr>
            <w:tcW w:w="850"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1627" w:type="dxa"/>
            <w:vMerge/>
            <w:tcBorders>
              <w:left w:val="single" w:sz="4" w:space="0" w:color="000000"/>
              <w:bottom w:val="single" w:sz="4" w:space="0" w:color="000000"/>
              <w:right w:val="single" w:sz="4" w:space="0" w:color="000000"/>
            </w:tcBorders>
          </w:tcPr>
          <w:p>
            <w:pPr/>
          </w:p>
        </w:tc>
      </w:tr>
      <w:tr>
        <w:trPr>
          <w:trHeight w:val="356" w:hRule="exact"/>
        </w:trPr>
        <w:tc>
          <w:tcPr>
            <w:tcW w:w="2267"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本人现为亚太安迅实际控制</w:t>
            </w:r>
          </w:p>
        </w:tc>
        <w:tc>
          <w:tcPr>
            <w:tcW w:w="850"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162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人，亚太安迅曾于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年设</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立红筹架构成为外企企业并</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年解除红筹架构重新</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转为内资企业，在红筹架构</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期间，亚太安迅并未实际享</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受外资企业企业所得税优惠</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政策，</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2"/>
              <w:jc w:val="left"/>
              <w:rPr>
                <w:rFonts w:ascii="宋体" w:hAnsi="宋体" w:cs="宋体" w:eastAsia="宋体" w:hint="default"/>
                <w:sz w:val="18"/>
                <w:szCs w:val="18"/>
              </w:rPr>
            </w:pPr>
            <w:r>
              <w:rPr>
                <w:rFonts w:ascii="宋体" w:hAnsi="宋体" w:cs="宋体" w:eastAsia="宋体" w:hint="default"/>
                <w:sz w:val="18"/>
                <w:szCs w:val="18"/>
              </w:rPr>
              <w:t>亚太安迅已按相关规定为境 外股东代扣代缴了企业所得</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6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07"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税。对于亚太安迅设立及解</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除红筹架构的整个过程中，</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各相关主体可能存在未来发</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生补缴相关税收风险，而因</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此给亚太安迅带来的任何经</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济损失（包括行政处罚损</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失</w:t>
            </w:r>
            <w:r>
              <w:rPr>
                <w:rFonts w:ascii="宋体" w:hAnsi="宋体" w:cs="宋体" w:eastAsia="宋体" w:hint="default"/>
                <w:spacing w:val="-92"/>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本人愿意承担全额赔偿</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50"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1627" w:type="dxa"/>
            <w:tcBorders>
              <w:top w:val="nil" w:sz="6" w:space="0" w:color="auto"/>
              <w:left w:val="single" w:sz="4" w:space="0" w:color="000000"/>
              <w:bottom w:val="single" w:sz="4" w:space="0" w:color="000000"/>
              <w:right w:val="single" w:sz="4" w:space="0" w:color="000000"/>
            </w:tcBorders>
          </w:tcPr>
          <w:p>
            <w:pPr/>
          </w:p>
        </w:tc>
      </w:tr>
      <w:tr>
        <w:trPr>
          <w:trHeight w:val="986" w:hRule="exact"/>
        </w:trPr>
        <w:tc>
          <w:tcPr>
            <w:tcW w:w="2267"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99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33"/>
              <w:jc w:val="both"/>
              <w:rPr>
                <w:rFonts w:ascii="宋体" w:hAnsi="宋体" w:cs="宋体" w:eastAsia="宋体" w:hint="default"/>
                <w:sz w:val="18"/>
                <w:szCs w:val="18"/>
              </w:rPr>
            </w:pPr>
            <w:r>
              <w:rPr>
                <w:rFonts w:ascii="宋体" w:hAnsi="宋体" w:cs="宋体" w:eastAsia="宋体" w:hint="default"/>
                <w:sz w:val="18"/>
                <w:szCs w:val="18"/>
              </w:rPr>
              <w:t>本人愿意承担亚太安迅</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年底解除其历史上红筹架构 所涉及相关税务、外汇管理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99.692993pt;margin-top:137.419983pt;width:111.3pt;height:85.8pt;mso-position-horizontal-relative:page;mso-position-vertical-relative:page;z-index:-11859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职务便利以借款、</w:t>
                  </w:r>
                </w:p>
              </w:txbxContent>
            </v:textbox>
            <w10:wrap type="none"/>
          </v:shape>
        </w:pict>
      </w:r>
      <w:r>
        <w:rPr/>
        <w:pict>
          <v:group style="position:absolute;margin-left:368.829987pt;margin-top:137.419983pt;width:42.15pt;height:85.8pt;mso-position-horizontal-relative:page;mso-position-vertical-relative:page;z-index:-1185904" coordorigin="7377,2748" coordsize="843,1716">
            <v:shape style="position:absolute;left:7377;top:2748;width:843;height:1716" coordorigin="7377,2748" coordsize="843,1716" path="m7377,4464l8219,4464,8219,2748,7377,2748,7377,446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67"/>
        <w:gridCol w:w="709"/>
        <w:gridCol w:w="994"/>
        <w:gridCol w:w="2268"/>
        <w:gridCol w:w="850"/>
        <w:gridCol w:w="853"/>
        <w:gridCol w:w="1627"/>
      </w:tblGrid>
      <w:tr>
        <w:trPr>
          <w:trHeight w:val="315" w:hRule="exact"/>
        </w:trPr>
        <w:tc>
          <w:tcPr>
            <w:tcW w:w="2267"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等方面的风险，承担亚太安</w:t>
            </w:r>
          </w:p>
        </w:tc>
        <w:tc>
          <w:tcPr>
            <w:tcW w:w="850"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1627" w:type="dxa"/>
            <w:vMerge w:val="restart"/>
            <w:tcBorders>
              <w:top w:val="single" w:sz="4" w:space="0" w:color="000000"/>
              <w:left w:val="single" w:sz="4" w:space="0" w:color="000000"/>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迅因红筹架构解除涉及相关</w:t>
            </w: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税务、外汇管理等方面风险</w:t>
            </w:r>
          </w:p>
        </w:tc>
        <w:tc>
          <w:tcPr>
            <w:tcW w:w="85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360" w:hRule="exact"/>
        </w:trPr>
        <w:tc>
          <w:tcPr>
            <w:tcW w:w="2267"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所致的损失。</w:t>
            </w:r>
          </w:p>
        </w:tc>
        <w:tc>
          <w:tcPr>
            <w:tcW w:w="850"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1627" w:type="dxa"/>
            <w:vMerge/>
            <w:tcBorders>
              <w:left w:val="single" w:sz="4" w:space="0" w:color="000000"/>
              <w:bottom w:val="single" w:sz="4" w:space="0" w:color="000000"/>
              <w:right w:val="single" w:sz="4" w:space="0" w:color="000000"/>
            </w:tcBorders>
          </w:tcPr>
          <w:p>
            <w:pPr/>
          </w:p>
        </w:tc>
      </w:tr>
      <w:tr>
        <w:trPr>
          <w:trHeight w:val="355" w:hRule="exact"/>
        </w:trPr>
        <w:tc>
          <w:tcPr>
            <w:tcW w:w="2267"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重组交易期间，本人及本人</w:t>
            </w:r>
          </w:p>
        </w:tc>
        <w:tc>
          <w:tcPr>
            <w:tcW w:w="850"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162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控制的企业，公司及其他经</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济组织不会利用控股地位或</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股东身份、</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代偿债务、代垫款项或者其</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2"/>
              <w:jc w:val="both"/>
              <w:rPr>
                <w:rFonts w:ascii="宋体" w:hAnsi="宋体" w:cs="宋体" w:eastAsia="宋体" w:hint="default"/>
                <w:sz w:val="18"/>
                <w:szCs w:val="18"/>
              </w:rPr>
            </w:pPr>
            <w:r>
              <w:rPr>
                <w:rFonts w:ascii="宋体" w:hAnsi="宋体" w:cs="宋体" w:eastAsia="宋体" w:hint="default"/>
                <w:sz w:val="18"/>
                <w:szCs w:val="18"/>
              </w:rPr>
              <w:t>他方式占用亚太安迅及其子 公司之资金；重组完成后， 本人将遵守并督促亚太安迅</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6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51"/>
              <w:jc w:val="both"/>
              <w:rPr>
                <w:rFonts w:ascii="宋体" w:hAnsi="宋体" w:cs="宋体" w:eastAsia="宋体" w:hint="default"/>
                <w:sz w:val="18"/>
                <w:szCs w:val="18"/>
              </w:rPr>
            </w:pPr>
            <w:r>
              <w:rPr>
                <w:rFonts w:ascii="宋体" w:hAnsi="宋体" w:cs="宋体" w:eastAsia="宋体" w:hint="default"/>
                <w:sz w:val="18"/>
                <w:szCs w:val="18"/>
              </w:rPr>
              <w:t>李欣未遵守银江股 份货币资金管理制 度，违反了承诺。</w:t>
            </w: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严格执行银江股份货币资金</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管理制度，不利用职务便利</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以借款、代偿债务、代垫款</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项或者其他方式占用亚太安</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迅及其子公司之资金。</w:t>
            </w:r>
          </w:p>
        </w:tc>
        <w:tc>
          <w:tcPr>
            <w:tcW w:w="850"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162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2267"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本次交易完成后，本人会将</w:t>
            </w:r>
          </w:p>
        </w:tc>
        <w:tc>
          <w:tcPr>
            <w:tcW w:w="850"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162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持有的城城速通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的股权</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转让给亚太安迅，并在本次</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70"/>
              <w:jc w:val="left"/>
              <w:rPr>
                <w:rFonts w:ascii="宋体" w:hAnsi="宋体" w:cs="宋体" w:eastAsia="宋体" w:hint="default"/>
                <w:sz w:val="18"/>
                <w:szCs w:val="18"/>
              </w:rPr>
            </w:pPr>
            <w:r>
              <w:rPr>
                <w:rFonts w:ascii="宋体" w:hAnsi="宋体" w:cs="宋体" w:eastAsia="宋体" w:hint="default"/>
                <w:sz w:val="18"/>
                <w:szCs w:val="18"/>
              </w:rPr>
              <w:t>交易完成后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个月内办理完 成工商变更手续。如本人违</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6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07"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反上述承诺而给银江股份或</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亚太安迅造成损失的，将承</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担全部赔偿责任。</w:t>
            </w:r>
          </w:p>
        </w:tc>
        <w:tc>
          <w:tcPr>
            <w:tcW w:w="850"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162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2267"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本次交易完成后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年内，本</w:t>
            </w:r>
          </w:p>
        </w:tc>
        <w:tc>
          <w:tcPr>
            <w:tcW w:w="850"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162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人将在亚太安迅继续担任经</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营管理职务，不主动提出离</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职（经银江股份书面批准的</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3"/>
              <w:jc w:val="left"/>
              <w:rPr>
                <w:rFonts w:ascii="宋体" w:hAnsi="宋体" w:cs="宋体" w:eastAsia="宋体" w:hint="default"/>
                <w:sz w:val="18"/>
                <w:szCs w:val="18"/>
              </w:rPr>
            </w:pPr>
            <w:r>
              <w:rPr>
                <w:rFonts w:ascii="宋体" w:hAnsi="宋体" w:cs="宋体" w:eastAsia="宋体" w:hint="default"/>
                <w:spacing w:val="-11"/>
                <w:sz w:val="18"/>
                <w:szCs w:val="18"/>
              </w:rPr>
              <w:t>除外），并在任职期间勤勉尽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责，尽可能为亚太安迅创造</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6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51"/>
              <w:jc w:val="left"/>
              <w:rPr>
                <w:rFonts w:ascii="宋体" w:hAnsi="宋体" w:cs="宋体" w:eastAsia="宋体" w:hint="default"/>
                <w:sz w:val="18"/>
                <w:szCs w:val="18"/>
              </w:rPr>
            </w:pPr>
            <w:r>
              <w:rPr>
                <w:rFonts w:ascii="宋体" w:hAnsi="宋体" w:cs="宋体" w:eastAsia="宋体" w:hint="default"/>
                <w:sz w:val="18"/>
                <w:szCs w:val="18"/>
              </w:rPr>
              <w:t>李欣违反了该项承 诺。</w:t>
            </w:r>
          </w:p>
        </w:tc>
      </w:tr>
      <w:tr>
        <w:trPr>
          <w:trHeight w:val="307"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最佳业绩。如因本人违反上</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述承诺而给银江股份或亚太</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安迅造成损失的，愿承担全</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部赔偿责任。</w:t>
            </w:r>
          </w:p>
        </w:tc>
        <w:tc>
          <w:tcPr>
            <w:tcW w:w="850"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162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2267"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本人承诺并确保，目前亚太</w:t>
            </w:r>
          </w:p>
        </w:tc>
        <w:tc>
          <w:tcPr>
            <w:tcW w:w="850"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162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安迅租赁位于朝阳区三间房</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的租赁物业，出租人未取得</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72"/>
              <w:jc w:val="left"/>
              <w:rPr>
                <w:rFonts w:ascii="宋体" w:hAnsi="宋体" w:cs="宋体" w:eastAsia="宋体" w:hint="default"/>
                <w:sz w:val="18"/>
                <w:szCs w:val="18"/>
              </w:rPr>
            </w:pPr>
            <w:r>
              <w:rPr>
                <w:rFonts w:ascii="宋体" w:hAnsi="宋体" w:cs="宋体" w:eastAsia="宋体" w:hint="default"/>
                <w:sz w:val="18"/>
                <w:szCs w:val="18"/>
              </w:rPr>
              <w:t>相应的房产证书，如亚太安 迅因租赁该物业而导致亚太</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62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安迅承受任何负责、直接经</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7"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济损失、承诺人将向亚太安</w:t>
            </w:r>
          </w:p>
        </w:tc>
        <w:tc>
          <w:tcPr>
            <w:tcW w:w="85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267"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迅全额予以赔偿，避免给亚</w:t>
            </w:r>
          </w:p>
        </w:tc>
        <w:tc>
          <w:tcPr>
            <w:tcW w:w="850"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162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67"/>
        <w:gridCol w:w="709"/>
        <w:gridCol w:w="994"/>
        <w:gridCol w:w="2268"/>
        <w:gridCol w:w="850"/>
        <w:gridCol w:w="853"/>
        <w:gridCol w:w="1627"/>
      </w:tblGrid>
      <w:tr>
        <w:trPr>
          <w:trHeight w:val="363" w:hRule="exact"/>
        </w:trPr>
        <w:tc>
          <w:tcPr>
            <w:tcW w:w="2267"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太安迅造成任何损失。</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2267"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99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在本次交易交割前，亚太安 迅核心团队（包括但不限于 李欣、颜廷健、于海燕、张 晔、候世勇、金鑫）应与亚 太安迅签订不短于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年期限 的聘用合同，并出具承诺函 承诺在本次交易后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年内将 不主动从亚太安迅离职（经 </w:t>
            </w:r>
            <w:r>
              <w:rPr>
                <w:rFonts w:ascii="宋体" w:hAnsi="宋体" w:cs="宋体" w:eastAsia="宋体" w:hint="default"/>
                <w:spacing w:val="-9"/>
                <w:sz w:val="18"/>
                <w:szCs w:val="18"/>
              </w:rPr>
              <w:t>甲方书面批准的除外）。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94"/>
              <w:jc w:val="left"/>
              <w:rPr>
                <w:rFonts w:ascii="宋体" w:hAnsi="宋体" w:cs="宋体" w:eastAsia="宋体" w:hint="default"/>
                <w:sz w:val="18"/>
                <w:szCs w:val="18"/>
              </w:rPr>
            </w:pPr>
            <w:r>
              <w:rPr>
                <w:rFonts w:ascii="宋体" w:hAnsi="宋体" w:cs="宋体" w:eastAsia="宋体" w:hint="default"/>
                <w:sz w:val="18"/>
                <w:szCs w:val="18"/>
              </w:rPr>
              <w:t>本次交易 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7"/>
              <w:jc w:val="left"/>
              <w:rPr>
                <w:rFonts w:ascii="宋体" w:hAnsi="宋体" w:cs="宋体" w:eastAsia="宋体" w:hint="default"/>
                <w:sz w:val="18"/>
                <w:szCs w:val="18"/>
              </w:rPr>
            </w:pPr>
            <w:r>
              <w:rPr>
                <w:rFonts w:ascii="宋体" w:hAnsi="宋体" w:cs="宋体" w:eastAsia="宋体" w:hint="default"/>
                <w:sz w:val="18"/>
                <w:szCs w:val="18"/>
              </w:rPr>
              <w:t>于海燕未经公司批 </w:t>
            </w:r>
            <w:r>
              <w:rPr>
                <w:rFonts w:ascii="宋体" w:hAnsi="宋体" w:cs="宋体" w:eastAsia="宋体" w:hint="default"/>
                <w:spacing w:val="-6"/>
                <w:sz w:val="18"/>
                <w:szCs w:val="18"/>
              </w:rPr>
              <w:t>准，在承诺期内擅自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离职，违反了承诺。 截至本报告出具日， 公司与于海燕就亚 太安讯工作交接问 题进行了妥善处理。</w:t>
            </w:r>
          </w:p>
        </w:tc>
      </w:tr>
      <w:tr>
        <w:trPr>
          <w:trHeight w:val="3524" w:hRule="exact"/>
        </w:trPr>
        <w:tc>
          <w:tcPr>
            <w:tcW w:w="2267"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99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承诺亚太安讯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2014</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年和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年实现的净利润</w:t>
            </w:r>
          </w:p>
          <w:p>
            <w:pPr>
              <w:pStyle w:val="TableParagraph"/>
              <w:spacing w:line="316" w:lineRule="auto" w:before="63"/>
              <w:ind w:left="23" w:right="72"/>
              <w:jc w:val="both"/>
              <w:rPr>
                <w:rFonts w:ascii="宋体" w:hAnsi="宋体" w:cs="宋体" w:eastAsia="宋体" w:hint="default"/>
                <w:sz w:val="18"/>
                <w:szCs w:val="18"/>
              </w:rPr>
            </w:pPr>
            <w:r>
              <w:rPr>
                <w:rFonts w:ascii="宋体" w:hAnsi="宋体" w:cs="宋体" w:eastAsia="宋体" w:hint="default"/>
                <w:sz w:val="18"/>
                <w:szCs w:val="18"/>
              </w:rPr>
              <w:t>（扣除非经常性损益后归属 于母公司所有者的净利润） 分别不得低于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w:t>
            </w:r>
          </w:p>
          <w:p>
            <w:pPr>
              <w:pStyle w:val="TableParagraph"/>
              <w:spacing w:line="248"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5,750 </w:t>
            </w:r>
            <w:r>
              <w:rPr>
                <w:rFonts w:ascii="宋体" w:hAnsi="宋体" w:cs="宋体" w:eastAsia="宋体" w:hint="default"/>
                <w:sz w:val="18"/>
                <w:szCs w:val="18"/>
              </w:rPr>
              <w:t>万元和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6,613 </w:t>
            </w:r>
            <w:r>
              <w:rPr>
                <w:rFonts w:ascii="宋体" w:hAnsi="宋体" w:cs="宋体" w:eastAsia="宋体" w:hint="default"/>
                <w:sz w:val="18"/>
                <w:szCs w:val="18"/>
              </w:rPr>
              <w:t>万元。如</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亚太安讯对应的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年的实际盈</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利数不足上述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2014</w:t>
            </w:r>
          </w:p>
          <w:p>
            <w:pPr>
              <w:pStyle w:val="TableParagraph"/>
              <w:spacing w:line="300"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年和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年承诺盈利数的， 李欣应当进行补偿。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7"/>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年度业绩承诺 </w:t>
            </w:r>
            <w:r>
              <w:rPr>
                <w:rFonts w:ascii="宋体" w:hAnsi="宋体" w:cs="宋体" w:eastAsia="宋体" w:hint="default"/>
                <w:spacing w:val="-6"/>
                <w:sz w:val="18"/>
                <w:szCs w:val="18"/>
              </w:rPr>
              <w:t>未达预期，涉及股份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补偿事宜。李欣未及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时履行业绩补偿承 诺，违反了承诺。</w:t>
            </w:r>
          </w:p>
        </w:tc>
      </w:tr>
      <w:tr>
        <w:trPr>
          <w:trHeight w:val="2273" w:hRule="exact"/>
        </w:trPr>
        <w:tc>
          <w:tcPr>
            <w:tcW w:w="2267"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于海燕</w:t>
            </w:r>
          </w:p>
        </w:tc>
        <w:tc>
          <w:tcPr>
            <w:tcW w:w="99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、本次交易完成后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 本人将在亚太安讯继续担任 经营管理职务，不主动提出 离职（经银江股份书面批准 </w:t>
            </w:r>
            <w:r>
              <w:rPr>
                <w:rFonts w:ascii="宋体" w:hAnsi="宋体" w:cs="宋体" w:eastAsia="宋体" w:hint="default"/>
                <w:spacing w:val="-11"/>
                <w:sz w:val="18"/>
                <w:szCs w:val="18"/>
              </w:rPr>
              <w:t>的除外），并在任职期间勤勉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尽责，尽可能为亚太安讯创 造最佳业绩。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本次交易 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7"/>
              <w:jc w:val="left"/>
              <w:rPr>
                <w:rFonts w:ascii="宋体" w:hAnsi="宋体" w:cs="宋体" w:eastAsia="宋体" w:hint="default"/>
                <w:sz w:val="18"/>
                <w:szCs w:val="18"/>
              </w:rPr>
            </w:pPr>
            <w:r>
              <w:rPr>
                <w:rFonts w:ascii="宋体" w:hAnsi="宋体" w:cs="宋体" w:eastAsia="宋体" w:hint="default"/>
                <w:sz w:val="18"/>
                <w:szCs w:val="18"/>
              </w:rPr>
              <w:t>于海燕未经公司批 </w:t>
            </w:r>
            <w:r>
              <w:rPr>
                <w:rFonts w:ascii="宋体" w:hAnsi="宋体" w:cs="宋体" w:eastAsia="宋体" w:hint="default"/>
                <w:spacing w:val="-6"/>
                <w:sz w:val="18"/>
                <w:szCs w:val="18"/>
              </w:rPr>
              <w:t>准，在承诺期内擅自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离职，违反了承诺。 截至本报告出具日， 公司与于海燕就亚 太安讯工作交接问 题进行了妥善处理。</w:t>
            </w:r>
          </w:p>
        </w:tc>
      </w:tr>
      <w:tr>
        <w:trPr>
          <w:trHeight w:val="3836"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0"/>
              <w:ind w:left="22" w:right="72"/>
              <w:jc w:val="left"/>
              <w:rPr>
                <w:rFonts w:ascii="宋体" w:hAnsi="宋体" w:cs="宋体" w:eastAsia="宋体" w:hint="default"/>
                <w:sz w:val="18"/>
                <w:szCs w:val="18"/>
              </w:rPr>
            </w:pPr>
            <w:r>
              <w:rPr>
                <w:rFonts w:ascii="宋体" w:hAnsi="宋体" w:cs="宋体" w:eastAsia="宋体" w:hint="default"/>
                <w:sz w:val="18"/>
                <w:szCs w:val="18"/>
              </w:rPr>
              <w:t>首次公开发行或再融资时所 作承诺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46"/>
              <w:jc w:val="left"/>
              <w:rPr>
                <w:rFonts w:ascii="宋体" w:hAnsi="宋体" w:cs="宋体" w:eastAsia="宋体" w:hint="default"/>
                <w:sz w:val="18"/>
                <w:szCs w:val="18"/>
              </w:rPr>
            </w:pPr>
            <w:r>
              <w:rPr>
                <w:rFonts w:ascii="宋体" w:hAnsi="宋体" w:cs="宋体" w:eastAsia="宋体" w:hint="default"/>
                <w:sz w:val="18"/>
                <w:szCs w:val="18"/>
              </w:rPr>
              <w:t>公司控 股股东 银江科 技集团 有限公 司及实 际控制 人王辉、 刘健夫</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1716"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pict>
                <v:group style="width:49.1pt;height:85.8pt;mso-position-horizontal-relative:char;mso-position-vertical-relative:line" coordorigin="0,0" coordsize="982,1716">
                  <v:group style="position:absolute;left:0;top:0;width:982;height:1716" coordorigin="0,0" coordsize="982,1716">
                    <v:shape style="position:absolute;left:0;top:0;width:982;height:1716" coordorigin="0,0" coordsize="982,1716" path="m0,1716l982,1716,982,0,0,0,0,1716xe" filled="true" fillcolor="#ffffff" stroked="false">
                      <v:path arrowok="t"/>
                      <v:fill type="solid"/>
                    </v:shape>
                  </v:group>
                </v:group>
              </w:pict>
            </w:r>
            <w:r>
              <w:rPr>
                <w:rFonts w:ascii="Times New Roman" w:hAnsi="Times New Roman" w:cs="Times New Roman" w:eastAsia="Times New Roman" w:hint="default"/>
                <w:position w:val="-33"/>
                <w:sz w:val="20"/>
                <w:szCs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本公司（本人）将不在中国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境内外直接或间接从事或参 与任何在商业上对股份公司 构成竞争的业务及活动或拥 有与股份公司存在竞争关系 的任何经济实体、机构、经 济组织的权益；或以其他任 何形式取得该经济实体、机 构、经济组织的控制权。本 公司（本人）愿意承担因违 反上述承诺而给股份公司造 成的全部经济损失。</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14" w:lineRule="auto" w:before="63"/>
              <w:ind w:left="23"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日，控股股东银 江科技集团及实际 </w:t>
            </w:r>
            <w:r>
              <w:rPr>
                <w:rFonts w:ascii="宋体" w:hAnsi="宋体" w:cs="宋体" w:eastAsia="宋体" w:hint="default"/>
                <w:spacing w:val="-6"/>
                <w:sz w:val="18"/>
                <w:szCs w:val="18"/>
              </w:rPr>
              <w:t>控制人王辉、刘健夫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妇均遵守上述承诺， 未发现违反上述承 诺情况。</w:t>
            </w:r>
          </w:p>
        </w:tc>
      </w:tr>
      <w:tr>
        <w:trPr>
          <w:trHeight w:val="986"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23" w:right="134"/>
              <w:jc w:val="left"/>
              <w:rPr>
                <w:rFonts w:ascii="宋体" w:hAnsi="宋体" w:cs="宋体" w:eastAsia="宋体" w:hint="default"/>
                <w:sz w:val="18"/>
                <w:szCs w:val="18"/>
              </w:rPr>
            </w:pPr>
            <w:r>
              <w:rPr>
                <w:rFonts w:ascii="宋体" w:hAnsi="宋体" w:cs="宋体" w:eastAsia="宋体" w:hint="default"/>
                <w:sz w:val="18"/>
                <w:szCs w:val="18"/>
              </w:rPr>
              <w:t>银江股 份</w:t>
            </w:r>
          </w:p>
        </w:tc>
        <w:tc>
          <w:tcPr>
            <w:tcW w:w="99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公司承诺不为激励对象依股 票期权激励计划获取有关权 益提供贷款以及其他任何形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00" w:lineRule="auto" w:before="62"/>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日，本公司严格 </w:t>
            </w:r>
            <w:r>
              <w:rPr>
                <w:rFonts w:ascii="宋体" w:hAnsi="宋体" w:cs="宋体" w:eastAsia="宋体" w:hint="default"/>
                <w:spacing w:val="-6"/>
                <w:sz w:val="18"/>
                <w:szCs w:val="18"/>
              </w:rPr>
              <w:t>遵守上述承诺，未发</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67"/>
        <w:gridCol w:w="709"/>
        <w:gridCol w:w="994"/>
        <w:gridCol w:w="2268"/>
        <w:gridCol w:w="850"/>
        <w:gridCol w:w="853"/>
        <w:gridCol w:w="1627"/>
      </w:tblGrid>
      <w:tr>
        <w:trPr>
          <w:trHeight w:val="675"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72"/>
              <w:jc w:val="left"/>
              <w:rPr>
                <w:rFonts w:ascii="宋体" w:hAnsi="宋体" w:cs="宋体" w:eastAsia="宋体" w:hint="default"/>
                <w:sz w:val="18"/>
                <w:szCs w:val="18"/>
              </w:rPr>
            </w:pPr>
            <w:r>
              <w:rPr>
                <w:rFonts w:ascii="宋体" w:hAnsi="宋体" w:cs="宋体" w:eastAsia="宋体" w:hint="default"/>
                <w:sz w:val="18"/>
                <w:szCs w:val="18"/>
              </w:rPr>
              <w:t>式的财务资助，包括为其贷 款提供担保。</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51"/>
              <w:jc w:val="left"/>
              <w:rPr>
                <w:rFonts w:ascii="宋体" w:hAnsi="宋体" w:cs="宋体" w:eastAsia="宋体" w:hint="default"/>
                <w:sz w:val="18"/>
                <w:szCs w:val="18"/>
              </w:rPr>
            </w:pPr>
            <w:r>
              <w:rPr>
                <w:rFonts w:ascii="宋体" w:hAnsi="宋体" w:cs="宋体" w:eastAsia="宋体" w:hint="default"/>
                <w:sz w:val="18"/>
                <w:szCs w:val="18"/>
              </w:rPr>
              <w:t>现违反上述承诺情 况。</w:t>
            </w:r>
          </w:p>
        </w:tc>
      </w:tr>
      <w:tr>
        <w:trPr>
          <w:trHeight w:val="383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72"/>
              <w:jc w:val="left"/>
              <w:rPr>
                <w:rFonts w:ascii="宋体" w:hAnsi="宋体" w:cs="宋体" w:eastAsia="宋体" w:hint="default"/>
                <w:sz w:val="18"/>
                <w:szCs w:val="18"/>
              </w:rPr>
            </w:pPr>
            <w:r>
              <w:rPr>
                <w:rFonts w:ascii="宋体" w:hAnsi="宋体" w:cs="宋体" w:eastAsia="宋体" w:hint="default"/>
                <w:sz w:val="18"/>
                <w:szCs w:val="18"/>
              </w:rPr>
              <w:t>其他对公司中小股东所作承 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46"/>
              <w:jc w:val="left"/>
              <w:rPr>
                <w:rFonts w:ascii="宋体" w:hAnsi="宋体" w:cs="宋体" w:eastAsia="宋体" w:hint="default"/>
                <w:sz w:val="18"/>
                <w:szCs w:val="18"/>
              </w:rPr>
            </w:pPr>
            <w:r>
              <w:rPr>
                <w:rFonts w:ascii="宋体" w:hAnsi="宋体" w:cs="宋体" w:eastAsia="宋体" w:hint="default"/>
                <w:sz w:val="18"/>
                <w:szCs w:val="18"/>
              </w:rPr>
              <w:t>银江股 份董事、 管理层 及核心 管理人</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员</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6"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pict>
                <v:group style="width:49.1pt;height:85.8pt;mso-position-horizontal-relative:char;mso-position-vertical-relative:line" coordorigin="0,0" coordsize="982,1716">
                  <v:group style="position:absolute;left:0;top:0;width:982;height:1716" coordorigin="0,0" coordsize="982,1716">
                    <v:shape style="position:absolute;left:0;top:0;width:982;height:1716" coordorigin="0,0" coordsize="982,1716" path="m0,1716l982,1716,982,0,0,0,0,1716xe" filled="true" fillcolor="#ffffff" stroked="false">
                      <v:path arrowok="t"/>
                      <v:fill type="solid"/>
                    </v:shape>
                  </v:group>
                </v:group>
              </w:pict>
            </w:r>
            <w:r>
              <w:rPr>
                <w:rFonts w:ascii="Times New Roman" w:hAnsi="Times New Roman" w:cs="Times New Roman" w:eastAsia="Times New Roman" w:hint="default"/>
                <w:position w:val="-33"/>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3"/>
                <w:szCs w:val="23"/>
              </w:rPr>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日至</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w:t>
            </w:r>
          </w:p>
          <w:p>
            <w:pPr>
              <w:pStyle w:val="TableParagraph"/>
              <w:spacing w:line="307" w:lineRule="auto" w:before="63"/>
              <w:ind w:left="23" w:right="7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日完成增持公司 股份，增持计划期间及完成 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个月内及法定的期限内 不减持所持有的公司股份。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98"/>
              <w:jc w:val="both"/>
              <w:rPr>
                <w:rFonts w:ascii="宋体" w:hAnsi="宋体" w:cs="宋体" w:eastAsia="宋体" w:hint="default"/>
                <w:sz w:val="18"/>
                <w:szCs w:val="18"/>
              </w:rPr>
            </w:pPr>
            <w:r>
              <w:rPr>
                <w:rFonts w:ascii="宋体" w:hAnsi="宋体" w:cs="宋体" w:eastAsia="宋体" w:hint="default"/>
                <w:sz w:val="18"/>
                <w:szCs w:val="18"/>
              </w:rPr>
              <w:t>在增持期 间及在本 次增持完 成后六个 月内寄法 定期限内</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12" w:lineRule="auto" w:before="63"/>
              <w:ind w:left="23" w:right="5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日，董事、管理 层及核心管理人员 本次增持计划已实 施完毕。</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日累计增持</w:t>
            </w:r>
          </w:p>
          <w:p>
            <w:pPr>
              <w:pStyle w:val="TableParagraph"/>
              <w:spacing w:line="309" w:lineRule="auto" w:before="63"/>
              <w:ind w:left="23"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3,099,300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股，占银 江股份总股本的 </w:t>
            </w:r>
            <w:r>
              <w:rPr>
                <w:rFonts w:ascii="Times New Roman" w:hAnsi="Times New Roman" w:cs="Times New Roman" w:eastAsia="Times New Roman" w:hint="default"/>
                <w:sz w:val="18"/>
                <w:szCs w:val="18"/>
              </w:rPr>
              <w:t>0.4726%</w:t>
            </w:r>
            <w:r>
              <w:rPr>
                <w:rFonts w:ascii="宋体" w:hAnsi="宋体" w:cs="宋体" w:eastAsia="宋体" w:hint="default"/>
                <w:sz w:val="18"/>
                <w:szCs w:val="18"/>
              </w:rPr>
              <w:t>，增持金额 为人民币 </w:t>
            </w:r>
            <w:r>
              <w:rPr>
                <w:rFonts w:ascii="Times New Roman" w:hAnsi="Times New Roman" w:cs="Times New Roman" w:eastAsia="Times New Roman" w:hint="default"/>
                <w:sz w:val="18"/>
                <w:szCs w:val="18"/>
              </w:rPr>
              <w:t>20,615,249.5 </w:t>
            </w:r>
            <w:r>
              <w:rPr>
                <w:rFonts w:ascii="宋体" w:hAnsi="宋体" w:cs="宋体" w:eastAsia="宋体" w:hint="default"/>
                <w:sz w:val="18"/>
                <w:szCs w:val="18"/>
              </w:rPr>
              <w:t>元。</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30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如承诺超期未履行完毕的， 应当详细说明未完成履行的 具体原因及下一步的工作计 划</w:t>
            </w:r>
          </w:p>
        </w:tc>
        <w:tc>
          <w:tcPr>
            <w:tcW w:w="730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63"/>
              <w:jc w:val="left"/>
              <w:rPr>
                <w:rFonts w:ascii="宋体" w:hAnsi="宋体" w:cs="宋体" w:eastAsia="宋体" w:hint="default"/>
                <w:sz w:val="18"/>
                <w:szCs w:val="18"/>
              </w:rPr>
            </w:pPr>
            <w:r>
              <w:rPr>
                <w:rFonts w:ascii="宋体" w:hAnsi="宋体" w:cs="宋体" w:eastAsia="宋体" w:hint="default"/>
                <w:sz w:val="18"/>
                <w:szCs w:val="18"/>
              </w:rPr>
              <w:t>李欣未遵守承诺，目前公司已通过司法途径等方式追究李欣的相关法律责任。具体诉讼进展 情况详见</w:t>
            </w:r>
            <w:r>
              <w:rPr>
                <w:rFonts w:ascii="Times New Roman" w:hAnsi="Times New Roman" w:cs="Times New Roman" w:eastAsia="Times New Roman" w:hint="default"/>
                <w:sz w:val="18"/>
                <w:szCs w:val="18"/>
              </w:rPr>
              <w:t>“</w:t>
            </w:r>
            <w:r>
              <w:rPr>
                <w:rFonts w:ascii="宋体" w:hAnsi="宋体" w:cs="宋体" w:eastAsia="宋体" w:hint="default"/>
                <w:sz w:val="18"/>
                <w:szCs w:val="18"/>
              </w:rPr>
              <w:t>第五节重要事项</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十一、重大诉讼、仲裁事项</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133"/>
        <w:jc w:val="left"/>
        <w:rPr>
          <w:b w:val="0"/>
          <w:bCs w:val="0"/>
        </w:rPr>
      </w:pPr>
      <w:bookmarkStart w:name="2、公司资产或项目存在盈利预测，且报告期仍处在盈利预测期间，公司就资产或项目达到" w:id="63"/>
      <w:bookmarkEnd w:id="63"/>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三、控股股东及其关联方对上市公司的非经营性占用资金情况" w:id="64"/>
      <w:bookmarkEnd w:id="64"/>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99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bookmarkStart w:name="四、董事会对最近一期“非标准审计报告”相关情况的说明" w:id="65"/>
      <w:bookmarkEnd w:id="65"/>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五、董事会、监事会、独立董事（如有）对会计师事务所本报告期“非标准审计报告”的说" w:id="66"/>
      <w:bookmarkEnd w:id="66"/>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六、董事会关于报告期会计政策、会计估计变更或重大会计差错更正的说明" w:id="67"/>
      <w:bookmarkEnd w:id="67"/>
      <w:r>
        <w:rPr>
          <w:b w:val="0"/>
          <w:bCs w:val="0"/>
        </w:rPr>
      </w:r>
      <w:r>
        <w:rPr/>
        <w:t>六、董事会关于报告期会计政策、会计估计变更或重大会计差错更正的说明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w:t>
      </w:r>
      <w:r>
        <w:rPr>
          <w:spacing w:val="-3"/>
        </w:rPr>
        <w:t>财政部于</w:t>
      </w:r>
      <w:r>
        <w:rPr>
          <w:rFonts w:ascii="宋体" w:hAnsi="宋体" w:cs="宋体" w:eastAsia="宋体" w:hint="default"/>
          <w:spacing w:val="-3"/>
        </w:rPr>
        <w:t>2017</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31</w:t>
      </w:r>
      <w:r>
        <w:rPr>
          <w:spacing w:val="-3"/>
        </w:rPr>
        <w:t>日分别发布了《企业会计准则第</w:t>
      </w:r>
      <w:r>
        <w:rPr>
          <w:rFonts w:ascii="宋体" w:hAnsi="宋体" w:cs="宋体" w:eastAsia="宋体" w:hint="default"/>
          <w:spacing w:val="-3"/>
        </w:rPr>
        <w:t>22</w:t>
      </w:r>
      <w:r>
        <w:rPr>
          <w:spacing w:val="-3"/>
        </w:rPr>
        <w:t>号——金融工具确认和计量（</w:t>
      </w:r>
      <w:r>
        <w:rPr>
          <w:rFonts w:ascii="宋体" w:hAnsi="宋体" w:cs="宋体" w:eastAsia="宋体" w:hint="default"/>
          <w:spacing w:val="-3"/>
        </w:rPr>
        <w:t>2017</w:t>
      </w:r>
      <w:r>
        <w:rPr>
          <w:spacing w:val="-3"/>
        </w:rPr>
        <w:t>年修订）》（财会〔</w:t>
      </w:r>
      <w:r>
        <w:rPr>
          <w:rFonts w:ascii="宋体" w:hAnsi="宋体" w:cs="宋体" w:eastAsia="宋体" w:hint="default"/>
          <w:spacing w:val="-3"/>
        </w:rPr>
        <w:t>2017</w:t>
      </w:r>
      <w:r>
        <w:rPr>
          <w:spacing w:val="-3"/>
        </w:rPr>
        <w:t>〕</w:t>
      </w:r>
      <w:r>
        <w:rPr>
          <w:rFonts w:ascii="宋体" w:hAnsi="宋体" w:cs="宋体" w:eastAsia="宋体" w:hint="default"/>
          <w:spacing w:val="-3"/>
        </w:rPr>
        <w:t>7</w:t>
      </w:r>
      <w:r>
        <w:rPr>
          <w:spacing w:val="-3"/>
        </w:rPr>
        <w:t>号）、</w:t>
      </w:r>
    </w:p>
    <w:p>
      <w:pPr>
        <w:pStyle w:val="BodyText"/>
        <w:spacing w:line="240" w:lineRule="auto"/>
        <w:ind w:right="0"/>
        <w:jc w:val="left"/>
        <w:rPr>
          <w:rFonts w:ascii="宋体" w:hAnsi="宋体" w:cs="宋体" w:eastAsia="宋体" w:hint="default"/>
        </w:rPr>
      </w:pPr>
      <w:r>
        <w:rPr/>
        <w:t>《企业会计准则第</w:t>
      </w:r>
      <w:r>
        <w:rPr>
          <w:rFonts w:ascii="宋体" w:hAnsi="宋体" w:cs="宋体" w:eastAsia="宋体" w:hint="default"/>
          <w:spacing w:val="1"/>
        </w:rPr>
        <w:t>23</w:t>
      </w:r>
      <w:r>
        <w:rPr/>
        <w:t>号——</w:t>
      </w:r>
      <w:r>
        <w:rPr>
          <w:spacing w:val="-3"/>
        </w:rPr>
        <w:t>金</w:t>
      </w:r>
      <w:r>
        <w:rPr/>
        <w:t>融资产转</w:t>
      </w:r>
      <w:r>
        <w:rPr>
          <w:spacing w:val="-36"/>
        </w:rPr>
        <w:t>移</w:t>
      </w:r>
      <w:r>
        <w:rPr/>
        <w:t>（</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7</w:t>
      </w:r>
      <w:r>
        <w:rPr/>
        <w:t>年修订</w:t>
      </w:r>
      <w:r>
        <w:rPr>
          <w:spacing w:val="-36"/>
        </w:rPr>
        <w:t>）</w:t>
      </w:r>
      <w:r>
        <w:rPr>
          <w:spacing w:val="-72"/>
        </w:rPr>
        <w:t>》</w:t>
      </w:r>
      <w:r>
        <w:rPr/>
        <w:t>（财</w:t>
      </w:r>
      <w:r>
        <w:rPr>
          <w:spacing w:val="-36"/>
        </w:rPr>
        <w:t>会</w:t>
      </w:r>
      <w:r>
        <w:rPr/>
        <w:t>〔</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7</w:t>
      </w:r>
      <w:r>
        <w:rPr>
          <w:spacing w:val="-36"/>
        </w:rPr>
        <w:t>〕</w:t>
      </w:r>
      <w:r>
        <w:rPr>
          <w:rFonts w:ascii="宋体" w:hAnsi="宋体" w:cs="宋体" w:eastAsia="宋体" w:hint="default"/>
          <w:spacing w:val="1"/>
        </w:rPr>
        <w:t>8</w:t>
      </w:r>
      <w:r>
        <w:rPr/>
        <w:t>号</w:t>
      </w:r>
      <w:r>
        <w:rPr>
          <w:spacing w:val="-36"/>
        </w:rPr>
        <w:t>）</w:t>
      </w:r>
      <w:r>
        <w:rPr>
          <w:spacing w:val="-72"/>
        </w:rPr>
        <w:t>、</w:t>
      </w:r>
      <w:r>
        <w:rPr/>
        <w:t>《企业会计准则第</w:t>
      </w:r>
      <w:r>
        <w:rPr>
          <w:rFonts w:ascii="宋体" w:hAnsi="宋体" w:cs="宋体" w:eastAsia="宋体" w:hint="default"/>
          <w:spacing w:val="1"/>
        </w:rPr>
        <w:t>24</w:t>
      </w:r>
      <w:r>
        <w:rPr/>
        <w:t>号——套期会</w:t>
      </w:r>
      <w:r>
        <w:rPr>
          <w:spacing w:val="-36"/>
        </w:rPr>
        <w:t>计</w:t>
      </w:r>
      <w:r>
        <w:rPr/>
        <w:t>（</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rPr>
        <w:t>7</w:t>
      </w:r>
    </w:p>
    <w:p>
      <w:pPr>
        <w:spacing w:after="0" w:line="240" w:lineRule="auto"/>
        <w:jc w:val="left"/>
        <w:rPr>
          <w:rFonts w:ascii="宋体" w:hAnsi="宋体" w:cs="宋体" w:eastAsia="宋体" w:hint="default"/>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4"/>
        <w:jc w:val="left"/>
      </w:pPr>
      <w:r>
        <w:rPr/>
        <w:t>年修订）》（财会〔</w:t>
      </w:r>
      <w:r>
        <w:rPr>
          <w:rFonts w:ascii="宋体" w:hAnsi="宋体" w:cs="宋体" w:eastAsia="宋体" w:hint="default"/>
        </w:rPr>
        <w:t>2017</w:t>
      </w:r>
      <w:r>
        <w:rPr/>
        <w:t>〕</w:t>
      </w:r>
      <w:r>
        <w:rPr>
          <w:rFonts w:ascii="宋体" w:hAnsi="宋体" w:cs="宋体" w:eastAsia="宋体" w:hint="default"/>
        </w:rPr>
        <w:t>9</w:t>
      </w:r>
      <w:r>
        <w:rPr/>
        <w:t>号），于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w:t>
      </w:r>
      <w:r>
        <w:rPr/>
        <w:t>日发布了《企业会计准则第</w:t>
      </w:r>
      <w:r>
        <w:rPr>
          <w:rFonts w:ascii="宋体" w:hAnsi="宋体" w:cs="宋体" w:eastAsia="宋体" w:hint="default"/>
        </w:rPr>
        <w:t>37</w:t>
      </w:r>
      <w:r>
        <w:rPr/>
        <w:t>号——金融工具列报（</w:t>
      </w:r>
      <w:r>
        <w:rPr>
          <w:rFonts w:ascii="宋体" w:hAnsi="宋体" w:cs="宋体" w:eastAsia="宋体" w:hint="default"/>
        </w:rPr>
        <w:t>2017</w:t>
      </w:r>
      <w:r>
        <w:rPr/>
        <w:t>年修订）》（财 会〔</w:t>
      </w:r>
      <w:r>
        <w:rPr>
          <w:rFonts w:ascii="宋体" w:hAnsi="宋体" w:cs="宋体" w:eastAsia="宋体" w:hint="default"/>
        </w:rPr>
        <w:t>2017</w:t>
      </w:r>
      <w:r>
        <w:rPr/>
        <w:t>〕</w:t>
      </w:r>
      <w:r>
        <w:rPr>
          <w:rFonts w:ascii="宋体" w:hAnsi="宋体" w:cs="宋体" w:eastAsia="宋体" w:hint="default"/>
        </w:rPr>
        <w:t>14</w:t>
      </w:r>
      <w:r>
        <w:rPr/>
        <w:t>号）（上述准则统称“新金融工具准则”），要求境内上市企业自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日起执行新金融工具准则。 经公司第四届董事会第二十五次会议于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17</w:t>
      </w:r>
      <w:r>
        <w:rPr/>
        <w:t>日决议通过，于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日起开始执行前述新金融工具准则。</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bookmarkStart w:name="七、与上年度财务报告相比，合并报表范围发生变化的情况说明" w:id="68"/>
      <w:bookmarkEnd w:id="68"/>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316" w:lineRule="auto" w:before="101"/>
        <w:ind w:right="1119"/>
        <w:jc w:val="left"/>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月，公司处置了浙江银江云计算技术有限公司的股权，从丧失控制权时点起，将其不再纳入公司合并财务报表</w:t>
      </w:r>
      <w:r>
        <w:rPr>
          <w:spacing w:val="-60"/>
        </w:rPr>
        <w:t> </w:t>
      </w:r>
      <w:r>
        <w:rPr>
          <w:spacing w:val="-60"/>
        </w:rPr>
      </w:r>
      <w:r>
        <w:rPr/>
        <w:t>范围。</w:t>
      </w:r>
    </w:p>
    <w:p>
      <w:pPr>
        <w:pStyle w:val="BodyText"/>
        <w:spacing w:line="316" w:lineRule="auto" w:before="19"/>
        <w:ind w:right="1119"/>
        <w:jc w:val="left"/>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月，公司处置了浙江智尔信息技术有限公司的股权，从丧失控制权时点起，将其不再纳入公司合并财务报表范</w:t>
      </w:r>
      <w:r>
        <w:rPr>
          <w:spacing w:val="-61"/>
        </w:rPr>
        <w:t> </w:t>
      </w:r>
      <w:r>
        <w:rPr>
          <w:spacing w:val="-61"/>
        </w:rPr>
      </w:r>
      <w:r>
        <w:rPr/>
        <w:t>围。</w:t>
      </w:r>
    </w:p>
    <w:p>
      <w:pPr>
        <w:pStyle w:val="BodyText"/>
        <w:spacing w:line="319" w:lineRule="auto" w:before="19"/>
        <w:ind w:right="1124"/>
        <w:jc w:val="left"/>
      </w:pPr>
      <w:r>
        <w:rPr/>
        <w:t>（</w:t>
      </w:r>
      <w:r>
        <w:rPr>
          <w:rFonts w:ascii="宋体" w:hAnsi="宋体" w:cs="宋体" w:eastAsia="宋体" w:hint="default"/>
        </w:rPr>
        <w:t>3</w:t>
      </w:r>
      <w:r>
        <w:rPr/>
        <w:t>）</w:t>
      </w:r>
      <w:r>
        <w:rPr>
          <w:rFonts w:ascii="宋体" w:hAnsi="宋体" w:cs="宋体" w:eastAsia="宋体" w:hint="default"/>
        </w:rPr>
        <w:t>2019</w:t>
      </w:r>
      <w:r>
        <w:rPr/>
        <w:t>年</w:t>
      </w:r>
      <w:r>
        <w:rPr>
          <w:rFonts w:ascii="宋体" w:hAnsi="宋体" w:cs="宋体" w:eastAsia="宋体" w:hint="default"/>
        </w:rPr>
        <w:t>10</w:t>
      </w:r>
      <w:r>
        <w:rPr/>
        <w:t>月，公司注销控股子公司杭州众嗨网络技术有限公司，自注销清算完成后，杭州众嗨网络技术有限公司不再 纳入公司合并财务报表范围。</w:t>
      </w:r>
    </w:p>
    <w:p>
      <w:pPr>
        <w:pStyle w:val="BodyText"/>
        <w:spacing w:line="316" w:lineRule="auto" w:before="17"/>
        <w:ind w:right="1124"/>
        <w:jc w:val="left"/>
      </w:pPr>
      <w:r>
        <w:rPr/>
        <w:t>（</w:t>
      </w:r>
      <w:r>
        <w:rPr>
          <w:rFonts w:ascii="宋体" w:hAnsi="宋体" w:cs="宋体" w:eastAsia="宋体" w:hint="default"/>
        </w:rPr>
        <w:t>4</w:t>
      </w:r>
      <w:r>
        <w:rPr/>
        <w:t>）</w:t>
      </w:r>
      <w:r>
        <w:rPr>
          <w:rFonts w:ascii="宋体" w:hAnsi="宋体" w:cs="宋体" w:eastAsia="宋体" w:hint="default"/>
        </w:rPr>
        <w:t>2019</w:t>
      </w:r>
      <w:r>
        <w:rPr/>
        <w:t>年</w:t>
      </w:r>
      <w:r>
        <w:rPr>
          <w:rFonts w:ascii="宋体" w:hAnsi="宋体" w:cs="宋体" w:eastAsia="宋体" w:hint="default"/>
        </w:rPr>
        <w:t>12</w:t>
      </w:r>
      <w:r>
        <w:rPr/>
        <w:t>月，公司注销全资子公司银江（北京）物联网技术有限公司，自注销清算完成后，银江（北京）物联网技术 有限公司不再纳入公司合并财务报表。</w:t>
      </w:r>
    </w:p>
    <w:p>
      <w:pPr>
        <w:pStyle w:val="BodyText"/>
        <w:spacing w:line="316" w:lineRule="auto" w:before="19"/>
        <w:ind w:right="1124"/>
        <w:jc w:val="left"/>
      </w:pPr>
      <w:r>
        <w:rPr/>
        <w:t>（</w:t>
      </w:r>
      <w:r>
        <w:rPr>
          <w:rFonts w:ascii="宋体" w:hAnsi="宋体" w:cs="宋体" w:eastAsia="宋体" w:hint="default"/>
        </w:rPr>
        <w:t>5</w:t>
      </w:r>
      <w:r>
        <w:rPr/>
        <w:t>）</w:t>
      </w:r>
      <w:r>
        <w:rPr>
          <w:rFonts w:ascii="宋体" w:hAnsi="宋体" w:cs="宋体" w:eastAsia="宋体" w:hint="default"/>
        </w:rPr>
        <w:t>2019</w:t>
      </w:r>
      <w:r>
        <w:rPr/>
        <w:t>年</w:t>
      </w:r>
      <w:r>
        <w:rPr>
          <w:rFonts w:ascii="宋体" w:hAnsi="宋体" w:cs="宋体" w:eastAsia="宋体" w:hint="default"/>
        </w:rPr>
        <w:t>12</w:t>
      </w:r>
      <w:r>
        <w:rPr/>
        <w:t>月，公司注销全资子公司济南银江智慧城市技术有限公司，自注销清算完成后，济南银江智慧城市技术有限 公司不再纳入公司合并财务报表。</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八、聘任、解聘会计师事务所情况" w:id="69"/>
      <w:bookmarkEnd w:id="69"/>
      <w:r>
        <w:rPr>
          <w:b w:val="0"/>
          <w:bCs w:val="0"/>
        </w:rPr>
      </w: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谭争、许旭光</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1133"/>
        <w:jc w:val="left"/>
      </w:pPr>
      <w:r>
        <w:rPr/>
        <w:t>是否改聘会计师事务所</w:t>
      </w:r>
    </w:p>
    <w:p>
      <w:pPr>
        <w:pStyle w:val="BodyText"/>
        <w:spacing w:line="340" w:lineRule="auto" w:before="115"/>
        <w:ind w:right="6254"/>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 聘请内部控制审计会计师事务所、财务顾问或保荐人情况</w:t>
      </w:r>
    </w:p>
    <w:p>
      <w:pPr>
        <w:pStyle w:val="BodyText"/>
        <w:spacing w:line="240" w:lineRule="auto" w:before="39"/>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九、年度报告披露后面临暂停上市和终止上市情况" w:id="70"/>
      <w:bookmarkEnd w:id="70"/>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十、破产重整相关事项" w:id="71"/>
      <w:bookmarkEnd w:id="71"/>
      <w:r>
        <w:rPr>
          <w:b w:val="0"/>
          <w:bCs w:val="0"/>
        </w:rPr>
      </w: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公司报告期未发生破产重整相关事项。</w:t>
      </w:r>
    </w:p>
    <w:p>
      <w:pPr>
        <w:spacing w:after="0" w:line="3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十一、重大诉讼、仲裁事项" w:id="72"/>
      <w:bookmarkEnd w:id="72"/>
      <w:r>
        <w:rPr>
          <w:b w:val="0"/>
          <w:bCs w:val="0"/>
        </w:rPr>
      </w:r>
      <w:r>
        <w:rPr/>
        <w:t>十一、重大诉讼、仲裁事项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pict>
          <v:shape style="position:absolute;margin-left:123.240005pt;margin-top:53.35173pt;width:60.15pt;height:295.5pt;mso-position-horizontal-relative:page;mso-position-vertical-relative:paragraph;z-index:-11858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BodyText"/>
                    <w:spacing w:line="240" w:lineRule="auto"/>
                    <w:ind w:left="5" w:right="0"/>
                    <w:jc w:val="left"/>
                  </w:pP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0"/>
                    <w:ind w:left="0" w:right="0"/>
                    <w:jc w:val="left"/>
                  </w:pPr>
                  <w:r>
                    <w:rPr/>
                    <w:t>，</w:t>
                  </w:r>
                </w:p>
                <w:p>
                  <w:pPr>
                    <w:spacing w:line="240" w:lineRule="auto" w:before="0"/>
                    <w:rPr>
                      <w:rFonts w:ascii="宋体" w:hAnsi="宋体" w:cs="宋体" w:eastAsia="宋体" w:hint="default"/>
                      <w:sz w:val="18"/>
                      <w:szCs w:val="18"/>
                    </w:rPr>
                  </w:pPr>
                </w:p>
                <w:p>
                  <w:pPr>
                    <w:pStyle w:val="BodyText"/>
                    <w:spacing w:line="240" w:lineRule="auto" w:before="153"/>
                    <w:ind w:left="2" w:right="0"/>
                    <w:jc w:val="left"/>
                  </w:pPr>
                  <w:r>
                    <w:rPr/>
                    <w:t>、</w:t>
                  </w:r>
                </w:p>
              </w:txbxContent>
            </v:textbox>
            <w10:wrap type="none"/>
          </v:shape>
        </w:pict>
      </w: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52"/>
        <w:gridCol w:w="1085"/>
        <w:gridCol w:w="1265"/>
        <w:gridCol w:w="953"/>
        <w:gridCol w:w="1395"/>
        <w:gridCol w:w="1265"/>
        <w:gridCol w:w="1081"/>
        <w:gridCol w:w="1078"/>
      </w:tblGrid>
      <w:tr>
        <w:trPr>
          <w:trHeight w:val="715"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31" w:right="29"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7" w:right="19" w:hanging="334"/>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49" w:right="86" w:hanging="361"/>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92" w:right="48"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2" w:right="91"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68" w:right="24"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220"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银江股份有限公 司向浙江省高级 人民法院就与李 欣的上市公司收 购纠纷提起民事 </w:t>
            </w:r>
            <w:r>
              <w:rPr>
                <w:rFonts w:ascii="宋体" w:hAnsi="宋体" w:cs="宋体" w:eastAsia="宋体" w:hint="default"/>
                <w:spacing w:val="-6"/>
                <w:sz w:val="18"/>
                <w:szCs w:val="18"/>
              </w:rPr>
              <w:t>诉讼，浙江省高级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人民法院业已受 </w:t>
            </w:r>
            <w:r>
              <w:rPr>
                <w:rFonts w:ascii="宋体" w:hAnsi="宋体" w:cs="宋体" w:eastAsia="宋体" w:hint="default"/>
                <w:spacing w:val="-14"/>
                <w:sz w:val="18"/>
                <w:szCs w:val="18"/>
              </w:rPr>
              <w:t>理（案号：（</w:t>
            </w:r>
            <w:r>
              <w:rPr>
                <w:rFonts w:ascii="Times New Roman" w:hAnsi="Times New Roman" w:cs="Times New Roman" w:eastAsia="Times New Roman" w:hint="default"/>
                <w:spacing w:val="-14"/>
                <w:sz w:val="18"/>
                <w:szCs w:val="18"/>
              </w:rPr>
              <w:t>2016</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浙民初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号）并于</w:t>
            </w:r>
          </w:p>
          <w:p>
            <w:pPr>
              <w:pStyle w:val="TableParagraph"/>
              <w:spacing w:line="309" w:lineRule="auto"/>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 </w:t>
            </w:r>
            <w:r>
              <w:rPr>
                <w:rFonts w:ascii="宋体" w:hAnsi="宋体" w:cs="宋体" w:eastAsia="宋体" w:hint="default"/>
                <w:spacing w:val="-6"/>
                <w:sz w:val="18"/>
                <w:szCs w:val="18"/>
              </w:rPr>
              <w:t>向公司送达《立案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通知》。</w:t>
            </w:r>
            <w:r>
              <w:rPr>
                <w:rFonts w:ascii="Times New Roman" w:hAnsi="Times New Roman" w:cs="Times New Roman" w:eastAsia="Times New Roman" w:hint="default"/>
                <w:spacing w:val="-12"/>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 </w:t>
            </w:r>
            <w:r>
              <w:rPr>
                <w:rFonts w:ascii="宋体" w:hAnsi="宋体" w:cs="宋体" w:eastAsia="宋体" w:hint="default"/>
                <w:spacing w:val="-6"/>
                <w:sz w:val="18"/>
                <w:szCs w:val="18"/>
              </w:rPr>
              <w:t>月，公司收到浙江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省高级人民法院</w:t>
            </w:r>
          </w:p>
          <w:p>
            <w:pPr>
              <w:pStyle w:val="TableParagraph"/>
              <w:spacing w:line="312" w:lineRule="auto" w:before="24"/>
              <w:ind w:left="24"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）浙民初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6"/>
                <w:sz w:val="18"/>
                <w:szCs w:val="18"/>
              </w:rPr>
              <w:t>号《民事判决书》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浙江省高级人民 </w:t>
            </w:r>
            <w:r>
              <w:rPr>
                <w:rFonts w:ascii="宋体" w:hAnsi="宋体" w:cs="宋体" w:eastAsia="宋体" w:hint="default"/>
                <w:spacing w:val="-6"/>
                <w:sz w:val="18"/>
                <w:szCs w:val="18"/>
              </w:rPr>
              <w:t>法院判决如下：</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李欣于本判决生 效之日起十日内 向银江股份有限 公司交付银江股 份有限公司股份 </w:t>
            </w:r>
            <w:r>
              <w:rPr>
                <w:rFonts w:ascii="Times New Roman" w:hAnsi="Times New Roman" w:cs="Times New Roman" w:eastAsia="Times New Roman" w:hint="default"/>
                <w:spacing w:val="-1"/>
                <w:sz w:val="18"/>
                <w:szCs w:val="18"/>
              </w:rPr>
              <w:t>25240153</w:t>
            </w:r>
            <w:r>
              <w:rPr>
                <w:rFonts w:ascii="Times New Roman" w:hAnsi="Times New Roman" w:cs="Times New Roman" w:eastAsia="Times New Roman" w:hint="default"/>
                <w:spacing w:val="6"/>
                <w:sz w:val="18"/>
                <w:szCs w:val="18"/>
              </w:rPr>
              <w:t> </w:t>
            </w:r>
            <w:r>
              <w:rPr>
                <w:rFonts w:ascii="宋体" w:hAnsi="宋体" w:cs="宋体" w:eastAsia="宋体" w:hint="default"/>
                <w:spacing w:val="-23"/>
                <w:sz w:val="18"/>
                <w:szCs w:val="18"/>
              </w:rPr>
              <w:t>股，由银</w:t>
            </w:r>
            <w:r>
              <w:rPr>
                <w:rFonts w:ascii="宋体" w:hAnsi="宋体" w:cs="宋体" w:eastAsia="宋体" w:hint="default"/>
                <w:sz w:val="18"/>
                <w:szCs w:val="18"/>
              </w:rPr>
              <w:t> 江股份有限公司 以</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元价格回购并 注销；</w:t>
            </w:r>
            <w:r>
              <w:rPr>
                <w:rFonts w:ascii="Times New Roman" w:hAnsi="Times New Roman" w:cs="Times New Roman" w:eastAsia="Times New Roman" w:hint="default"/>
                <w:sz w:val="18"/>
                <w:szCs w:val="18"/>
              </w:rPr>
              <w:t>2</w:t>
            </w:r>
            <w:r>
              <w:rPr>
                <w:rFonts w:ascii="宋体" w:hAnsi="宋体" w:cs="宋体" w:eastAsia="宋体" w:hint="default"/>
                <w:sz w:val="18"/>
                <w:szCs w:val="18"/>
              </w:rPr>
              <w:t>、如李欣 不能足额交付上 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25240153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16" w:lineRule="auto" w:before="3"/>
              <w:ind w:left="24" w:right="19"/>
              <w:jc w:val="left"/>
              <w:rPr>
                <w:rFonts w:ascii="宋体" w:hAnsi="宋体" w:cs="宋体" w:eastAsia="宋体" w:hint="default"/>
                <w:sz w:val="18"/>
                <w:szCs w:val="18"/>
              </w:rPr>
            </w:pPr>
            <w:r>
              <w:rPr>
                <w:rFonts w:ascii="宋体" w:hAnsi="宋体" w:cs="宋体" w:eastAsia="宋体" w:hint="default"/>
                <w:sz w:val="18"/>
                <w:szCs w:val="18"/>
              </w:rPr>
              <w:t>则于本判决生效 之日起十日内将 交付不足部分的 股份数折算为补 偿金支付给银江 </w:t>
            </w:r>
            <w:r>
              <w:rPr>
                <w:rFonts w:ascii="宋体" w:hAnsi="宋体" w:cs="宋体" w:eastAsia="宋体" w:hint="default"/>
                <w:spacing w:val="-6"/>
                <w:sz w:val="18"/>
                <w:szCs w:val="18"/>
              </w:rPr>
              <w:t>股份有限公司（补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偿金按股份发行 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元与交付 不足部分的股份 数</w:t>
            </w:r>
            <w:r>
              <w:rPr>
                <w:rFonts w:ascii="Times New Roman" w:hAnsi="Times New Roman" w:cs="Times New Roman" w:eastAsia="Times New Roman" w:hint="default"/>
                <w:sz w:val="18"/>
                <w:szCs w:val="18"/>
              </w:rPr>
              <w:t>/2.2 </w:t>
            </w:r>
            <w:r>
              <w:rPr>
                <w:rFonts w:ascii="宋体" w:hAnsi="宋体" w:cs="宋体" w:eastAsia="宋体" w:hint="default"/>
                <w:sz w:val="18"/>
                <w:szCs w:val="18"/>
              </w:rPr>
              <w:t>之乘积计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5909" w:lineRule="exact"/>
              <w:ind w:right="-53"/>
              <w:jc w:val="left"/>
              <w:rPr>
                <w:rFonts w:ascii="宋体" w:hAnsi="宋体" w:cs="宋体" w:eastAsia="宋体" w:hint="default"/>
                <w:sz w:val="20"/>
                <w:szCs w:val="20"/>
              </w:rPr>
            </w:pPr>
            <w:r>
              <w:rPr>
                <w:rFonts w:ascii="宋体" w:hAnsi="宋体" w:cs="宋体" w:eastAsia="宋体" w:hint="default"/>
                <w:position w:val="-117"/>
                <w:sz w:val="20"/>
                <w:szCs w:val="20"/>
              </w:rPr>
              <w:pict>
                <v:group style="width:53.9pt;height:295.5pt;mso-position-horizontal-relative:char;mso-position-vertical-relative:line" coordorigin="0,0" coordsize="1078,5910">
                  <v:group style="position:absolute;left:0;top:0;width:1078;height:5910" coordorigin="0,0" coordsize="1078,5910">
                    <v:shape style="position:absolute;left:0;top:0;width:1078;height:5910" coordorigin="0,0" coordsize="1078,5910" path="m0,5910l1078,5910,1078,0,0,0,0,5910xe" filled="true" fillcolor="#ffffff" stroked="false">
                      <v:path arrowok="t"/>
                      <v:fill type="solid"/>
                    </v:shape>
                  </v:group>
                </v:group>
              </w:pict>
            </w:r>
            <w:r>
              <w:rPr>
                <w:rFonts w:ascii="宋体" w:hAnsi="宋体" w:cs="宋体" w:eastAsia="宋体" w:hint="default"/>
                <w:position w:val="-117"/>
                <w:sz w:val="20"/>
                <w:szCs w:val="20"/>
              </w:rPr>
            </w:r>
          </w:p>
          <w:p>
            <w:pPr>
              <w:pStyle w:val="TableParagraph"/>
              <w:spacing w:line="240" w:lineRule="auto" w:before="92"/>
              <w:ind w:left="333" w:right="0"/>
              <w:jc w:val="left"/>
              <w:rPr>
                <w:rFonts w:ascii="Times New Roman" w:hAnsi="Times New Roman" w:cs="Times New Roman" w:eastAsia="Times New Roman" w:hint="default"/>
                <w:sz w:val="18"/>
                <w:szCs w:val="18"/>
              </w:rPr>
            </w:pPr>
            <w:r>
              <w:rPr>
                <w:rFonts w:ascii="Times New Roman"/>
                <w:sz w:val="18"/>
              </w:rPr>
              <w:t>24,417.48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2"/>
              <w:ind w:left="24" w:right="197"/>
              <w:jc w:val="both"/>
              <w:rPr>
                <w:rFonts w:ascii="宋体" w:hAnsi="宋体" w:cs="宋体" w:eastAsia="宋体" w:hint="default"/>
                <w:sz w:val="18"/>
                <w:szCs w:val="18"/>
              </w:rPr>
            </w:pPr>
            <w:r>
              <w:rPr>
                <w:rFonts w:ascii="宋体" w:hAnsi="宋体" w:cs="宋体" w:eastAsia="宋体" w:hint="default"/>
                <w:sz w:val="18"/>
                <w:szCs w:val="18"/>
              </w:rPr>
              <w:t>本案及衍 生诉讼案 件均已二 审终审完 毕</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5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 司收到浙江省高 级人民法院</w:t>
            </w:r>
          </w:p>
          <w:p>
            <w:pPr>
              <w:pStyle w:val="TableParagraph"/>
              <w:spacing w:line="314" w:lineRule="auto" w:before="24"/>
              <w:ind w:left="23" w:right="2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2016</w:t>
            </w:r>
            <w:r>
              <w:rPr>
                <w:rFonts w:ascii="宋体" w:hAnsi="宋体" w:cs="宋体" w:eastAsia="宋体" w:hint="default"/>
                <w:spacing w:val="-7"/>
                <w:sz w:val="18"/>
                <w:szCs w:val="18"/>
              </w:rPr>
              <w:t>）浙民初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号《民事判决 </w:t>
            </w:r>
            <w:r>
              <w:rPr>
                <w:rFonts w:ascii="宋体" w:hAnsi="宋体" w:cs="宋体" w:eastAsia="宋体" w:hint="default"/>
                <w:spacing w:val="-14"/>
                <w:sz w:val="18"/>
                <w:szCs w:val="18"/>
              </w:rPr>
              <w:t>书》，浙江省高级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人民法院判决如 </w:t>
            </w:r>
            <w:r>
              <w:rPr>
                <w:rFonts w:ascii="宋体" w:hAnsi="宋体" w:cs="宋体" w:eastAsia="宋体" w:hint="default"/>
                <w:spacing w:val="-2"/>
                <w:sz w:val="18"/>
                <w:szCs w:val="18"/>
              </w:rPr>
              <w:t>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、李欣于本</w:t>
            </w:r>
            <w:r>
              <w:rPr>
                <w:rFonts w:ascii="宋体" w:hAnsi="宋体" w:cs="宋体" w:eastAsia="宋体" w:hint="default"/>
                <w:sz w:val="18"/>
                <w:szCs w:val="18"/>
              </w:rPr>
              <w:t> 判决生效之日起 十日内向银江股 份有限公司交付 银江股份有限公 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25240153</w:t>
            </w:r>
          </w:p>
          <w:p>
            <w:pPr>
              <w:pStyle w:val="TableParagraph"/>
              <w:spacing w:line="312" w:lineRule="auto" w:before="1"/>
              <w:ind w:left="23" w:right="23"/>
              <w:jc w:val="left"/>
              <w:rPr>
                <w:rFonts w:ascii="宋体" w:hAnsi="宋体" w:cs="宋体" w:eastAsia="宋体" w:hint="default"/>
                <w:sz w:val="18"/>
                <w:szCs w:val="18"/>
              </w:rPr>
            </w:pPr>
            <w:r>
              <w:rPr>
                <w:rFonts w:ascii="宋体" w:hAnsi="宋体" w:cs="宋体" w:eastAsia="宋体" w:hint="default"/>
                <w:sz w:val="18"/>
                <w:szCs w:val="18"/>
              </w:rPr>
              <w:t>股，由银江股份 有限公司以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价格回购并注 </w:t>
            </w:r>
            <w:r>
              <w:rPr>
                <w:rFonts w:ascii="宋体" w:hAnsi="宋体" w:cs="宋体" w:eastAsia="宋体" w:hint="default"/>
                <w:spacing w:val="-2"/>
                <w:sz w:val="18"/>
                <w:szCs w:val="18"/>
              </w:rPr>
              <w:t>销；</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、如李欣不</w:t>
            </w:r>
            <w:r>
              <w:rPr>
                <w:rFonts w:ascii="宋体" w:hAnsi="宋体" w:cs="宋体" w:eastAsia="宋体" w:hint="default"/>
                <w:sz w:val="18"/>
                <w:szCs w:val="18"/>
              </w:rPr>
              <w:t> 能足额交付上述 </w:t>
            </w:r>
            <w:r>
              <w:rPr>
                <w:rFonts w:ascii="Times New Roman" w:hAnsi="Times New Roman" w:cs="Times New Roman" w:eastAsia="Times New Roman" w:hint="default"/>
                <w:sz w:val="18"/>
                <w:szCs w:val="18"/>
              </w:rPr>
              <w:t>25240153 </w:t>
            </w:r>
            <w:r>
              <w:rPr>
                <w:rFonts w:ascii="宋体" w:hAnsi="宋体" w:cs="宋体" w:eastAsia="宋体" w:hint="default"/>
                <w:sz w:val="18"/>
                <w:szCs w:val="18"/>
              </w:rPr>
              <w:t>股，则</w:t>
            </w:r>
          </w:p>
          <w:p>
            <w:pPr>
              <w:pStyle w:val="TableParagraph"/>
              <w:spacing w:line="314" w:lineRule="auto" w:before="3"/>
              <w:ind w:left="23" w:right="20"/>
              <w:jc w:val="left"/>
              <w:rPr>
                <w:rFonts w:ascii="宋体" w:hAnsi="宋体" w:cs="宋体" w:eastAsia="宋体" w:hint="default"/>
                <w:sz w:val="18"/>
                <w:szCs w:val="18"/>
              </w:rPr>
            </w:pPr>
            <w:r>
              <w:rPr>
                <w:rFonts w:ascii="宋体" w:hAnsi="宋体" w:cs="宋体" w:eastAsia="宋体" w:hint="default"/>
                <w:sz w:val="18"/>
                <w:szCs w:val="18"/>
              </w:rPr>
              <w:t>于本判决生效之 日起十日内将交 付不足部分的股 份数折算为补偿 金支付给银江股 份有限公司（补 偿金按股份发行 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元与交 付不足部分的股 份数</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之乘积 </w:t>
            </w:r>
            <w:r>
              <w:rPr>
                <w:rFonts w:ascii="宋体" w:hAnsi="宋体" w:cs="宋体" w:eastAsia="宋体" w:hint="default"/>
                <w:spacing w:val="-13"/>
                <w:sz w:val="18"/>
                <w:szCs w:val="18"/>
              </w:rPr>
              <w:t>计算）。</w:t>
            </w:r>
            <w:r>
              <w:rPr>
                <w:rFonts w:ascii="Times New Roman" w:hAnsi="Times New Roman" w:cs="Times New Roman" w:eastAsia="Times New Roman" w:hint="default"/>
                <w:spacing w:val="-1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月，公司收到中 华人民共和国最 高人民法院</w:t>
            </w:r>
          </w:p>
          <w:p>
            <w:pPr>
              <w:pStyle w:val="TableParagraph"/>
              <w:spacing w:line="312" w:lineRule="auto" w:before="20"/>
              <w:ind w:left="23"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）最高法 民终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833 </w:t>
            </w:r>
            <w:r>
              <w:rPr>
                <w:rFonts w:ascii="宋体" w:hAnsi="宋体" w:cs="宋体" w:eastAsia="宋体" w:hint="default"/>
                <w:sz w:val="18"/>
                <w:szCs w:val="18"/>
              </w:rPr>
              <w:t>号《民 </w:t>
            </w:r>
            <w:r>
              <w:rPr>
                <w:rFonts w:ascii="宋体" w:hAnsi="宋体" w:cs="宋体" w:eastAsia="宋体" w:hint="default"/>
                <w:spacing w:val="-14"/>
                <w:sz w:val="18"/>
                <w:szCs w:val="18"/>
              </w:rPr>
              <w:t>事裁定书》，最高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人民法院裁定如 下：本案按上诉 人李欣自动撤回</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24" w:right="19"/>
              <w:jc w:val="left"/>
              <w:rPr>
                <w:rFonts w:ascii="宋体" w:hAnsi="宋体" w:cs="宋体" w:eastAsia="宋体" w:hint="default"/>
                <w:sz w:val="18"/>
                <w:szCs w:val="18"/>
              </w:rPr>
            </w:pPr>
            <w:r>
              <w:rPr>
                <w:rFonts w:ascii="宋体" w:hAnsi="宋体" w:cs="宋体" w:eastAsia="宋体" w:hint="default"/>
                <w:sz w:val="18"/>
                <w:szCs w:val="18"/>
              </w:rPr>
              <w:t>本案已对被执 行人李欣名下 </w:t>
            </w:r>
            <w:r>
              <w:rPr>
                <w:rFonts w:ascii="宋体" w:hAnsi="宋体" w:cs="宋体" w:eastAsia="宋体" w:hint="default"/>
                <w:spacing w:val="-8"/>
                <w:sz w:val="18"/>
                <w:szCs w:val="18"/>
              </w:rPr>
              <w:t>现有财产（包括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房产、股票及银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行存款）进行司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法执行，浙江省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高级人民法院 已根据法律规 定将相应执行 款发放给本公 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3"/>
              <w:jc w:val="both"/>
              <w:rPr>
                <w:rFonts w:ascii="宋体" w:hAnsi="宋体" w:cs="宋体" w:eastAsia="宋体" w:hint="default"/>
                <w:sz w:val="18"/>
                <w:szCs w:val="18"/>
              </w:rPr>
            </w:pPr>
            <w:r>
              <w:rPr>
                <w:rFonts w:ascii="宋体" w:hAnsi="宋体" w:cs="宋体" w:eastAsia="宋体" w:hint="default"/>
                <w:sz w:val="18"/>
                <w:szCs w:val="18"/>
              </w:rPr>
              <w:t>《关于股票 回购注销进 展暨诉讼事 </w:t>
            </w:r>
            <w:r>
              <w:rPr>
                <w:rFonts w:ascii="宋体" w:hAnsi="宋体" w:cs="宋体" w:eastAsia="宋体" w:hint="default"/>
                <w:spacing w:val="-16"/>
                <w:sz w:val="18"/>
                <w:szCs w:val="18"/>
              </w:rPr>
              <w:t>项的公告》；</w:t>
            </w:r>
          </w:p>
          <w:p>
            <w:pPr>
              <w:pStyle w:val="TableParagraph"/>
              <w:spacing w:line="240" w:lineRule="auto" w:before="19"/>
              <w:ind w:left="23" w:right="-37"/>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319" w:lineRule="auto" w:before="63"/>
              <w:ind w:left="23" w:right="-37"/>
              <w:jc w:val="left"/>
              <w:rPr>
                <w:rFonts w:ascii="宋体" w:hAnsi="宋体" w:cs="宋体" w:eastAsia="宋体" w:hint="default"/>
                <w:sz w:val="18"/>
                <w:szCs w:val="18"/>
              </w:rPr>
            </w:pPr>
            <w:r>
              <w:rPr>
                <w:rFonts w:ascii="宋体" w:hAnsi="宋体" w:cs="宋体" w:eastAsia="宋体" w:hint="default"/>
                <w:sz w:val="18"/>
                <w:szCs w:val="18"/>
              </w:rPr>
              <w:t>《关于诉讼 进展的公告》</w:t>
            </w:r>
          </w:p>
          <w:p>
            <w:pPr>
              <w:pStyle w:val="TableParagraph"/>
              <w:spacing w:line="240" w:lineRule="auto" w:before="17"/>
              <w:ind w:left="23" w:right="-37"/>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316" w:lineRule="auto" w:before="63"/>
              <w:ind w:left="23" w:right="-37"/>
              <w:jc w:val="left"/>
              <w:rPr>
                <w:rFonts w:ascii="宋体" w:hAnsi="宋体" w:cs="宋体" w:eastAsia="宋体" w:hint="default"/>
                <w:sz w:val="18"/>
                <w:szCs w:val="18"/>
              </w:rPr>
            </w:pPr>
            <w:r>
              <w:rPr>
                <w:rFonts w:ascii="宋体" w:hAnsi="宋体" w:cs="宋体" w:eastAsia="宋体" w:hint="default"/>
                <w:sz w:val="18"/>
                <w:szCs w:val="18"/>
              </w:rPr>
              <w:t>《关于诉讼 进展的公告》</w:t>
            </w:r>
          </w:p>
          <w:p>
            <w:pPr>
              <w:pStyle w:val="TableParagraph"/>
              <w:spacing w:line="240" w:lineRule="auto" w:before="19"/>
              <w:ind w:left="23" w:right="-37"/>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3" w:right="-1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2017-021</w:t>
            </w:r>
            <w:r>
              <w:rPr>
                <w:rFonts w:ascii="宋体" w:hAnsi="宋体" w:cs="宋体" w:eastAsia="宋体" w:hint="default"/>
                <w:sz w:val="18"/>
                <w:szCs w:val="18"/>
              </w:rPr>
              <w:t>）</w:t>
            </w:r>
          </w:p>
          <w:p>
            <w:pPr>
              <w:pStyle w:val="TableParagraph"/>
              <w:spacing w:line="316" w:lineRule="auto" w:before="63"/>
              <w:ind w:left="23" w:right="24"/>
              <w:jc w:val="left"/>
              <w:rPr>
                <w:rFonts w:ascii="宋体" w:hAnsi="宋体" w:cs="宋体" w:eastAsia="宋体" w:hint="default"/>
                <w:sz w:val="18"/>
                <w:szCs w:val="18"/>
              </w:rPr>
            </w:pPr>
            <w:r>
              <w:rPr>
                <w:rFonts w:ascii="宋体" w:hAnsi="宋体" w:cs="宋体" w:eastAsia="宋体" w:hint="default"/>
                <w:spacing w:val="-16"/>
                <w:sz w:val="18"/>
                <w:szCs w:val="18"/>
              </w:rPr>
              <w:t>、《关于收到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民事判决书 </w:t>
            </w:r>
            <w:r>
              <w:rPr>
                <w:rFonts w:ascii="宋体" w:hAnsi="宋体" w:cs="宋体" w:eastAsia="宋体" w:hint="default"/>
                <w:spacing w:val="-35"/>
                <w:sz w:val="18"/>
                <w:szCs w:val="18"/>
              </w:rPr>
              <w:t>的公告》、（公</w:t>
            </w:r>
            <w:r>
              <w:rPr>
                <w:rFonts w:ascii="宋体" w:hAnsi="宋体" w:cs="宋体" w:eastAsia="宋体" w:hint="default"/>
                <w:sz w:val="18"/>
                <w:szCs w:val="18"/>
              </w:rPr>
              <w:t> 告编号：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2017-083</w:t>
            </w:r>
          </w:p>
          <w:p>
            <w:pPr>
              <w:pStyle w:val="TableParagraph"/>
              <w:spacing w:line="316" w:lineRule="auto" w:before="63"/>
              <w:ind w:left="23" w:right="24"/>
              <w:jc w:val="left"/>
              <w:rPr>
                <w:rFonts w:ascii="宋体" w:hAnsi="宋体" w:cs="宋体" w:eastAsia="宋体" w:hint="default"/>
                <w:sz w:val="18"/>
                <w:szCs w:val="18"/>
              </w:rPr>
            </w:pPr>
            <w:r>
              <w:rPr>
                <w:rFonts w:ascii="宋体" w:hAnsi="宋体" w:cs="宋体" w:eastAsia="宋体" w:hint="default"/>
                <w:spacing w:val="-35"/>
                <w:sz w:val="18"/>
                <w:szCs w:val="18"/>
              </w:rPr>
              <w:t>号）、《关于收</w:t>
            </w:r>
            <w:r>
              <w:rPr>
                <w:rFonts w:ascii="宋体" w:hAnsi="宋体" w:cs="宋体" w:eastAsia="宋体" w:hint="default"/>
                <w:sz w:val="18"/>
                <w:szCs w:val="18"/>
              </w:rPr>
              <w:t> 到民事上诉 状的公告》</w:t>
            </w:r>
          </w:p>
          <w:p>
            <w:pPr>
              <w:pStyle w:val="TableParagraph"/>
              <w:spacing w:line="240" w:lineRule="auto" w:before="19"/>
              <w:ind w:left="23" w:right="-37"/>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2017-092</w:t>
            </w:r>
          </w:p>
          <w:p>
            <w:pPr>
              <w:pStyle w:val="TableParagraph"/>
              <w:spacing w:line="316" w:lineRule="auto" w:before="63"/>
              <w:ind w:left="23" w:right="24"/>
              <w:jc w:val="left"/>
              <w:rPr>
                <w:rFonts w:ascii="宋体" w:hAnsi="宋体" w:cs="宋体" w:eastAsia="宋体" w:hint="default"/>
                <w:sz w:val="18"/>
                <w:szCs w:val="18"/>
              </w:rPr>
            </w:pPr>
            <w:r>
              <w:rPr>
                <w:rFonts w:ascii="宋体" w:hAnsi="宋体" w:cs="宋体" w:eastAsia="宋体" w:hint="default"/>
                <w:spacing w:val="-35"/>
                <w:sz w:val="18"/>
                <w:szCs w:val="18"/>
              </w:rPr>
              <w:t>号）、《关于诉</w:t>
            </w:r>
            <w:r>
              <w:rPr>
                <w:rFonts w:ascii="宋体" w:hAnsi="宋体" w:cs="宋体" w:eastAsia="宋体" w:hint="default"/>
                <w:sz w:val="18"/>
                <w:szCs w:val="18"/>
              </w:rPr>
              <w:t> 讼进展暨收 到衍生诉讼 案件二审民 事判决书的 公告》</w:t>
            </w:r>
          </w:p>
          <w:p>
            <w:pPr>
              <w:pStyle w:val="TableParagraph"/>
              <w:spacing w:line="240" w:lineRule="auto" w:before="17"/>
              <w:ind w:left="23" w:right="-1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2018-007</w:t>
            </w:r>
            <w:r>
              <w:rPr>
                <w:rFonts w:ascii="宋体" w:hAnsi="宋体" w:cs="宋体" w:eastAsia="宋体" w:hint="default"/>
                <w:sz w:val="18"/>
                <w:szCs w:val="18"/>
              </w:rPr>
              <w:t>）</w:t>
            </w:r>
          </w:p>
          <w:p>
            <w:pPr>
              <w:pStyle w:val="TableParagraph"/>
              <w:spacing w:line="316" w:lineRule="auto" w:before="63"/>
              <w:ind w:left="23" w:right="53"/>
              <w:jc w:val="left"/>
              <w:rPr>
                <w:rFonts w:ascii="宋体" w:hAnsi="宋体" w:cs="宋体" w:eastAsia="宋体" w:hint="default"/>
                <w:sz w:val="18"/>
                <w:szCs w:val="18"/>
              </w:rPr>
            </w:pPr>
            <w:r>
              <w:rPr>
                <w:rFonts w:ascii="宋体" w:hAnsi="宋体" w:cs="宋体" w:eastAsia="宋体" w:hint="default"/>
                <w:spacing w:val="-16"/>
                <w:sz w:val="18"/>
                <w:szCs w:val="18"/>
              </w:rPr>
              <w:t>、《关于收到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民事裁定书 的公告》</w:t>
            </w:r>
          </w:p>
          <w:p>
            <w:pPr>
              <w:pStyle w:val="TableParagraph"/>
              <w:spacing w:line="240"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2018-008</w:t>
            </w:r>
            <w:r>
              <w:rPr>
                <w:rFonts w:ascii="宋体" w:hAnsi="宋体" w:cs="宋体" w:eastAsia="宋体"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92"/>
                <w:sz w:val="18"/>
                <w:szCs w:val="18"/>
              </w:rPr>
              <w:t>、</w:t>
            </w:r>
            <w:r>
              <w:rPr>
                <w:rFonts w:ascii="宋体" w:hAnsi="宋体" w:cs="宋体" w:eastAsia="宋体" w:hint="default"/>
                <w:sz w:val="18"/>
                <w:szCs w:val="18"/>
              </w:rPr>
              <w:t>《关于收到</w:t>
            </w:r>
          </w:p>
          <w:p>
            <w:pPr>
              <w:pStyle w:val="TableParagraph"/>
              <w:spacing w:line="316" w:lineRule="auto" w:before="76"/>
              <w:ind w:left="23" w:right="-37"/>
              <w:jc w:val="left"/>
              <w:rPr>
                <w:rFonts w:ascii="宋体" w:hAnsi="宋体" w:cs="宋体" w:eastAsia="宋体" w:hint="default"/>
                <w:sz w:val="18"/>
                <w:szCs w:val="18"/>
              </w:rPr>
            </w:pPr>
            <w:r>
              <w:rPr>
                <w:rFonts w:ascii="宋体" w:hAnsi="宋体" w:cs="宋体" w:eastAsia="宋体" w:hint="default"/>
                <w:sz w:val="18"/>
                <w:szCs w:val="18"/>
              </w:rPr>
              <w:t>《民事案件 受理通知书》 的公告》</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52"/>
        <w:gridCol w:w="1085"/>
        <w:gridCol w:w="1265"/>
        <w:gridCol w:w="953"/>
        <w:gridCol w:w="1395"/>
        <w:gridCol w:w="1265"/>
        <w:gridCol w:w="1081"/>
        <w:gridCol w:w="1078"/>
      </w:tblGrid>
      <w:tr>
        <w:trPr>
          <w:trHeight w:val="13740"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25"/>
              <w:jc w:val="left"/>
              <w:rPr>
                <w:rFonts w:ascii="宋体" w:hAnsi="宋体" w:cs="宋体" w:eastAsia="宋体" w:hint="default"/>
                <w:sz w:val="18"/>
                <w:szCs w:val="18"/>
              </w:rPr>
            </w:pPr>
            <w:r>
              <w:rPr>
                <w:rFonts w:ascii="宋体" w:hAnsi="宋体" w:cs="宋体" w:eastAsia="宋体" w:hint="default"/>
                <w:spacing w:val="-14"/>
                <w:sz w:val="18"/>
                <w:szCs w:val="18"/>
              </w:rPr>
              <w:t>算）。</w:t>
            </w:r>
            <w:r>
              <w:rPr>
                <w:rFonts w:ascii="Times New Roman" w:hAnsi="Times New Roman" w:cs="Times New Roman" w:eastAsia="Times New Roman" w:hint="default"/>
                <w:spacing w:val="-14"/>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日，公司收到浙 江省高级人民法 </w:t>
            </w:r>
            <w:r>
              <w:rPr>
                <w:rFonts w:ascii="宋体" w:hAnsi="宋体" w:cs="宋体" w:eastAsia="宋体" w:hint="default"/>
                <w:spacing w:val="-6"/>
                <w:sz w:val="18"/>
                <w:szCs w:val="18"/>
              </w:rPr>
              <w:t>院发来的《民事上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诉状》，李欣不服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浙江省高级人民 </w:t>
            </w:r>
            <w:r>
              <w:rPr>
                <w:rFonts w:ascii="宋体" w:hAnsi="宋体" w:cs="宋体" w:eastAsia="宋体" w:hint="default"/>
                <w:spacing w:val="-5"/>
                <w:sz w:val="18"/>
                <w:szCs w:val="18"/>
              </w:rPr>
              <w:t>法院（</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）浙民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号民事判决， 向中华人民共和 国最高人民法院 提起上诉。</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月，公司收到</w:t>
            </w:r>
            <w:r>
              <w:rPr>
                <w:rFonts w:ascii="宋体" w:hAnsi="宋体" w:cs="宋体" w:eastAsia="宋体" w:hint="default"/>
                <w:sz w:val="18"/>
                <w:szCs w:val="18"/>
              </w:rPr>
              <w:t> 中华人民共和国 最高人民法院</w:t>
            </w:r>
          </w:p>
          <w:p>
            <w:pPr>
              <w:pStyle w:val="TableParagraph"/>
              <w:spacing w:line="316" w:lineRule="auto" w:before="24"/>
              <w:ind w:left="24" w:right="-2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）最高法民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833</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号《民事裁</w:t>
            </w:r>
            <w:r>
              <w:rPr>
                <w:rFonts w:ascii="宋体" w:hAnsi="宋体" w:cs="宋体" w:eastAsia="宋体" w:hint="default"/>
                <w:sz w:val="18"/>
                <w:szCs w:val="18"/>
              </w:rPr>
              <w:t> </w:t>
            </w:r>
            <w:r>
              <w:rPr>
                <w:rFonts w:ascii="宋体" w:hAnsi="宋体" w:cs="宋体" w:eastAsia="宋体" w:hint="default"/>
                <w:spacing w:val="-12"/>
                <w:sz w:val="18"/>
                <w:szCs w:val="18"/>
              </w:rPr>
              <w:t>定书》，最高人民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法院裁定如下：本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案按上诉人李欣 自动撤回上诉处 </w:t>
            </w:r>
            <w:r>
              <w:rPr>
                <w:rFonts w:ascii="宋体" w:hAnsi="宋体" w:cs="宋体" w:eastAsia="宋体" w:hint="default"/>
                <w:spacing w:val="-6"/>
                <w:sz w:val="18"/>
                <w:szCs w:val="18"/>
              </w:rPr>
              <w:t>理。一审判决自本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裁定书送达之日 起发生法律效力。 本裁定为终审裁 </w:t>
            </w:r>
            <w:r>
              <w:rPr>
                <w:rFonts w:ascii="宋体" w:hAnsi="宋体" w:cs="宋体" w:eastAsia="宋体" w:hint="default"/>
                <w:spacing w:val="-12"/>
                <w:sz w:val="18"/>
                <w:szCs w:val="18"/>
              </w:rPr>
              <w:t>定。（备注：本案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存有衍生诉讼案 </w:t>
            </w:r>
            <w:r>
              <w:rPr>
                <w:rFonts w:ascii="宋体" w:hAnsi="宋体" w:cs="宋体" w:eastAsia="宋体" w:hint="default"/>
                <w:spacing w:val="-6"/>
                <w:sz w:val="18"/>
                <w:szCs w:val="18"/>
              </w:rPr>
              <w:t>件：银江股份有限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公司向杭州市中 级人民法院起诉 </w:t>
            </w:r>
            <w:r>
              <w:rPr>
                <w:rFonts w:ascii="宋体" w:hAnsi="宋体" w:cs="宋体" w:eastAsia="宋体" w:hint="default"/>
                <w:spacing w:val="-6"/>
                <w:sz w:val="18"/>
                <w:szCs w:val="18"/>
              </w:rPr>
              <w:t>李欣、浙江浙商证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券资产管理有限 公司停止执行 </w:t>
            </w:r>
            <w:r>
              <w:rPr>
                <w:rFonts w:ascii="Times New Roman" w:hAnsi="Times New Roman" w:cs="Times New Roman" w:eastAsia="Times New Roman" w:hint="default"/>
                <w:sz w:val="18"/>
                <w:szCs w:val="18"/>
              </w:rPr>
              <w:t>25,240,153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股银江</w:t>
            </w:r>
          </w:p>
          <w:p>
            <w:pPr>
              <w:pStyle w:val="TableParagraph"/>
              <w:spacing w:line="312" w:lineRule="auto"/>
              <w:ind w:left="24" w:right="19"/>
              <w:jc w:val="left"/>
              <w:rPr>
                <w:rFonts w:ascii="宋体" w:hAnsi="宋体" w:cs="宋体" w:eastAsia="宋体" w:hint="default"/>
                <w:sz w:val="18"/>
                <w:szCs w:val="18"/>
              </w:rPr>
            </w:pPr>
            <w:r>
              <w:rPr>
                <w:rFonts w:ascii="宋体" w:hAnsi="宋体" w:cs="宋体" w:eastAsia="宋体" w:hint="default"/>
                <w:sz w:val="18"/>
                <w:szCs w:val="18"/>
              </w:rPr>
              <w:t>股份的案外人执 </w:t>
            </w:r>
            <w:r>
              <w:rPr>
                <w:rFonts w:ascii="宋体" w:hAnsi="宋体" w:cs="宋体" w:eastAsia="宋体" w:hint="default"/>
                <w:spacing w:val="-5"/>
                <w:sz w:val="18"/>
                <w:szCs w:val="18"/>
              </w:rPr>
              <w:t>行异议之诉。</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月，公司收到</w:t>
            </w:r>
            <w:r>
              <w:rPr>
                <w:rFonts w:ascii="宋体" w:hAnsi="宋体" w:cs="宋体" w:eastAsia="宋体" w:hint="default"/>
                <w:sz w:val="18"/>
                <w:szCs w:val="18"/>
              </w:rPr>
              <w:t> 浙江省杭州市中 级人民法院 </w:t>
            </w:r>
            <w:r>
              <w:rPr>
                <w:rFonts w:ascii="Times New Roman" w:hAnsi="Times New Roman" w:cs="Times New Roman" w:eastAsia="Times New Roman" w:hint="default"/>
                <w:sz w:val="18"/>
                <w:szCs w:val="18"/>
              </w:rPr>
              <w:t>“(2016)</w:t>
            </w: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民初</w:t>
            </w:r>
          </w:p>
          <w:p>
            <w:pPr>
              <w:pStyle w:val="TableParagraph"/>
              <w:spacing w:line="314" w:lineRule="auto" w:before="3"/>
              <w:ind w:left="24" w:right="1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899</w:t>
            </w:r>
            <w:r>
              <w:rPr>
                <w:rFonts w:ascii="Times New Roman" w:hAnsi="Times New Roman" w:cs="Times New Roman" w:eastAsia="Times New Roman" w:hint="default"/>
                <w:spacing w:val="6"/>
                <w:sz w:val="18"/>
                <w:szCs w:val="18"/>
              </w:rPr>
              <w:t> </w:t>
            </w:r>
            <w:r>
              <w:rPr>
                <w:rFonts w:ascii="宋体" w:hAnsi="宋体" w:cs="宋体" w:eastAsia="宋体" w:hint="default"/>
                <w:spacing w:val="-12"/>
                <w:w w:val="100"/>
                <w:sz w:val="18"/>
                <w:szCs w:val="18"/>
              </w:rPr>
              <w:t>号</w:t>
            </w:r>
            <w:r>
              <w:rPr>
                <w:rFonts w:ascii="Times New Roman" w:hAnsi="Times New Roman" w:cs="Times New Roman" w:eastAsia="Times New Roman" w:hint="default"/>
                <w:spacing w:val="-12"/>
                <w:w w:val="100"/>
                <w:sz w:val="18"/>
                <w:szCs w:val="18"/>
              </w:rPr>
              <w:t>”</w:t>
            </w:r>
            <w:r>
              <w:rPr>
                <w:rFonts w:ascii="宋体" w:hAnsi="宋体" w:cs="宋体" w:eastAsia="宋体" w:hint="default"/>
                <w:spacing w:val="-12"/>
                <w:w w:val="100"/>
                <w:sz w:val="18"/>
                <w:szCs w:val="18"/>
              </w:rPr>
              <w:t>《民事判决</w:t>
            </w:r>
            <w:r>
              <w:rPr>
                <w:rFonts w:ascii="宋体" w:hAnsi="宋体" w:cs="宋体" w:eastAsia="宋体" w:hint="default"/>
                <w:sz w:val="18"/>
                <w:szCs w:val="18"/>
              </w:rPr>
              <w:t> </w:t>
            </w:r>
            <w:r>
              <w:rPr>
                <w:rFonts w:ascii="宋体" w:hAnsi="宋体" w:cs="宋体" w:eastAsia="宋体" w:hint="default"/>
                <w:spacing w:val="-12"/>
                <w:sz w:val="18"/>
                <w:szCs w:val="18"/>
              </w:rPr>
              <w:t>书》，杭州市中级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人民法院作出一 </w:t>
            </w:r>
            <w:r>
              <w:rPr>
                <w:rFonts w:ascii="宋体" w:hAnsi="宋体" w:cs="宋体" w:eastAsia="宋体" w:hint="default"/>
                <w:spacing w:val="-6"/>
                <w:sz w:val="18"/>
                <w:szCs w:val="18"/>
              </w:rPr>
              <w:t>审判决，驳回原告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银江股份的诉讼</w:t>
            </w:r>
          </w:p>
        </w:tc>
        <w:tc>
          <w:tcPr>
            <w:tcW w:w="108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99"/>
              <w:jc w:val="both"/>
              <w:rPr>
                <w:rFonts w:ascii="宋体" w:hAnsi="宋体" w:cs="宋体" w:eastAsia="宋体" w:hint="default"/>
                <w:sz w:val="18"/>
                <w:szCs w:val="18"/>
              </w:rPr>
            </w:pPr>
            <w:r>
              <w:rPr>
                <w:rFonts w:ascii="宋体" w:hAnsi="宋体" w:cs="宋体" w:eastAsia="宋体" w:hint="default"/>
                <w:sz w:val="18"/>
                <w:szCs w:val="18"/>
              </w:rPr>
              <w:t>上诉处理。一审 判决自本裁定书 送达之日起发生 法律效力。本裁 定为终审裁定。</w:t>
            </w:r>
          </w:p>
        </w:tc>
        <w:tc>
          <w:tcPr>
            <w:tcW w:w="1265"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2018-061</w:t>
            </w:r>
            <w:r>
              <w:rPr>
                <w:rFonts w:ascii="宋体" w:hAnsi="宋体" w:cs="宋体" w:eastAsia="宋体" w:hint="default"/>
                <w:sz w:val="18"/>
                <w:szCs w:val="18"/>
              </w:rPr>
              <w:t>）</w:t>
            </w:r>
          </w:p>
          <w:p>
            <w:pPr>
              <w:pStyle w:val="TableParagraph"/>
              <w:spacing w:line="316" w:lineRule="auto" w:before="63"/>
              <w:ind w:left="23" w:right="53"/>
              <w:jc w:val="left"/>
              <w:rPr>
                <w:rFonts w:ascii="宋体" w:hAnsi="宋体" w:cs="宋体" w:eastAsia="宋体" w:hint="default"/>
                <w:sz w:val="18"/>
                <w:szCs w:val="18"/>
              </w:rPr>
            </w:pPr>
            <w:r>
              <w:rPr>
                <w:rFonts w:ascii="宋体" w:hAnsi="宋体" w:cs="宋体" w:eastAsia="宋体" w:hint="default"/>
                <w:spacing w:val="-16"/>
                <w:sz w:val="18"/>
                <w:szCs w:val="18"/>
              </w:rPr>
              <w:t>、《关于收到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法院执行裁 定书》</w:t>
            </w:r>
          </w:p>
          <w:p>
            <w:pPr>
              <w:pStyle w:val="TableParagraph"/>
              <w:spacing w:line="240"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2018-083</w:t>
            </w:r>
            <w:r>
              <w:rPr>
                <w:rFonts w:ascii="宋体" w:hAnsi="宋体" w:cs="宋体" w:eastAsia="宋体" w:hint="default"/>
                <w:sz w:val="18"/>
                <w:szCs w:val="18"/>
              </w:rPr>
              <w:t>）</w:t>
            </w:r>
          </w:p>
          <w:p>
            <w:pPr>
              <w:pStyle w:val="TableParagraph"/>
              <w:spacing w:line="316" w:lineRule="auto" w:before="63"/>
              <w:ind w:left="23" w:right="53"/>
              <w:jc w:val="left"/>
              <w:rPr>
                <w:rFonts w:ascii="宋体" w:hAnsi="宋体" w:cs="宋体" w:eastAsia="宋体" w:hint="default"/>
                <w:sz w:val="18"/>
                <w:szCs w:val="18"/>
              </w:rPr>
            </w:pPr>
            <w:r>
              <w:rPr>
                <w:rFonts w:ascii="宋体" w:hAnsi="宋体" w:cs="宋体" w:eastAsia="宋体" w:hint="default"/>
                <w:spacing w:val="-16"/>
                <w:sz w:val="18"/>
                <w:szCs w:val="18"/>
              </w:rPr>
              <w:t>、《关于个人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股东股份司 法划转完成 的公告》</w:t>
            </w:r>
          </w:p>
          <w:p>
            <w:pPr>
              <w:pStyle w:val="TableParagraph"/>
              <w:spacing w:line="240"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2018-087</w:t>
            </w:r>
            <w:r>
              <w:rPr>
                <w:rFonts w:ascii="宋体" w:hAnsi="宋体" w:cs="宋体" w:eastAsia="宋体"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52"/>
        <w:gridCol w:w="1085"/>
        <w:gridCol w:w="1265"/>
        <w:gridCol w:w="953"/>
        <w:gridCol w:w="1395"/>
        <w:gridCol w:w="1265"/>
        <w:gridCol w:w="1081"/>
        <w:gridCol w:w="1078"/>
      </w:tblGrid>
      <w:tr>
        <w:trPr>
          <w:trHeight w:val="4419"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4" w:right="22"/>
              <w:jc w:val="left"/>
              <w:rPr>
                <w:rFonts w:ascii="宋体" w:hAnsi="宋体" w:cs="宋体" w:eastAsia="宋体" w:hint="default"/>
                <w:sz w:val="18"/>
                <w:szCs w:val="18"/>
              </w:rPr>
            </w:pPr>
            <w:r>
              <w:rPr>
                <w:rFonts w:ascii="宋体" w:hAnsi="宋体" w:cs="宋体" w:eastAsia="宋体" w:hint="default"/>
                <w:sz w:val="18"/>
                <w:szCs w:val="18"/>
              </w:rPr>
              <w:t>请求。</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pacing w:val="-6"/>
                <w:sz w:val="18"/>
                <w:szCs w:val="18"/>
              </w:rPr>
              <w:t>月，公司对一审判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决不服，向浙江省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高级人民法院提 起上诉。公司于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月收到 浙江省高级人民 法院</w:t>
            </w:r>
            <w:r>
              <w:rPr>
                <w:rFonts w:ascii="Times New Roman" w:hAnsi="Times New Roman" w:cs="Times New Roman" w:eastAsia="Times New Roman" w:hint="default"/>
                <w:sz w:val="18"/>
                <w:szCs w:val="18"/>
              </w:rPr>
              <w:t>“(2017)</w:t>
            </w:r>
            <w:r>
              <w:rPr>
                <w:rFonts w:ascii="宋体" w:hAnsi="宋体" w:cs="宋体" w:eastAsia="宋体" w:hint="default"/>
                <w:sz w:val="18"/>
                <w:szCs w:val="18"/>
              </w:rPr>
              <w:t>浙民</w:t>
            </w:r>
            <w:r>
              <w:rPr>
                <w:rFonts w:ascii="宋体" w:hAnsi="宋体" w:cs="宋体" w:eastAsia="宋体" w:hint="default"/>
                <w:w w:val="99"/>
                <w:sz w:val="18"/>
                <w:szCs w:val="18"/>
              </w:rPr>
              <w:t> </w:t>
            </w:r>
            <w:r>
              <w:rPr>
                <w:rFonts w:ascii="宋体" w:hAnsi="宋体" w:cs="宋体" w:eastAsia="宋体" w:hint="default"/>
                <w:sz w:val="18"/>
                <w:szCs w:val="18"/>
              </w:rPr>
              <w:t>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《民事 </w:t>
            </w:r>
            <w:r>
              <w:rPr>
                <w:rFonts w:ascii="宋体" w:hAnsi="宋体" w:cs="宋体" w:eastAsia="宋体" w:hint="default"/>
                <w:spacing w:val="-12"/>
                <w:sz w:val="18"/>
                <w:szCs w:val="18"/>
              </w:rPr>
              <w:t>判决书》，浙江省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高级人民法院作 出终审判决：</w:t>
            </w:r>
            <w:r>
              <w:rPr>
                <w:rFonts w:ascii="Times New Roman" w:hAnsi="Times New Roman" w:cs="Times New Roman" w:eastAsia="Times New Roman" w:hint="default"/>
                <w:sz w:val="18"/>
                <w:szCs w:val="18"/>
              </w:rPr>
              <w:t>“</w:t>
            </w:r>
            <w:r>
              <w:rPr>
                <w:rFonts w:ascii="宋体" w:hAnsi="宋体" w:cs="宋体" w:eastAsia="宋体" w:hint="default"/>
                <w:sz w:val="18"/>
                <w:szCs w:val="18"/>
              </w:rPr>
              <w:t>驳 回上诉，维持原 判。</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8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9411" w:hRule="exact"/>
        </w:trPr>
        <w:tc>
          <w:tcPr>
            <w:tcW w:w="1452"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4" w:right="15"/>
              <w:jc w:val="left"/>
              <w:rPr>
                <w:rFonts w:ascii="宋体" w:hAnsi="宋体" w:cs="宋体" w:eastAsia="宋体" w:hint="default"/>
                <w:sz w:val="18"/>
                <w:szCs w:val="18"/>
              </w:rPr>
            </w:pPr>
            <w:r>
              <w:rPr>
                <w:rFonts w:ascii="宋体" w:hAnsi="宋体" w:cs="宋体" w:eastAsia="宋体" w:hint="default"/>
                <w:sz w:val="18"/>
                <w:szCs w:val="18"/>
              </w:rPr>
              <w:t>银江股份有限公 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向杭州市中级人 </w:t>
            </w:r>
            <w:r>
              <w:rPr>
                <w:rFonts w:ascii="宋体" w:hAnsi="宋体" w:cs="宋体" w:eastAsia="宋体" w:hint="default"/>
                <w:spacing w:val="-6"/>
                <w:sz w:val="18"/>
                <w:szCs w:val="18"/>
              </w:rPr>
              <w:t>民法院就李欣、浙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江浙商证券资产 管理有限公司确 认合同无效纠纷 </w:t>
            </w:r>
            <w:r>
              <w:rPr>
                <w:rFonts w:ascii="宋体" w:hAnsi="宋体" w:cs="宋体" w:eastAsia="宋体" w:hint="default"/>
                <w:spacing w:val="-6"/>
                <w:sz w:val="18"/>
                <w:szCs w:val="18"/>
              </w:rPr>
              <w:t>提起民事诉讼，杭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州市中级人民法 院已受理并正式 立案（案号：</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民</w:t>
            </w:r>
          </w:p>
          <w:p>
            <w:pPr>
              <w:pStyle w:val="TableParagraph"/>
              <w:spacing w:line="312" w:lineRule="auto" w:before="63"/>
              <w:ind w:left="24" w:right="-29"/>
              <w:jc w:val="left"/>
              <w:rPr>
                <w:rFonts w:ascii="宋体" w:hAnsi="宋体" w:cs="宋体" w:eastAsia="宋体" w:hint="default"/>
                <w:sz w:val="18"/>
                <w:szCs w:val="18"/>
              </w:rPr>
            </w:pPr>
            <w:r>
              <w:rPr>
                <w:rFonts w:ascii="宋体" w:hAnsi="宋体" w:cs="宋体" w:eastAsia="宋体" w:hint="default"/>
                <w:sz w:val="18"/>
                <w:szCs w:val="18"/>
              </w:rPr>
              <w:t>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1538</w:t>
            </w:r>
            <w:r>
              <w:rPr>
                <w:rFonts w:ascii="Times New Roman" w:hAnsi="Times New Roman" w:cs="Times New Roman" w:eastAsia="Times New Roman" w:hint="default"/>
                <w:spacing w:val="2"/>
                <w:sz w:val="18"/>
                <w:szCs w:val="18"/>
              </w:rPr>
              <w:t> </w:t>
            </w:r>
            <w:r>
              <w:rPr>
                <w:rFonts w:ascii="宋体" w:hAnsi="宋体" w:cs="宋体" w:eastAsia="宋体" w:hint="default"/>
                <w:spacing w:val="-28"/>
                <w:sz w:val="18"/>
                <w:szCs w:val="18"/>
              </w:rPr>
              <w:t>号），银江</w:t>
            </w:r>
            <w:r>
              <w:rPr>
                <w:rFonts w:ascii="宋体" w:hAnsi="宋体" w:cs="宋体" w:eastAsia="宋体" w:hint="default"/>
                <w:sz w:val="18"/>
                <w:szCs w:val="18"/>
              </w:rPr>
              <w:t> 股份的主要诉讼 请求为确认李欣、 浙江浙商证券资 产管理有限公司 签订的浙商聚银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号银江股份股票 收益权</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 专项资产管理计 划《股票质押合 </w:t>
            </w:r>
            <w:r>
              <w:rPr>
                <w:rFonts w:ascii="宋体" w:hAnsi="宋体" w:cs="宋体" w:eastAsia="宋体" w:hint="default"/>
                <w:spacing w:val="-5"/>
                <w:sz w:val="18"/>
                <w:szCs w:val="18"/>
              </w:rPr>
              <w:t>同》均无效。</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月，公司收到</w:t>
            </w:r>
            <w:r>
              <w:rPr>
                <w:rFonts w:ascii="宋体" w:hAnsi="宋体" w:cs="宋体" w:eastAsia="宋体" w:hint="default"/>
                <w:sz w:val="18"/>
                <w:szCs w:val="18"/>
              </w:rPr>
              <w:t> 浙江省杭州市中 级人民法院 </w:t>
            </w:r>
            <w:r>
              <w:rPr>
                <w:rFonts w:ascii="Times New Roman" w:hAnsi="Times New Roman" w:cs="Times New Roman" w:eastAsia="Times New Roman" w:hint="default"/>
                <w:sz w:val="18"/>
                <w:szCs w:val="18"/>
              </w:rPr>
              <w:t>“(2018)</w:t>
            </w:r>
            <w:r>
              <w:rPr>
                <w:rFonts w:ascii="宋体" w:hAnsi="宋体" w:cs="宋体" w:eastAsia="宋体" w:hint="default"/>
                <w:sz w:val="18"/>
                <w:szCs w:val="18"/>
              </w:rPr>
              <w:t>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民初</w:t>
            </w:r>
          </w:p>
          <w:p>
            <w:pPr>
              <w:pStyle w:val="TableParagraph"/>
              <w:spacing w:line="309" w:lineRule="auto" w:before="3"/>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1538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《民事判 </w:t>
            </w:r>
            <w:r>
              <w:rPr>
                <w:rFonts w:ascii="宋体" w:hAnsi="宋体" w:cs="宋体" w:eastAsia="宋体" w:hint="default"/>
                <w:spacing w:val="-12"/>
                <w:sz w:val="18"/>
                <w:szCs w:val="18"/>
              </w:rPr>
              <w:t>决书》，杭州市中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级人民法院作出</w:t>
            </w:r>
          </w:p>
        </w:tc>
        <w:tc>
          <w:tcPr>
            <w:tcW w:w="108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24,417.48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97"/>
              <w:jc w:val="both"/>
              <w:rPr>
                <w:rFonts w:ascii="宋体" w:hAnsi="宋体" w:cs="宋体" w:eastAsia="宋体" w:hint="default"/>
                <w:sz w:val="18"/>
                <w:szCs w:val="18"/>
              </w:rPr>
            </w:pPr>
            <w:r>
              <w:rPr>
                <w:rFonts w:ascii="宋体" w:hAnsi="宋体" w:cs="宋体" w:eastAsia="宋体" w:hint="default"/>
                <w:sz w:val="18"/>
                <w:szCs w:val="18"/>
              </w:rPr>
              <w:t>本案尚在 二审审理 之中</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二审尚未判决</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二审尚未判决</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23" w:right="143"/>
              <w:jc w:val="both"/>
              <w:rPr>
                <w:rFonts w:ascii="宋体" w:hAnsi="宋体" w:cs="宋体" w:eastAsia="宋体" w:hint="default"/>
                <w:sz w:val="18"/>
                <w:szCs w:val="18"/>
              </w:rPr>
            </w:pPr>
            <w:r>
              <w:rPr>
                <w:rFonts w:ascii="宋体" w:hAnsi="宋体" w:cs="宋体" w:eastAsia="宋体" w:hint="default"/>
                <w:sz w:val="18"/>
                <w:szCs w:val="18"/>
              </w:rPr>
              <w:t>《关于收到 民事判决书 的公告》</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2019-005</w:t>
            </w:r>
            <w:r>
              <w:rPr>
                <w:rFonts w:ascii="宋体" w:hAnsi="宋体" w:cs="宋体" w:eastAsia="宋体" w:hint="default"/>
                <w:sz w:val="18"/>
                <w:szCs w:val="18"/>
              </w:rPr>
              <w:t>）</w:t>
            </w:r>
          </w:p>
        </w:tc>
      </w:tr>
    </w:tbl>
    <w:p>
      <w:pPr>
        <w:spacing w:after="0" w:line="240"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52"/>
        <w:gridCol w:w="1085"/>
        <w:gridCol w:w="1265"/>
        <w:gridCol w:w="953"/>
        <w:gridCol w:w="1395"/>
        <w:gridCol w:w="1265"/>
        <w:gridCol w:w="1081"/>
        <w:gridCol w:w="1078"/>
      </w:tblGrid>
      <w:tr>
        <w:trPr>
          <w:trHeight w:val="315" w:hRule="exact"/>
        </w:trPr>
        <w:tc>
          <w:tcPr>
            <w:tcW w:w="14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6"/>
                <w:sz w:val="18"/>
                <w:szCs w:val="18"/>
              </w:rPr>
              <w:t>一审判决，驳回原</w:t>
            </w:r>
          </w:p>
        </w:tc>
        <w:tc>
          <w:tcPr>
            <w:tcW w:w="1085" w:type="dxa"/>
            <w:vMerge w:val="restart"/>
            <w:tcBorders>
              <w:top w:val="single" w:sz="4" w:space="0" w:color="000000"/>
              <w:left w:val="single" w:sz="4" w:space="0" w:color="000000"/>
              <w:right w:val="single" w:sz="4" w:space="0" w:color="000000"/>
            </w:tcBorders>
          </w:tcPr>
          <w:p>
            <w:pPr/>
          </w:p>
        </w:tc>
        <w:tc>
          <w:tcPr>
            <w:tcW w:w="1265" w:type="dxa"/>
            <w:vMerge w:val="restart"/>
            <w:tcBorders>
              <w:top w:val="single" w:sz="4" w:space="0" w:color="000000"/>
              <w:left w:val="single" w:sz="4" w:space="0" w:color="000000"/>
              <w:right w:val="single" w:sz="4" w:space="0" w:color="000000"/>
            </w:tcBorders>
          </w:tcPr>
          <w:p>
            <w:pPr/>
          </w:p>
        </w:tc>
        <w:tc>
          <w:tcPr>
            <w:tcW w:w="953" w:type="dxa"/>
            <w:vMerge w:val="restart"/>
            <w:tcBorders>
              <w:top w:val="single" w:sz="4" w:space="0" w:color="000000"/>
              <w:left w:val="single" w:sz="4" w:space="0" w:color="000000"/>
              <w:right w:val="single" w:sz="4" w:space="0" w:color="000000"/>
            </w:tcBorders>
          </w:tcPr>
          <w:p>
            <w:pPr/>
          </w:p>
        </w:tc>
        <w:tc>
          <w:tcPr>
            <w:tcW w:w="1395" w:type="dxa"/>
            <w:vMerge w:val="restart"/>
            <w:tcBorders>
              <w:top w:val="single" w:sz="4" w:space="0" w:color="000000"/>
              <w:left w:val="single" w:sz="4" w:space="0" w:color="000000"/>
              <w:right w:val="single" w:sz="4" w:space="0" w:color="000000"/>
            </w:tcBorders>
          </w:tcPr>
          <w:p>
            <w:pPr/>
          </w:p>
        </w:tc>
        <w:tc>
          <w:tcPr>
            <w:tcW w:w="1265" w:type="dxa"/>
            <w:vMerge w:val="restart"/>
            <w:tcBorders>
              <w:top w:val="single" w:sz="4" w:space="0" w:color="000000"/>
              <w:left w:val="single" w:sz="4" w:space="0" w:color="000000"/>
              <w:right w:val="single" w:sz="4" w:space="0" w:color="000000"/>
            </w:tcBorders>
          </w:tcPr>
          <w:p>
            <w:pPr/>
          </w:p>
        </w:tc>
        <w:tc>
          <w:tcPr>
            <w:tcW w:w="1081" w:type="dxa"/>
            <w:vMerge w:val="restart"/>
            <w:tcBorders>
              <w:top w:val="single" w:sz="4" w:space="0" w:color="000000"/>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
        </w:tc>
      </w:tr>
      <w:tr>
        <w:trPr>
          <w:trHeight w:val="31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告银江股份的诉</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7"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讼请求。</w:t>
            </w:r>
            <w:r>
              <w:rPr>
                <w:rFonts w:ascii="Times New Roman" w:hAnsi="Times New Roman" w:cs="Times New Roman" w:eastAsia="Times New Roman" w:hint="default"/>
                <w:spacing w:val="-6"/>
                <w:sz w:val="18"/>
                <w:szCs w:val="18"/>
              </w:rPr>
              <w:t>2019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07"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6"/>
                <w:sz w:val="18"/>
                <w:szCs w:val="18"/>
              </w:rPr>
              <w:t>月，公司对一审判</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决不服，向浙江省</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高级人民法院提</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起上诉。该上诉案</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件已由二审法院</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浙江省高级人民</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法院立案受理，目</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前该案正在二审</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60" w:hRule="exact"/>
        </w:trPr>
        <w:tc>
          <w:tcPr>
            <w:tcW w:w="14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审理之中。</w:t>
            </w:r>
          </w:p>
        </w:tc>
        <w:tc>
          <w:tcPr>
            <w:tcW w:w="1085"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1395"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bookmarkStart w:name="十二、处罚及整改情况" w:id="73"/>
      <w:bookmarkEnd w:id="73"/>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三、公司及其控股股东、实际控制人的诚信状况" w:id="74"/>
      <w:bookmarkEnd w:id="74"/>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十四、公司股权激励计划、员工持股计划或其他员工激励措施的实施情况" w:id="75"/>
      <w:bookmarkEnd w:id="75"/>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445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bookmarkStart w:name="十五、重大关联交易" w:id="76"/>
      <w:bookmarkEnd w:id="76"/>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与日常经营相关的关联交易" w:id="77"/>
      <w:bookmarkEnd w:id="7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79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2、资产或股权收购、出售发生的关联交易" w:id="78"/>
      <w:bookmarkEnd w:id="78"/>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0"/>
        <w:gridCol w:w="751"/>
        <w:gridCol w:w="799"/>
        <w:gridCol w:w="802"/>
        <w:gridCol w:w="797"/>
        <w:gridCol w:w="797"/>
        <w:gridCol w:w="797"/>
        <w:gridCol w:w="797"/>
        <w:gridCol w:w="797"/>
        <w:gridCol w:w="795"/>
        <w:gridCol w:w="799"/>
        <w:gridCol w:w="792"/>
      </w:tblGrid>
      <w:tr>
        <w:trPr>
          <w:trHeight w:val="1025"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5" w:right="34"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4" w:firstLine="9"/>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6" w:firstLine="9"/>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17"/>
                <w:sz w:val="18"/>
                <w:szCs w:val="18"/>
              </w:rPr>
              <w:t>值（万元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6" w:lineRule="exact" w:before="76"/>
              <w:ind w:left="35"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both"/>
              <w:rPr>
                <w:rFonts w:ascii="宋体" w:hAnsi="宋体" w:cs="宋体" w:eastAsia="宋体" w:hint="default"/>
                <w:sz w:val="18"/>
                <w:szCs w:val="18"/>
              </w:rPr>
            </w:pPr>
            <w:r>
              <w:rPr>
                <w:rFonts w:ascii="宋体" w:hAnsi="宋体" w:cs="宋体" w:eastAsia="宋体" w:hint="default"/>
                <w:sz w:val="18"/>
                <w:szCs w:val="18"/>
              </w:rPr>
              <w:t>智谷创业 园有限公 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5"/>
              <w:jc w:val="both"/>
              <w:rPr>
                <w:rFonts w:ascii="宋体" w:hAnsi="宋体" w:cs="宋体" w:eastAsia="宋体" w:hint="default"/>
                <w:sz w:val="18"/>
                <w:szCs w:val="18"/>
              </w:rPr>
            </w:pPr>
            <w:r>
              <w:rPr>
                <w:rFonts w:ascii="宋体" w:hAnsi="宋体" w:cs="宋体" w:eastAsia="宋体" w:hint="default"/>
                <w:sz w:val="18"/>
                <w:szCs w:val="18"/>
              </w:rPr>
              <w:t>控股股 东子公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资产购买</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房产购买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38,213.02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36,300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07</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2019-061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01"/>
        <w:gridCol w:w="6371"/>
      </w:tblGrid>
      <w:tr>
        <w:trPr>
          <w:trHeight w:val="713" w:hRule="exact"/>
        </w:trPr>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共同对外投资的关联交易" w:id="79"/>
      <w:bookmarkEnd w:id="79"/>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76"/>
        <w:gridCol w:w="1073"/>
        <w:gridCol w:w="1078"/>
        <w:gridCol w:w="1224"/>
        <w:gridCol w:w="1080"/>
        <w:gridCol w:w="1349"/>
        <w:gridCol w:w="1349"/>
        <w:gridCol w:w="1342"/>
      </w:tblGrid>
      <w:tr>
        <w:trPr>
          <w:trHeight w:val="713" w:hRule="exact"/>
        </w:trPr>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80"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2"/>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9" w:hanging="92"/>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35" w:hanging="92"/>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1652"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4" w:lineRule="auto"/>
              <w:ind w:left="24" w:right="141"/>
              <w:jc w:val="left"/>
              <w:rPr>
                <w:rFonts w:ascii="宋体" w:hAnsi="宋体" w:cs="宋体" w:eastAsia="宋体" w:hint="default"/>
                <w:sz w:val="18"/>
                <w:szCs w:val="18"/>
              </w:rPr>
            </w:pPr>
            <w:r>
              <w:rPr>
                <w:rFonts w:ascii="宋体" w:hAnsi="宋体" w:cs="宋体" w:eastAsia="宋体" w:hint="default"/>
                <w:sz w:val="18"/>
                <w:szCs w:val="18"/>
              </w:rPr>
              <w:t>银江科技集 团有限公司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6" w:right="140"/>
              <w:jc w:val="both"/>
              <w:rPr>
                <w:rFonts w:ascii="宋体" w:hAnsi="宋体" w:cs="宋体" w:eastAsia="宋体" w:hint="default"/>
                <w:sz w:val="18"/>
                <w:szCs w:val="18"/>
              </w:rPr>
            </w:pPr>
            <w:r>
              <w:rPr>
                <w:rFonts w:ascii="宋体" w:hAnsi="宋体" w:cs="宋体" w:eastAsia="宋体" w:hint="default"/>
                <w:sz w:val="18"/>
                <w:szCs w:val="18"/>
              </w:rPr>
              <w:t>杭州银江智 慧产业创业 投资合伙企 业（有限合 伙）</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121,842.57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108,796.62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9" w:right="0"/>
              <w:jc w:val="left"/>
              <w:rPr>
                <w:rFonts w:ascii="Times New Roman" w:hAnsi="Times New Roman" w:cs="Times New Roman" w:eastAsia="Times New Roman" w:hint="default"/>
                <w:sz w:val="18"/>
                <w:szCs w:val="18"/>
              </w:rPr>
            </w:pPr>
            <w:r>
              <w:rPr>
                <w:rFonts w:ascii="Times New Roman"/>
                <w:sz w:val="18"/>
              </w:rPr>
              <w:t>5,405.51</w:t>
            </w:r>
          </w:p>
        </w:tc>
      </w:tr>
      <w:tr>
        <w:trPr>
          <w:trHeight w:val="715" w:hRule="exact"/>
        </w:trPr>
        <w:tc>
          <w:tcPr>
            <w:tcW w:w="21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2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关联债权债务往来" w:id="80"/>
      <w:bookmarkEnd w:id="8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公司报告期不存在关联债权债务往来。</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5、其他重大关联交易" w:id="81"/>
      <w:bookmarkEnd w:id="8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21" w:lineRule="auto"/>
        <w:ind w:right="112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w:t>
      </w: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22</w:t>
      </w:r>
      <w:r>
        <w:rPr>
          <w:spacing w:val="-2"/>
        </w:rPr>
        <w:t>日召开的</w:t>
      </w:r>
      <w:r>
        <w:rPr>
          <w:rFonts w:ascii="宋体" w:hAnsi="宋体" w:cs="宋体" w:eastAsia="宋体" w:hint="default"/>
          <w:spacing w:val="-2"/>
        </w:rPr>
        <w:t>2018</w:t>
      </w:r>
      <w:r>
        <w:rPr>
          <w:spacing w:val="-2"/>
        </w:rPr>
        <w:t>年第一次临时股东大会审议通过了《关于购置房产暨关联交易的议案》公司以自有资金向</w:t>
      </w:r>
      <w:r>
        <w:rPr>
          <w:spacing w:val="-54"/>
        </w:rPr>
        <w:t> </w:t>
      </w:r>
      <w:r>
        <w:rPr>
          <w:spacing w:val="-54"/>
        </w:rPr>
      </w:r>
      <w:r>
        <w:rPr/>
        <w:t>控股股东银江科技集团有限公司的全资子公司智谷创业园有限公司购买其所拥有的杭州市富阳区银湖街道九龙大道中国智</w:t>
      </w:r>
      <w:r>
        <w:rPr>
          <w:spacing w:val="-11"/>
        </w:rPr>
        <w:t> </w:t>
      </w:r>
      <w:r>
        <w:rPr>
          <w:spacing w:val="-11"/>
        </w:rPr>
      </w:r>
      <w:r>
        <w:rPr/>
        <w:t>谷·富春园区</w:t>
      </w:r>
      <w:r>
        <w:rPr>
          <w:rFonts w:ascii="宋体" w:hAnsi="宋体" w:cs="宋体" w:eastAsia="宋体" w:hint="default"/>
        </w:rPr>
        <w:t>A1-A2</w:t>
      </w:r>
      <w:r>
        <w:rPr/>
        <w:t>（共两幢）工业房地产（建筑总面积</w:t>
      </w:r>
      <w:r>
        <w:rPr>
          <w:rFonts w:ascii="宋体" w:hAnsi="宋体" w:cs="宋体" w:eastAsia="宋体" w:hint="default"/>
        </w:rPr>
        <w:t>44,234.30</w:t>
      </w:r>
      <w:r>
        <w:rPr/>
        <w:t>平方米，其中地上建筑面积</w:t>
      </w:r>
      <w:r>
        <w:rPr>
          <w:rFonts w:ascii="宋体" w:hAnsi="宋体" w:cs="宋体" w:eastAsia="宋体" w:hint="default"/>
        </w:rPr>
        <w:t>31,249.00</w:t>
      </w:r>
      <w:r>
        <w:rPr/>
        <w:t>平方米，地下建筑</w:t>
      </w:r>
      <w:r>
        <w:rPr>
          <w:spacing w:val="-87"/>
        </w:rPr>
        <w:t> </w:t>
      </w:r>
      <w:r>
        <w:rPr>
          <w:spacing w:val="-2"/>
        </w:rPr>
        <w:t>面积</w:t>
      </w:r>
      <w:r>
        <w:rPr>
          <w:rFonts w:ascii="宋体" w:hAnsi="宋体" w:cs="宋体" w:eastAsia="宋体" w:hint="default"/>
          <w:spacing w:val="-2"/>
        </w:rPr>
        <w:t>12,985.30</w:t>
      </w:r>
      <w:r>
        <w:rPr>
          <w:spacing w:val="-2"/>
        </w:rPr>
        <w:t>平方米；对应土地使用权面积为</w:t>
      </w:r>
      <w:r>
        <w:rPr>
          <w:rFonts w:ascii="宋体" w:hAnsi="宋体" w:cs="宋体" w:eastAsia="宋体" w:hint="default"/>
          <w:spacing w:val="-2"/>
        </w:rPr>
        <w:t>15,956.69</w:t>
      </w:r>
      <w:r>
        <w:rPr>
          <w:spacing w:val="-2"/>
        </w:rPr>
        <w:t>平方米（最终以房地产权属证书为准）。经具有证券期货评估业务</w:t>
      </w:r>
      <w:r>
        <w:rPr>
          <w:spacing w:val="-54"/>
        </w:rPr>
        <w:t> </w:t>
      </w:r>
      <w:r>
        <w:rPr>
          <w:spacing w:val="-54"/>
        </w:rPr>
      </w:r>
      <w:r>
        <w:rPr/>
        <w:t>资格的北京中同华资产评估有限公司评估，以</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31</w:t>
      </w:r>
      <w:r>
        <w:rPr/>
        <w:t>日为基准日，采用市场法和收益法进行评估，最终以市场法确定</w:t>
      </w:r>
      <w:r>
        <w:rPr>
          <w:spacing w:val="-85"/>
        </w:rPr>
        <w:t> </w:t>
      </w:r>
      <w:r>
        <w:rPr>
          <w:spacing w:val="-85"/>
        </w:rPr>
      </w:r>
      <w:r>
        <w:rPr/>
        <w:t>上述房地产的评估价值（含增值税）为人民币</w:t>
      </w:r>
      <w:r>
        <w:rPr>
          <w:rFonts w:ascii="宋体" w:hAnsi="宋体" w:cs="宋体" w:eastAsia="宋体" w:hint="default"/>
        </w:rPr>
        <w:t>38,213.02</w:t>
      </w:r>
      <w:r>
        <w:rPr/>
        <w:t>万元。以评估价值为基准，房产转让双方确定本次房产转让价格为</w:t>
      </w:r>
      <w:r>
        <w:rPr>
          <w:spacing w:val="-86"/>
        </w:rPr>
        <w:t> </w:t>
      </w:r>
      <w:r>
        <w:rPr>
          <w:spacing w:val="-86"/>
        </w:rPr>
      </w:r>
      <w:r>
        <w:rPr/>
        <w:t>人民币</w:t>
      </w:r>
      <w:r>
        <w:rPr>
          <w:rFonts w:ascii="宋体" w:hAnsi="宋体" w:cs="宋体" w:eastAsia="宋体" w:hint="default"/>
        </w:rPr>
        <w:t>3.63</w:t>
      </w:r>
      <w:r>
        <w:rPr/>
        <w:t>亿元。</w:t>
      </w:r>
    </w:p>
    <w:p>
      <w:pPr>
        <w:pStyle w:val="BodyText"/>
        <w:spacing w:line="240" w:lineRule="auto" w:before="56"/>
        <w:ind w:right="1133"/>
        <w:jc w:val="left"/>
      </w:pPr>
      <w:r>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关于购置房产暨关联交易的公告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关于购置房产暨关联交易补充说明的公告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十六、重大合同及其履行情况" w:id="82"/>
      <w:bookmarkEnd w:id="82"/>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托管、承包、租赁事项情况" w:id="83"/>
      <w:bookmarkEnd w:id="8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托管情况" w:id="84"/>
      <w:bookmarkEnd w:id="8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2）承包情况" w:id="85"/>
      <w:bookmarkEnd w:id="8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3）租赁情况" w:id="86"/>
      <w:bookmarkEnd w:id="8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2、重大担保" w:id="87"/>
      <w:bookmarkEnd w:id="87"/>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公司报告期不存在担保情况。</w:t>
      </w:r>
    </w:p>
    <w:p>
      <w:pPr>
        <w:spacing w:line="240" w:lineRule="auto" w:before="6"/>
        <w:rPr>
          <w:rFonts w:ascii="宋体" w:hAnsi="宋体" w:cs="宋体" w:eastAsia="宋体" w:hint="default"/>
          <w:sz w:val="21"/>
          <w:szCs w:val="21"/>
        </w:rPr>
      </w:pPr>
    </w:p>
    <w:p>
      <w:pPr>
        <w:pStyle w:val="Heading3"/>
        <w:spacing w:line="240" w:lineRule="auto"/>
        <w:ind w:right="1133"/>
        <w:jc w:val="left"/>
        <w:rPr>
          <w:b w:val="0"/>
          <w:bCs w:val="0"/>
        </w:rPr>
      </w:pPr>
      <w:bookmarkStart w:name="3、委托他人进行现金资产管理情况" w:id="88"/>
      <w:bookmarkEnd w:id="88"/>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委托理财情况" w:id="89"/>
      <w:bookmarkEnd w:id="89"/>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公司报告期不存在委托理财。</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2）委托贷款情况" w:id="90"/>
      <w:bookmarkEnd w:id="90"/>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公司报告期不存在委托贷款。</w:t>
      </w:r>
    </w:p>
    <w:p>
      <w:pPr>
        <w:spacing w:line="240" w:lineRule="auto" w:before="6"/>
        <w:rPr>
          <w:rFonts w:ascii="宋体" w:hAnsi="宋体" w:cs="宋体" w:eastAsia="宋体" w:hint="default"/>
          <w:sz w:val="21"/>
          <w:szCs w:val="21"/>
        </w:rPr>
      </w:pPr>
    </w:p>
    <w:p>
      <w:pPr>
        <w:pStyle w:val="Heading3"/>
        <w:spacing w:line="240" w:lineRule="auto"/>
        <w:ind w:right="1133"/>
        <w:jc w:val="left"/>
        <w:rPr>
          <w:b w:val="0"/>
          <w:bCs w:val="0"/>
        </w:rPr>
      </w:pPr>
      <w:bookmarkStart w:name="4、其他重大合同" w:id="91"/>
      <w:bookmarkEnd w:id="91"/>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公司报告期不存在其他重大合同。</w:t>
      </w:r>
    </w:p>
    <w:p>
      <w:pPr>
        <w:spacing w:after="0" w:line="3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十七、社会责任情况" w:id="92"/>
      <w:bookmarkEnd w:id="92"/>
      <w:r>
        <w:rPr>
          <w:b w:val="0"/>
          <w:bCs w:val="0"/>
        </w:rPr>
      </w: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履行社会责任情况" w:id="93"/>
      <w:bookmarkEnd w:id="93"/>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4"/>
        <w:jc w:val="left"/>
      </w:pPr>
      <w:r>
        <w:rPr>
          <w:spacing w:val="-2"/>
        </w:rPr>
        <w:t>公司积极履行企业应尽的义务，承担社会责任。公司在不断为股东创造价值的同时，也积极承担对员工、客户、社会等其他</w:t>
      </w:r>
      <w:r>
        <w:rPr>
          <w:spacing w:val="-67"/>
        </w:rPr>
        <w:t> </w:t>
      </w:r>
      <w:r>
        <w:rPr>
          <w:spacing w:val="-67"/>
        </w:rPr>
      </w:r>
      <w:r>
        <w:rPr/>
        <w:t>利益相关者的责任。 </w:t>
      </w:r>
      <w:r>
        <w:rPr>
          <w:spacing w:val="-2"/>
        </w:rPr>
        <w:t>公司严格按照《公司法》、《深圳证券交易所创业板股票上市规则》、《上市公司信息披露管理办法》等相关法律法规的要</w:t>
      </w:r>
      <w:r>
        <w:rPr>
          <w:spacing w:val="-68"/>
        </w:rPr>
        <w:t> </w:t>
      </w:r>
      <w:r>
        <w:rPr>
          <w:spacing w:val="-68"/>
        </w:rPr>
      </w:r>
      <w:r>
        <w:rPr>
          <w:spacing w:val="-2"/>
        </w:rPr>
        <w:t>求，及时、准确、真实、完整地进行信息披露，通过投资者电话、电子邮箱、投资者关系互动平台和实地调研等多种方式与</w:t>
      </w:r>
      <w:r>
        <w:rPr>
          <w:spacing w:val="-71"/>
        </w:rPr>
        <w:t> </w:t>
      </w:r>
      <w:r>
        <w:rPr>
          <w:spacing w:val="-71"/>
        </w:rPr>
      </w:r>
      <w:r>
        <w:rPr>
          <w:spacing w:val="-2"/>
        </w:rPr>
        <w:t>投资者进行沟通交流，提高了公司的透明度和诚信度。公司非常重视对投资者的合理回报，制定了相对稳定的利润分配政策</w:t>
      </w:r>
      <w:r>
        <w:rPr>
          <w:spacing w:val="-63"/>
        </w:rPr>
        <w:t> </w:t>
      </w:r>
      <w:r>
        <w:rPr>
          <w:spacing w:val="-63"/>
        </w:rPr>
      </w:r>
      <w:r>
        <w:rPr>
          <w:spacing w:val="-2"/>
        </w:rPr>
        <w:t>和分红方案以回报股东。公司一直坚持以人为本的人才理念，实施企业人才战略，严格遵守《劳动法》、《劳动合同法》等</w:t>
      </w:r>
      <w:r>
        <w:rPr>
          <w:spacing w:val="-65"/>
        </w:rPr>
        <w:t> </w:t>
      </w:r>
      <w:r>
        <w:rPr>
          <w:spacing w:val="-65"/>
        </w:rPr>
      </w:r>
      <w:r>
        <w:rPr>
          <w:spacing w:val="-2"/>
        </w:rPr>
        <w:t>相关法律法规，尊重和维护员工的个人权益，通过优化员工工作环境、定期发放节日补助等方式切实关注员工健康、安全和</w:t>
      </w:r>
      <w:r>
        <w:rPr>
          <w:spacing w:val="-65"/>
        </w:rPr>
        <w:t> </w:t>
      </w:r>
      <w:r>
        <w:rPr>
          <w:spacing w:val="-65"/>
        </w:rPr>
      </w:r>
      <w:r>
        <w:rPr/>
        <w:t>满意度；以银江大学为平台，开展员工知识技能的理论培训及实践操作技能培训，使员工专业素质得到切实的提高和发展，</w:t>
      </w:r>
      <w:r>
        <w:rPr/>
        <w:t> 维护员工合法权益。 公司始终将依法经营作为公司运行的基本原则，注重企业经济效益与社会效益的同步共赢。公司严格遵守国家法律、法规、 政策的规定，始终依法经营，积极纳税，发展就业岗位，支持地方经济的发展。</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履行精准扶贫社会责任情况" w:id="94"/>
      <w:bookmarkEnd w:id="94"/>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环境保护相关的情况" w:id="95"/>
      <w:bookmarkEnd w:id="95"/>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不适用</w:t>
      </w:r>
    </w:p>
    <w:p>
      <w:pPr>
        <w:pStyle w:val="BodyText"/>
        <w:spacing w:line="240" w:lineRule="auto" w:before="25"/>
        <w:ind w:right="113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十八、其他重大事项的说明" w:id="96"/>
      <w:bookmarkEnd w:id="96"/>
      <w:r>
        <w:rPr>
          <w:b w:val="0"/>
          <w:bCs w:val="0"/>
        </w:rPr>
      </w: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319" w:lineRule="auto" w:before="103"/>
        <w:ind w:right="1119"/>
        <w:jc w:val="left"/>
      </w:pPr>
      <w:r>
        <w:rPr/>
        <w:t>（一）关于公司智慧城市总包项目进展情况 </w:t>
      </w:r>
      <w:r>
        <w:rPr>
          <w:spacing w:val="-2"/>
        </w:rPr>
        <w:t>截至本报告期末，公司先后与</w:t>
      </w:r>
      <w:r>
        <w:rPr>
          <w:rFonts w:ascii="宋体" w:hAnsi="宋体" w:cs="宋体" w:eastAsia="宋体" w:hint="default"/>
          <w:spacing w:val="-2"/>
        </w:rPr>
        <w:t>33</w:t>
      </w:r>
      <w:r>
        <w:rPr>
          <w:spacing w:val="-2"/>
        </w:rPr>
        <w:t>个地方政府签订了战略合作协议。战略框架合作协议签署后，公司在结合各个城市的政策法</w:t>
      </w:r>
      <w:r>
        <w:rPr>
          <w:spacing w:val="-62"/>
        </w:rPr>
        <w:t> </w:t>
      </w:r>
      <w:r>
        <w:rPr>
          <w:spacing w:val="-62"/>
        </w:rPr>
      </w:r>
      <w:r>
        <w:rPr>
          <w:spacing w:val="-2"/>
        </w:rPr>
        <w:t>规、具体项目和公司自身实际情况下，坚持质量优先、风险可控的原则，对于评估后风险较大的项目公司坚持宁缺毋滥原则</w:t>
      </w:r>
      <w:r>
        <w:rPr>
          <w:spacing w:val="-64"/>
        </w:rPr>
        <w:t> </w:t>
      </w:r>
      <w:r>
        <w:rPr>
          <w:spacing w:val="-64"/>
        </w:rPr>
      </w:r>
      <w:r>
        <w:rPr/>
        <w:t>审慎处理。 </w:t>
      </w:r>
      <w:r>
        <w:rPr>
          <w:spacing w:val="-2"/>
        </w:rPr>
        <w:t>公司城市大脑的相关软件平台亦在以上重点城市进行了布局应用，得益于样板城市的示范效应，公司已经在其它城市展开了</w:t>
      </w:r>
      <w:r>
        <w:rPr>
          <w:spacing w:val="-64"/>
        </w:rPr>
        <w:t> </w:t>
      </w:r>
      <w:r>
        <w:rPr>
          <w:spacing w:val="-64"/>
        </w:rPr>
      </w:r>
      <w:r>
        <w:rPr>
          <w:spacing w:val="-2"/>
        </w:rPr>
        <w:t>城市大脑的业务布局。目前，公司的杭州交通大脑、沈阳健康大脑、上海司法大脑运营情况良好，并得到了相关部门以及市</w:t>
      </w:r>
      <w:r>
        <w:rPr>
          <w:spacing w:val="-67"/>
        </w:rPr>
        <w:t> </w:t>
      </w:r>
      <w:r>
        <w:rPr>
          <w:spacing w:val="-67"/>
        </w:rPr>
      </w:r>
      <w:r>
        <w:rPr/>
        <w:t>民的认可。</w:t>
      </w:r>
    </w:p>
    <w:p>
      <w:pPr>
        <w:pStyle w:val="BodyText"/>
        <w:spacing w:line="316" w:lineRule="auto" w:before="17"/>
        <w:ind w:right="1039"/>
        <w:jc w:val="left"/>
      </w:pPr>
      <w:r>
        <w:rPr/>
        <w:t>（二）公司与浙商资管、李欣重大纠纷诉讼进展情况 </w:t>
      </w:r>
      <w:r>
        <w:rPr>
          <w:spacing w:val="-2"/>
        </w:rPr>
        <w:t>公司与浙江浙商证券资产管理有限公司、李欣确认合同无效纠纷一案，浙江省杭州市中级人民法院于</w:t>
      </w: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11</w:t>
      </w:r>
      <w:r>
        <w:rPr>
          <w:spacing w:val="-2"/>
        </w:rPr>
        <w:t>日立案后，</w:t>
      </w:r>
      <w:r>
        <w:rPr>
          <w:spacing w:val="-57"/>
        </w:rPr>
        <w:t> </w:t>
      </w:r>
      <w:r>
        <w:rPr>
          <w:spacing w:val="-57"/>
        </w:rPr>
      </w:r>
      <w:r>
        <w:rPr>
          <w:spacing w:val="-2"/>
        </w:rPr>
        <w:t>依法适用普通程序，于</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19</w:t>
      </w:r>
      <w:r>
        <w:rPr>
          <w:spacing w:val="-2"/>
        </w:rPr>
        <w:t>日公开开庭进行了审理。判决结果为驳回银江股份有限公司的诉讼请求。（具体内容详</w:t>
      </w:r>
      <w:r>
        <w:rPr>
          <w:spacing w:val="-60"/>
        </w:rPr>
        <w:t> </w:t>
      </w:r>
      <w:r>
        <w:rPr>
          <w:spacing w:val="-60"/>
        </w:rPr>
      </w:r>
      <w:r>
        <w:rPr/>
        <w:t>见公司于</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15</w:t>
      </w:r>
      <w:r>
        <w:rPr/>
        <w:t>日发布的《关于收到民事判决书的公告》（编号：</w:t>
      </w:r>
      <w:r>
        <w:rPr>
          <w:rFonts w:ascii="宋体" w:hAnsi="宋体" w:cs="宋体" w:eastAsia="宋体" w:hint="default"/>
        </w:rPr>
        <w:t>2019-006</w:t>
      </w:r>
      <w:r>
        <w:rPr/>
        <w:t>））。</w:t>
      </w:r>
      <w:r>
        <w:rPr>
          <w:rFonts w:ascii="宋体" w:hAnsi="宋体" w:cs="宋体" w:eastAsia="宋体" w:hint="default"/>
        </w:rPr>
        <w:t>2019</w:t>
      </w:r>
      <w:r>
        <w:rPr/>
        <w:t>年</w:t>
      </w:r>
      <w:r>
        <w:rPr>
          <w:rFonts w:ascii="宋体" w:hAnsi="宋体" w:cs="宋体" w:eastAsia="宋体" w:hint="default"/>
        </w:rPr>
        <w:t>2</w:t>
      </w:r>
      <w:r>
        <w:rPr/>
        <w:t>月，公司对一审判决不服， </w:t>
      </w:r>
      <w:r>
        <w:rPr>
          <w:spacing w:val="-2"/>
        </w:rPr>
        <w:t>向浙江省高级人民法院提起上诉。该上诉案件已由二审法院浙江省高级人民法院立案受理，目前该案正在二审审理之中，判</w:t>
      </w:r>
      <w:r>
        <w:rPr>
          <w:spacing w:val="-63"/>
        </w:rPr>
        <w:t> </w:t>
      </w:r>
      <w:r>
        <w:rPr>
          <w:spacing w:val="-63"/>
        </w:rPr>
      </w:r>
      <w:r>
        <w:rPr/>
        <w:t>决审理结果存在不确定性。</w:t>
      </w:r>
    </w:p>
    <w:p>
      <w:pPr>
        <w:pStyle w:val="BodyText"/>
        <w:spacing w:line="316" w:lineRule="auto" w:before="19"/>
        <w:ind w:right="1127"/>
        <w:jc w:val="left"/>
        <w:rPr>
          <w:rFonts w:ascii="宋体" w:hAnsi="宋体" w:cs="宋体" w:eastAsia="宋体" w:hint="default"/>
        </w:rPr>
      </w:pPr>
      <w:r>
        <w:rPr/>
        <w:t>（三）关于章丘市智慧城市视屏监控“天网”工程</w:t>
      </w:r>
      <w:r>
        <w:rPr>
          <w:rFonts w:ascii="宋体" w:hAnsi="宋体" w:cs="宋体" w:eastAsia="宋体" w:hint="default"/>
        </w:rPr>
        <w:t>PPP</w:t>
      </w:r>
      <w:r>
        <w:rPr/>
        <w:t>项目实施进展情况 </w:t>
      </w:r>
      <w:r>
        <w:rPr>
          <w:rFonts w:ascii="宋体" w:hAnsi="宋体" w:cs="宋体" w:eastAsia="宋体" w:hint="default"/>
          <w:spacing w:val="-3"/>
        </w:rPr>
        <w:t>2017</w:t>
      </w:r>
      <w:r>
        <w:rPr>
          <w:spacing w:val="-3"/>
        </w:rPr>
        <w:t>年</w:t>
      </w:r>
      <w:r>
        <w:rPr>
          <w:rFonts w:ascii="宋体" w:hAnsi="宋体" w:cs="宋体" w:eastAsia="宋体" w:hint="default"/>
          <w:spacing w:val="-3"/>
        </w:rPr>
        <w:t>1</w:t>
      </w:r>
      <w:r>
        <w:rPr>
          <w:spacing w:val="-3"/>
        </w:rPr>
        <w:t>月，公司与章丘市公安局签订了《章丘市智慧城市视频监控“天网”工程</w:t>
      </w:r>
      <w:r>
        <w:rPr>
          <w:rFonts w:ascii="宋体" w:hAnsi="宋体" w:cs="宋体" w:eastAsia="宋体" w:hint="default"/>
          <w:spacing w:val="-3"/>
        </w:rPr>
        <w:t>PPP</w:t>
      </w:r>
      <w:r>
        <w:rPr>
          <w:spacing w:val="-3"/>
        </w:rPr>
        <w:t>项目合同》，项目总投资为人民币</w:t>
      </w:r>
      <w:r>
        <w:rPr>
          <w:rFonts w:ascii="宋体" w:hAnsi="宋体" w:cs="宋体" w:eastAsia="宋体" w:hint="default"/>
          <w:spacing w:val="-3"/>
        </w:rPr>
        <w:t>9,598</w:t>
      </w:r>
    </w:p>
    <w:p>
      <w:pPr>
        <w:spacing w:after="0" w:line="316" w:lineRule="auto"/>
        <w:jc w:val="left"/>
        <w:rPr>
          <w:rFonts w:ascii="宋体" w:hAnsi="宋体" w:cs="宋体" w:eastAsia="宋体" w:hint="default"/>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4"/>
        <w:jc w:val="left"/>
      </w:pPr>
      <w:r>
        <w:rPr/>
        <w:t>万元。</w:t>
      </w:r>
      <w:r>
        <w:rPr>
          <w:rFonts w:ascii="宋体" w:hAnsi="宋体" w:cs="宋体" w:eastAsia="宋体" w:hint="default"/>
        </w:rPr>
        <w:t>2017</w:t>
      </w:r>
      <w:r>
        <w:rPr/>
        <w:t>年</w:t>
      </w:r>
      <w:r>
        <w:rPr>
          <w:rFonts w:ascii="宋体" w:hAnsi="宋体" w:cs="宋体" w:eastAsia="宋体" w:hint="default"/>
        </w:rPr>
        <w:t>3</w:t>
      </w:r>
      <w:r>
        <w:rPr/>
        <w:t>月，根据</w:t>
      </w:r>
      <w:r>
        <w:rPr>
          <w:rFonts w:ascii="宋体" w:hAnsi="宋体" w:cs="宋体" w:eastAsia="宋体" w:hint="default"/>
        </w:rPr>
        <w:t>PPP</w:t>
      </w:r>
      <w:r>
        <w:rPr/>
        <w:t>合同约定，注册成立项目公司。目前，该</w:t>
      </w:r>
      <w:r>
        <w:rPr>
          <w:rFonts w:ascii="宋体" w:hAnsi="宋体" w:cs="宋体" w:eastAsia="宋体" w:hint="default"/>
        </w:rPr>
        <w:t>PPP</w:t>
      </w:r>
      <w:r>
        <w:rPr/>
        <w:t>项目已全部完成，并交付业主单位使用，目前按照 合同条款有序执行。</w:t>
      </w:r>
    </w:p>
    <w:p>
      <w:pPr>
        <w:pStyle w:val="BodyText"/>
        <w:spacing w:line="316" w:lineRule="auto" w:before="17"/>
        <w:ind w:right="1128"/>
        <w:jc w:val="left"/>
      </w:pPr>
      <w:r>
        <w:rPr/>
        <w:t>（四）关于沈阳市区域人口健康信息平台</w:t>
      </w:r>
      <w:r>
        <w:rPr>
          <w:rFonts w:ascii="宋体" w:hAnsi="宋体" w:cs="宋体" w:eastAsia="宋体" w:hint="default"/>
        </w:rPr>
        <w:t>PPP</w:t>
      </w:r>
      <w:r>
        <w:rPr/>
        <w:t>项目实施进展情况 </w:t>
      </w: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14</w:t>
      </w:r>
      <w:r>
        <w:rPr>
          <w:spacing w:val="-2"/>
        </w:rPr>
        <w:t>日在巨潮资讯网发布了《关于收到</w:t>
      </w:r>
      <w:r>
        <w:rPr>
          <w:rFonts w:ascii="宋体" w:hAnsi="宋体" w:cs="宋体" w:eastAsia="宋体" w:hint="default"/>
          <w:spacing w:val="-2"/>
        </w:rPr>
        <w:t>PPP</w:t>
      </w:r>
      <w:r>
        <w:rPr>
          <w:spacing w:val="-2"/>
        </w:rPr>
        <w:t>项目成交通知书的公告》（公告编号：</w:t>
      </w:r>
      <w:r>
        <w:rPr>
          <w:rFonts w:ascii="宋体" w:hAnsi="宋体" w:cs="宋体" w:eastAsia="宋体" w:hint="default"/>
          <w:spacing w:val="-2"/>
        </w:rPr>
        <w:t>2017-011</w:t>
      </w:r>
      <w:r>
        <w:rPr>
          <w:spacing w:val="-2"/>
        </w:rPr>
        <w:t>），公司与中国联</w:t>
      </w:r>
      <w:r>
        <w:rPr>
          <w:spacing w:val="-52"/>
        </w:rPr>
        <w:t> </w:t>
      </w:r>
      <w:r>
        <w:rPr>
          <w:spacing w:val="-52"/>
        </w:rPr>
      </w:r>
      <w:r>
        <w:rPr/>
        <w:t>合网络通信有限公司沈阳市分公司被确定为沈阳市区域人口健康信息平台</w:t>
      </w:r>
      <w:r>
        <w:rPr>
          <w:rFonts w:ascii="宋体" w:hAnsi="宋体" w:cs="宋体" w:eastAsia="宋体" w:hint="default"/>
        </w:rPr>
        <w:t>PPP</w:t>
      </w:r>
      <w:r>
        <w:rPr/>
        <w:t>项目（项目编号</w:t>
      </w:r>
      <w:r>
        <w:rPr>
          <w:rFonts w:ascii="宋体" w:hAnsi="宋体" w:cs="宋体" w:eastAsia="宋体" w:hint="default"/>
        </w:rPr>
        <w:t>CG16-00-1285</w:t>
      </w:r>
      <w:r>
        <w:rPr/>
        <w:t>）的成交社会资 本，其中公司为该项目的联合体牵头方，中国联合网络通信有限公司沈阳市分公司为联合体成员。</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29</w:t>
      </w:r>
      <w:r>
        <w:rPr/>
        <w:t>日，采购人 沈阳市卫生和计划生育委员会与上述联合体就沈阳市区域人口健康信息平台</w:t>
      </w:r>
      <w:r>
        <w:rPr>
          <w:rFonts w:ascii="宋体" w:hAnsi="宋体" w:cs="宋体" w:eastAsia="宋体" w:hint="default"/>
        </w:rPr>
        <w:t>PPP</w:t>
      </w:r>
      <w:r>
        <w:rPr/>
        <w:t>项目签署了《政府采购合同》，具体内容详 见公司于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30</w:t>
      </w:r>
      <w:r>
        <w:rPr/>
        <w:t>日在巨潮资讯网披露的《关于签署</w:t>
      </w:r>
      <w:r>
        <w:rPr>
          <w:rFonts w:ascii="宋体" w:hAnsi="宋体" w:cs="宋体" w:eastAsia="宋体" w:hint="default"/>
        </w:rPr>
        <w:t>PPP</w:t>
      </w:r>
      <w:r>
        <w:rPr/>
        <w:t>项目合同的公告》（公告编号：</w:t>
      </w:r>
      <w:r>
        <w:rPr>
          <w:rFonts w:ascii="宋体" w:hAnsi="宋体" w:cs="宋体" w:eastAsia="宋体" w:hint="default"/>
        </w:rPr>
        <w:t>2017-065</w:t>
      </w:r>
      <w:r>
        <w:rPr/>
        <w:t>）。</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11</w:t>
      </w:r>
      <w:r>
        <w:rPr/>
        <w:t>项目 </w:t>
      </w:r>
      <w:r>
        <w:rPr>
          <w:spacing w:val="-2"/>
        </w:rPr>
        <w:t>公司沈阳智享大健康信息科技有限公司注册成立。经过近两年的建设，目前该项目己完成初验，并于</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月正式投入使</w:t>
      </w:r>
      <w:r>
        <w:rPr>
          <w:spacing w:val="-59"/>
        </w:rPr>
        <w:t> </w:t>
      </w:r>
      <w:r>
        <w:rPr>
          <w:spacing w:val="-59"/>
        </w:rPr>
      </w:r>
      <w:r>
        <w:rPr/>
        <w:t>用，等待进一步终验。</w:t>
      </w:r>
    </w:p>
    <w:p>
      <w:pPr>
        <w:pStyle w:val="BodyText"/>
        <w:spacing w:line="319" w:lineRule="auto" w:before="19"/>
        <w:ind w:right="1042"/>
        <w:jc w:val="left"/>
      </w:pPr>
      <w:r>
        <w:rPr/>
        <w:t>（五）关于世界银行贷款焦作绿色交通及交通安全综合改善项目</w:t>
      </w:r>
      <w:r>
        <w:rPr>
          <w:rFonts w:ascii="宋体" w:hAnsi="宋体" w:cs="宋体" w:eastAsia="宋体" w:hint="default"/>
        </w:rPr>
        <w:t>-</w:t>
      </w:r>
      <w:r>
        <w:rPr/>
        <w:t>智能交通系统建设项目实施进展情况 公司于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6</w:t>
      </w:r>
      <w:r>
        <w:rPr/>
        <w:t>日在巨潮资讯网发布了《关于收到</w:t>
      </w:r>
      <w:r>
        <w:rPr>
          <w:rFonts w:ascii="宋体" w:hAnsi="宋体" w:cs="宋体" w:eastAsia="宋体" w:hint="default"/>
        </w:rPr>
        <w:t>&lt;</w:t>
      </w:r>
      <w:r>
        <w:rPr/>
        <w:t>中标通知书</w:t>
      </w:r>
      <w:r>
        <w:rPr>
          <w:rFonts w:ascii="宋体" w:hAnsi="宋体" w:cs="宋体" w:eastAsia="宋体" w:hint="default"/>
        </w:rPr>
        <w:t>&gt;</w:t>
      </w:r>
      <w:r>
        <w:rPr/>
        <w:t>的公告》（公告编号：</w:t>
      </w:r>
      <w:r>
        <w:rPr>
          <w:rFonts w:ascii="宋体" w:hAnsi="宋体" w:cs="宋体" w:eastAsia="宋体" w:hint="default"/>
        </w:rPr>
        <w:t>2017-114</w:t>
      </w:r>
      <w:r>
        <w:rPr/>
        <w:t>），公司中标“世界银 </w:t>
      </w:r>
      <w:r>
        <w:rPr>
          <w:spacing w:val="-3"/>
        </w:rPr>
        <w:t>行贷款焦作绿色交通及交通安全综合改善项目</w:t>
      </w:r>
      <w:r>
        <w:rPr>
          <w:rFonts w:ascii="宋体" w:hAnsi="宋体" w:cs="宋体" w:eastAsia="宋体" w:hint="default"/>
          <w:spacing w:val="-3"/>
        </w:rPr>
        <w:t>-</w:t>
      </w:r>
      <w:r>
        <w:rPr>
          <w:spacing w:val="-3"/>
        </w:rPr>
        <w:t>智能交通系统建设”项目。</w:t>
      </w:r>
      <w:r>
        <w:rPr>
          <w:rFonts w:ascii="宋体" w:hAnsi="宋体" w:cs="宋体" w:eastAsia="宋体" w:hint="default"/>
          <w:spacing w:val="-3"/>
        </w:rPr>
        <w:t>2017</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28</w:t>
      </w:r>
      <w:r>
        <w:rPr>
          <w:spacing w:val="-3"/>
        </w:rPr>
        <w:t>日，公司与焦作市公安局签订了《世</w:t>
      </w:r>
      <w:r>
        <w:rPr/>
        <w:t> </w:t>
      </w:r>
      <w:r>
        <w:rPr>
          <w:spacing w:val="-2"/>
        </w:rPr>
        <w:t>界银行贷款焦作绿色交通及交通安全综合改善项目智能交通系统建设项目合同》，合同金额为人民币</w:t>
      </w:r>
      <w:r>
        <w:rPr>
          <w:rFonts w:ascii="宋体" w:hAnsi="宋体" w:cs="宋体" w:eastAsia="宋体" w:hint="default"/>
          <w:spacing w:val="-2"/>
        </w:rPr>
        <w:t>15,386.43</w:t>
      </w:r>
      <w:r>
        <w:rPr>
          <w:spacing w:val="-2"/>
        </w:rPr>
        <w:t>万元。目前，</w:t>
      </w:r>
      <w:r>
        <w:rPr>
          <w:spacing w:val="-61"/>
        </w:rPr>
        <w:t> </w:t>
      </w:r>
      <w:r>
        <w:rPr>
          <w:spacing w:val="-61"/>
        </w:rPr>
      </w:r>
      <w:r>
        <w:rPr/>
        <w:t>该项目已完成过半实施。</w:t>
      </w:r>
    </w:p>
    <w:p>
      <w:pPr>
        <w:pStyle w:val="BodyText"/>
        <w:spacing w:line="316" w:lineRule="auto" w:before="17"/>
        <w:ind w:right="1042"/>
        <w:jc w:val="left"/>
      </w:pPr>
      <w:r>
        <w:rPr/>
        <w:t>（六）关于发起设立大爱人寿保险股份有限公司（筹）的进展情况 </w:t>
      </w:r>
      <w:r>
        <w:rPr>
          <w:spacing w:val="-2"/>
        </w:rPr>
        <w:t>公司分别于</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6</w:t>
      </w:r>
      <w:r>
        <w:rPr>
          <w:spacing w:val="-2"/>
        </w:rPr>
        <w:t>日和</w:t>
      </w:r>
      <w:r>
        <w:rPr>
          <w:rFonts w:ascii="宋体" w:hAnsi="宋体" w:cs="宋体" w:eastAsia="宋体" w:hint="default"/>
          <w:spacing w:val="-2"/>
        </w:rPr>
        <w:t>2016</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10</w:t>
      </w:r>
      <w:r>
        <w:rPr>
          <w:spacing w:val="-2"/>
        </w:rPr>
        <w:t>日召开了第三届董事会第二十一次会议和</w:t>
      </w:r>
      <w:r>
        <w:rPr>
          <w:rFonts w:ascii="宋体" w:hAnsi="宋体" w:cs="宋体" w:eastAsia="宋体" w:hint="default"/>
          <w:spacing w:val="-2"/>
        </w:rPr>
        <w:t>2015</w:t>
      </w:r>
      <w:r>
        <w:rPr>
          <w:spacing w:val="-2"/>
        </w:rPr>
        <w:t>年度股东大会，审议通过了《关于参</w:t>
      </w:r>
      <w:r>
        <w:rPr>
          <w:spacing w:val="-52"/>
        </w:rPr>
        <w:t> </w:t>
      </w:r>
      <w:r>
        <w:rPr>
          <w:spacing w:val="-52"/>
        </w:rPr>
      </w:r>
      <w:r>
        <w:rPr>
          <w:spacing w:val="-4"/>
        </w:rPr>
        <w:t>与发起设立大爱人寿保险股份有限公司的议案》，同意出资不超过</w:t>
      </w:r>
      <w:r>
        <w:rPr>
          <w:rFonts w:ascii="宋体" w:hAnsi="宋体" w:cs="宋体" w:eastAsia="宋体" w:hint="default"/>
          <w:spacing w:val="-4"/>
        </w:rPr>
        <w:t>4</w:t>
      </w:r>
      <w:r>
        <w:rPr>
          <w:spacing w:val="-4"/>
        </w:rPr>
        <w:t>亿元</w:t>
      </w:r>
      <w:r>
        <w:rPr>
          <w:rFonts w:ascii="宋体" w:hAnsi="宋体" w:cs="宋体" w:eastAsia="宋体" w:hint="default"/>
          <w:spacing w:val="-4"/>
        </w:rPr>
        <w:t>(</w:t>
      </w:r>
      <w:r>
        <w:rPr>
          <w:spacing w:val="-4"/>
        </w:rPr>
        <w:t>含</w:t>
      </w:r>
      <w:r>
        <w:rPr>
          <w:rFonts w:ascii="宋体" w:hAnsi="宋体" w:cs="宋体" w:eastAsia="宋体" w:hint="default"/>
          <w:spacing w:val="-4"/>
        </w:rPr>
        <w:t>4</w:t>
      </w:r>
      <w:r>
        <w:rPr>
          <w:spacing w:val="-4"/>
        </w:rPr>
        <w:t>亿元</w:t>
      </w:r>
      <w:r>
        <w:rPr>
          <w:rFonts w:ascii="宋体" w:hAnsi="宋体" w:cs="宋体" w:eastAsia="宋体" w:hint="default"/>
          <w:spacing w:val="-4"/>
        </w:rPr>
        <w:t>)</w:t>
      </w:r>
      <w:r>
        <w:rPr>
          <w:spacing w:val="-4"/>
        </w:rPr>
        <w:t>参与发起设立大爱人寿保险股份有限公司，</w:t>
      </w:r>
      <w:r>
        <w:rPr>
          <w:spacing w:val="-37"/>
        </w:rPr>
        <w:t> </w:t>
      </w:r>
      <w:r>
        <w:rPr>
          <w:spacing w:val="-37"/>
        </w:rPr>
      </w:r>
      <w:r>
        <w:rPr>
          <w:spacing w:val="-2"/>
        </w:rPr>
        <w:t>占其注册资本的</w:t>
      </w:r>
      <w:r>
        <w:rPr>
          <w:rFonts w:ascii="宋体" w:hAnsi="宋体" w:cs="宋体" w:eastAsia="宋体" w:hint="default"/>
          <w:spacing w:val="-2"/>
        </w:rPr>
        <w:t>20%</w:t>
      </w:r>
      <w:r>
        <w:rPr>
          <w:spacing w:val="-2"/>
        </w:rPr>
        <w:t>。具体内容详见公司</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7</w:t>
      </w:r>
      <w:r>
        <w:rPr>
          <w:spacing w:val="-2"/>
        </w:rPr>
        <w:t>日于巨潮资讯网发布的《关于参与发起设立大爱人寿保险股份有限公司</w:t>
      </w:r>
      <w:r>
        <w:rPr>
          <w:spacing w:val="-59"/>
        </w:rPr>
        <w:t> </w:t>
      </w:r>
      <w:r>
        <w:rPr>
          <w:spacing w:val="-59"/>
        </w:rPr>
      </w:r>
      <w:r>
        <w:rPr/>
        <w:t>的公告》（公告编号：</w:t>
      </w:r>
      <w:r>
        <w:rPr>
          <w:rFonts w:ascii="宋体" w:hAnsi="宋体" w:cs="宋体" w:eastAsia="宋体" w:hint="default"/>
        </w:rPr>
        <w:t>2015-140</w:t>
      </w:r>
      <w:r>
        <w:rPr/>
        <w:t>）。公司于</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22</w:t>
      </w:r>
      <w:r>
        <w:rPr/>
        <w:t>日召开第五届董事会第三次会议审议通过了《关于终止参与发起设 立大爱人寿保险股份有限公司的议案》，决定终止对大爱人寿的投资事宜。具体内容详见公司</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24</w:t>
      </w:r>
      <w:r>
        <w:rPr/>
        <w:t>日于巨潮资讯网 发布的《关于终止参与发起设立大爱人寿保险股份有限公司的公告》（公告编号：</w:t>
      </w:r>
      <w:r>
        <w:rPr>
          <w:rFonts w:ascii="宋体" w:hAnsi="宋体" w:cs="宋体" w:eastAsia="宋体" w:hint="default"/>
        </w:rPr>
        <w:t>2020-026</w:t>
      </w:r>
      <w:r>
        <w:rPr/>
        <w:t>）。</w:t>
      </w:r>
    </w:p>
    <w:p>
      <w:pPr>
        <w:pStyle w:val="BodyText"/>
        <w:spacing w:line="319" w:lineRule="auto" w:before="19"/>
        <w:ind w:right="1129"/>
        <w:jc w:val="left"/>
      </w:pPr>
      <w:r>
        <w:rPr/>
        <w:t>（七）关于云南省华坪至丽江高速公路</w:t>
      </w:r>
      <w:r>
        <w:rPr>
          <w:rFonts w:ascii="宋体" w:hAnsi="宋体" w:cs="宋体" w:eastAsia="宋体" w:hint="default"/>
        </w:rPr>
        <w:t>K0+000-K89+510</w:t>
      </w:r>
      <w:r>
        <w:rPr/>
        <w:t>段机电工程施工</w:t>
      </w:r>
      <w:r>
        <w:rPr>
          <w:rFonts w:ascii="宋体" w:hAnsi="宋体" w:cs="宋体" w:eastAsia="宋体" w:hint="default"/>
        </w:rPr>
        <w:t>DJ2</w:t>
      </w:r>
      <w:r>
        <w:rPr/>
        <w:t>标段项目实施进展情况 公司于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23</w:t>
      </w:r>
      <w:r>
        <w:rPr/>
        <w:t>日在巨潮资讯网发布了《关于收到</w:t>
      </w:r>
      <w:r>
        <w:rPr>
          <w:rFonts w:ascii="宋体" w:hAnsi="宋体" w:cs="宋体" w:eastAsia="宋体" w:hint="default"/>
        </w:rPr>
        <w:t>&lt;</w:t>
      </w:r>
      <w:r>
        <w:rPr/>
        <w:t>中标通知书</w:t>
      </w:r>
      <w:r>
        <w:rPr>
          <w:rFonts w:ascii="宋体" w:hAnsi="宋体" w:cs="宋体" w:eastAsia="宋体" w:hint="default"/>
        </w:rPr>
        <w:t>&gt;</w:t>
      </w:r>
      <w:r>
        <w:rPr/>
        <w:t>的公告》</w:t>
      </w:r>
      <w:r>
        <w:rPr>
          <w:rFonts w:ascii="宋体" w:hAnsi="宋体" w:cs="宋体" w:eastAsia="宋体" w:hint="default"/>
        </w:rPr>
        <w:t>(</w:t>
      </w:r>
      <w:r>
        <w:rPr/>
        <w:t>公告编号：</w:t>
      </w:r>
      <w:r>
        <w:rPr>
          <w:rFonts w:ascii="宋体" w:hAnsi="宋体" w:cs="宋体" w:eastAsia="宋体" w:hint="default"/>
        </w:rPr>
        <w:t>2018-058)</w:t>
      </w:r>
      <w:r>
        <w:rPr/>
        <w:t>公司中标“云南省华坪 </w:t>
      </w:r>
      <w:r>
        <w:rPr>
          <w:spacing w:val="-2"/>
        </w:rPr>
        <w:t>至丽江高速公路</w:t>
      </w:r>
      <w:r>
        <w:rPr>
          <w:rFonts w:ascii="宋体" w:hAnsi="宋体" w:cs="宋体" w:eastAsia="宋体" w:hint="default"/>
          <w:spacing w:val="-2"/>
        </w:rPr>
        <w:t>K0+000-K89+510</w:t>
      </w:r>
      <w:r>
        <w:rPr>
          <w:spacing w:val="-2"/>
        </w:rPr>
        <w:t>段机电工程施工</w:t>
      </w:r>
      <w:r>
        <w:rPr>
          <w:rFonts w:ascii="宋体" w:hAnsi="宋体" w:cs="宋体" w:eastAsia="宋体" w:hint="default"/>
          <w:spacing w:val="-2"/>
        </w:rPr>
        <w:t>DJ2</w:t>
      </w:r>
      <w:r>
        <w:rPr>
          <w:spacing w:val="-2"/>
        </w:rPr>
        <w:t>标段”项目。</w:t>
      </w: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月，公司与中国建筑股份有限公司云南华丽高速公</w:t>
      </w:r>
      <w:r>
        <w:rPr>
          <w:spacing w:val="-52"/>
        </w:rPr>
        <w:t> </w:t>
      </w:r>
      <w:r>
        <w:rPr>
          <w:spacing w:val="-52"/>
        </w:rPr>
      </w:r>
      <w:r>
        <w:rPr/>
        <w:t>路建设指挥部签订了《云南省华坪至丽江高速公路</w:t>
      </w:r>
      <w:r>
        <w:rPr>
          <w:rFonts w:ascii="宋体" w:hAnsi="宋体" w:cs="宋体" w:eastAsia="宋体" w:hint="default"/>
        </w:rPr>
        <w:t>K0+000-K89+510</w:t>
      </w:r>
      <w:r>
        <w:rPr/>
        <w:t>段机电工程施工</w:t>
      </w:r>
      <w:r>
        <w:rPr>
          <w:rFonts w:ascii="宋体" w:hAnsi="宋体" w:cs="宋体" w:eastAsia="宋体" w:hint="default"/>
        </w:rPr>
        <w:t>DJ2</w:t>
      </w:r>
      <w:r>
        <w:rPr/>
        <w:t>标段项目合同》，合同金额为人民币 </w:t>
      </w:r>
      <w:r>
        <w:rPr>
          <w:rFonts w:ascii="宋体" w:hAnsi="宋体" w:cs="宋体" w:eastAsia="宋体" w:hint="default"/>
        </w:rPr>
        <w:t>27,580</w:t>
      </w:r>
      <w:r>
        <w:rPr/>
        <w:t>万元。目前，该项目处于初步实施阶段。</w:t>
      </w:r>
    </w:p>
    <w:p>
      <w:pPr>
        <w:pStyle w:val="BodyText"/>
        <w:spacing w:line="316" w:lineRule="auto" w:before="17"/>
        <w:ind w:right="1043"/>
        <w:jc w:val="left"/>
      </w:pPr>
      <w:r>
        <w:rPr/>
        <w:t>（八）关于购买房产暨关联交易的进展情况 </w:t>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9</w:t>
      </w:r>
      <w:r>
        <w:rPr>
          <w:spacing w:val="-2"/>
        </w:rPr>
        <w:t>日在巨潮资讯网发布了《关于购买房产暨关联交易的公告》（公告编号：</w:t>
      </w:r>
      <w:r>
        <w:rPr>
          <w:rFonts w:ascii="宋体" w:hAnsi="宋体" w:cs="宋体" w:eastAsia="宋体" w:hint="default"/>
          <w:spacing w:val="-2"/>
        </w:rPr>
        <w:t>2018-005</w:t>
      </w:r>
      <w:r>
        <w:rPr>
          <w:spacing w:val="-2"/>
        </w:rPr>
        <w:t>），公司与智谷创业园</w:t>
      </w:r>
      <w:r>
        <w:rPr>
          <w:spacing w:val="-58"/>
        </w:rPr>
        <w:t> </w:t>
      </w:r>
      <w:r>
        <w:rPr>
          <w:spacing w:val="-58"/>
        </w:rPr>
      </w:r>
      <w:r>
        <w:rPr>
          <w:spacing w:val="-3"/>
        </w:rPr>
        <w:t>有限公司签署了《中国智谷</w:t>
      </w:r>
      <w:r>
        <w:rPr>
          <w:rFonts w:ascii="Times New Roman" w:hAnsi="Times New Roman" w:cs="Times New Roman" w:eastAsia="Times New Roman" w:hint="default"/>
          <w:spacing w:val="-3"/>
        </w:rPr>
        <w:t>•</w:t>
      </w:r>
      <w:r>
        <w:rPr>
          <w:spacing w:val="-3"/>
        </w:rPr>
        <w:t>富春园区预转让协议》；</w:t>
      </w:r>
      <w:r>
        <w:rPr>
          <w:rFonts w:ascii="宋体" w:hAnsi="宋体" w:cs="宋体" w:eastAsia="宋体" w:hint="default"/>
          <w:spacing w:val="-3"/>
        </w:rPr>
        <w:t>2018</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30</w:t>
      </w:r>
      <w:r>
        <w:rPr>
          <w:spacing w:val="-3"/>
        </w:rPr>
        <w:t>日在巨潮资讯网发布了《关于购买房产暨关联交易的公告》</w:t>
      </w:r>
    </w:p>
    <w:p>
      <w:pPr>
        <w:pStyle w:val="BodyText"/>
        <w:spacing w:line="316" w:lineRule="auto"/>
        <w:ind w:right="1131"/>
        <w:jc w:val="left"/>
      </w:pPr>
      <w:r>
        <w:rPr>
          <w:spacing w:val="-2"/>
        </w:rPr>
        <w:t>（公告编号：</w:t>
      </w:r>
      <w:r>
        <w:rPr>
          <w:rFonts w:ascii="宋体" w:hAnsi="宋体" w:cs="宋体" w:eastAsia="宋体" w:hint="default"/>
          <w:spacing w:val="-2"/>
        </w:rPr>
        <w:t>2018-018</w:t>
      </w:r>
      <w:r>
        <w:rPr>
          <w:spacing w:val="-2"/>
        </w:rPr>
        <w:t>），公司与智谷创业园有限公司签署了《</w:t>
      </w:r>
      <w:r>
        <w:rPr>
          <w:rFonts w:ascii="宋体" w:hAnsi="宋体" w:cs="宋体" w:eastAsia="宋体" w:hint="default"/>
          <w:spacing w:val="-2"/>
        </w:rPr>
        <w:t>&lt;</w:t>
      </w:r>
      <w:r>
        <w:rPr>
          <w:spacing w:val="-2"/>
        </w:rPr>
        <w:t>中国智谷·富春园区预转让协议</w:t>
      </w:r>
      <w:r>
        <w:rPr>
          <w:rFonts w:ascii="宋体" w:hAnsi="宋体" w:cs="宋体" w:eastAsia="宋体" w:hint="default"/>
          <w:spacing w:val="-2"/>
        </w:rPr>
        <w:t>&gt;</w:t>
      </w:r>
      <w:r>
        <w:rPr>
          <w:spacing w:val="-2"/>
        </w:rPr>
        <w:t>补充协议》，相关议案已</w:t>
      </w:r>
      <w:r>
        <w:rPr>
          <w:spacing w:val="-63"/>
        </w:rPr>
        <w:t> </w:t>
      </w:r>
      <w:r>
        <w:rPr>
          <w:spacing w:val="-63"/>
        </w:rPr>
      </w:r>
      <w:r>
        <w:rPr>
          <w:spacing w:val="-2"/>
        </w:rPr>
        <w:t>经公司</w:t>
      </w:r>
      <w:r>
        <w:rPr>
          <w:rFonts w:ascii="宋体" w:hAnsi="宋体" w:cs="宋体" w:eastAsia="宋体" w:hint="default"/>
          <w:spacing w:val="-2"/>
        </w:rPr>
        <w:t>2018</w:t>
      </w:r>
      <w:r>
        <w:rPr>
          <w:spacing w:val="-2"/>
        </w:rPr>
        <w:t>年第一次临时股东大会审议通过。</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月，智谷公司向公司出具《中国智谷</w:t>
      </w:r>
      <w:r>
        <w:rPr>
          <w:rFonts w:ascii="Times New Roman" w:hAnsi="Times New Roman" w:cs="Times New Roman" w:eastAsia="Times New Roman" w:hint="default"/>
          <w:spacing w:val="-2"/>
        </w:rPr>
        <w:t>•</w:t>
      </w:r>
      <w:r>
        <w:rPr>
          <w:spacing w:val="-2"/>
        </w:rPr>
        <w:t>富春园区写字楼交付通知书》以</w:t>
      </w:r>
      <w:r>
        <w:rPr>
          <w:spacing w:val="-33"/>
        </w:rPr>
        <w:t> </w:t>
      </w:r>
      <w:r>
        <w:rPr>
          <w:spacing w:val="-33"/>
        </w:rPr>
      </w:r>
      <w:r>
        <w:rPr/>
        <w:t>及由杭州三方建设集团有限公司出具的《中国智谷富阳园区项目竣工验收报告第三标段（</w:t>
      </w:r>
      <w:r>
        <w:rPr>
          <w:rFonts w:ascii="宋体" w:hAnsi="宋体" w:cs="宋体" w:eastAsia="宋体" w:hint="default"/>
        </w:rPr>
        <w:t>11#-14#</w:t>
      </w:r>
      <w:r>
        <w:rPr/>
        <w:t>楼）》，已按合同约定时 间将符合合同约定的房屋交付给银江股份使用。（具体内容详见公司于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29</w:t>
      </w:r>
      <w:r>
        <w:rPr/>
        <w:t>日在巨潮资讯网上发布的《关于购买房 产暨关联交易进展公告》</w:t>
      </w:r>
      <w:r>
        <w:rPr>
          <w:rFonts w:ascii="宋体" w:hAnsi="宋体" w:cs="宋体" w:eastAsia="宋体" w:hint="default"/>
        </w:rPr>
        <w:t>(</w:t>
      </w:r>
      <w:r>
        <w:rPr/>
        <w:t>公告编号：</w:t>
      </w:r>
      <w:r>
        <w:rPr>
          <w:rFonts w:ascii="宋体" w:hAnsi="宋体" w:cs="宋体" w:eastAsia="宋体" w:hint="default"/>
        </w:rPr>
        <w:t>2018-064)</w:t>
      </w:r>
      <w:r>
        <w:rPr/>
        <w:t>和《关于购买房产暨关联交易进展公告》（公告编号：</w:t>
      </w:r>
      <w:r>
        <w:rPr>
          <w:rFonts w:ascii="宋体" w:hAnsi="宋体" w:cs="宋体" w:eastAsia="宋体" w:hint="default"/>
        </w:rPr>
        <w:t>2018-095</w:t>
      </w:r>
      <w:r>
        <w:rPr/>
        <w:t>））。 公司于</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7</w:t>
      </w:r>
      <w:r>
        <w:rPr/>
        <w:t>日在巨潮资讯网发布了《关于购置房产暨关联交易的公告》（公告编号：</w:t>
      </w:r>
      <w:r>
        <w:rPr>
          <w:rFonts w:ascii="宋体" w:hAnsi="宋体" w:cs="宋体" w:eastAsia="宋体" w:hint="default"/>
        </w:rPr>
        <w:t>2019-061</w:t>
      </w:r>
      <w:r>
        <w:rPr/>
        <w:t>），公司以自有资金 向控股股东银江科技集团有限公司的全资子公司智谷创业园有限公司购买其所拥有的杭州市富阳区银湖街道九龙大道中国 智谷·富春园区</w:t>
      </w:r>
      <w:r>
        <w:rPr>
          <w:rFonts w:ascii="宋体" w:hAnsi="宋体" w:cs="宋体" w:eastAsia="宋体" w:hint="default"/>
        </w:rPr>
        <w:t>A1-A2</w:t>
      </w:r>
      <w:r>
        <w:rPr/>
        <w:t>（共两幢），房产转让双方确定本次房产转让价格为人民币</w:t>
      </w:r>
      <w:r>
        <w:rPr>
          <w:rFonts w:ascii="宋体" w:hAnsi="宋体" w:cs="宋体" w:eastAsia="宋体" w:hint="default"/>
        </w:rPr>
        <w:t>3.63</w:t>
      </w:r>
      <w:r>
        <w:rPr/>
        <w:t>亿元，相关议案已经公司</w:t>
      </w:r>
      <w:r>
        <w:rPr>
          <w:rFonts w:ascii="宋体" w:hAnsi="宋体" w:cs="宋体" w:eastAsia="宋体" w:hint="default"/>
        </w:rPr>
        <w:t>2019</w:t>
      </w:r>
      <w:r>
        <w:rPr/>
        <w:t>年第三 次临时股东大会审议通过。公司于</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9</w:t>
      </w:r>
      <w:r>
        <w:rPr/>
        <w:t>日在巨潮资讯网发布了《关于购置房产暨关联交易补充说明的公告》（公告 编号：</w:t>
      </w:r>
      <w:r>
        <w:rPr>
          <w:rFonts w:ascii="宋体" w:hAnsi="宋体" w:cs="宋体" w:eastAsia="宋体" w:hint="default"/>
        </w:rPr>
        <w:t>2019-066</w:t>
      </w:r>
      <w:r>
        <w:rPr/>
        <w:t>），主要阐述了房产购置的必要性和房产购置的定价合理性。</w:t>
      </w:r>
    </w:p>
    <w:p>
      <w:pPr>
        <w:pStyle w:val="BodyText"/>
        <w:spacing w:line="316" w:lineRule="auto" w:before="19"/>
        <w:ind w:right="1124"/>
        <w:jc w:val="left"/>
      </w:pPr>
      <w:r>
        <w:rPr/>
        <w:t>（九）关于公开发行可转换公司债券的进展情况 公司于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9</w:t>
      </w:r>
      <w:r>
        <w:rPr/>
        <w:t>日召开第四届董事会第二十六次会议和第四届监事会第二十二次会议，于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27</w:t>
      </w:r>
      <w:r>
        <w:rPr/>
        <w:t>日召开</w:t>
      </w:r>
      <w:r>
        <w:rPr>
          <w:rFonts w:ascii="宋体" w:hAnsi="宋体" w:cs="宋体" w:eastAsia="宋体" w:hint="default"/>
        </w:rPr>
        <w:t>2019</w:t>
      </w:r>
      <w:r>
        <w:rPr/>
        <w:t>年第二 </w:t>
      </w:r>
      <w:r>
        <w:rPr>
          <w:spacing w:val="-2"/>
        </w:rPr>
        <w:t>次临时股东大会，审议通过了公开发行可转换公司债券的相关议案，本次拟发行可转换公司债券募集资金总额不超过人民币</w:t>
      </w:r>
      <w:r>
        <w:rPr>
          <w:spacing w:val="-64"/>
        </w:rPr>
        <w:t> </w:t>
      </w:r>
      <w:r>
        <w:rPr>
          <w:spacing w:val="-64"/>
        </w:rPr>
      </w:r>
      <w:r>
        <w:rPr>
          <w:rFonts w:ascii="宋体" w:hAnsi="宋体" w:cs="宋体" w:eastAsia="宋体" w:hint="default"/>
        </w:rPr>
        <w:t>13</w:t>
      </w:r>
      <w:r>
        <w:rPr/>
        <w:t>亿元（含</w:t>
      </w:r>
      <w:r>
        <w:rPr>
          <w:rFonts w:ascii="宋体" w:hAnsi="宋体" w:cs="宋体" w:eastAsia="宋体" w:hint="default"/>
        </w:rPr>
        <w:t>13</w:t>
      </w:r>
      <w:r>
        <w:rPr/>
        <w:t>亿元）。具体详见于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11</w:t>
      </w:r>
      <w:r>
        <w:rPr/>
        <w:t>日在巨潮资讯网发布了《关于公开发行可转换公司债券预案披露的提示性公</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8"/>
        <w:jc w:val="both"/>
      </w:pPr>
      <w:r>
        <w:rPr/>
        <w:t>告》（公告编号：</w:t>
      </w:r>
      <w:r>
        <w:rPr>
          <w:rFonts w:ascii="宋体" w:hAnsi="宋体" w:cs="宋体" w:eastAsia="宋体" w:hint="default"/>
        </w:rPr>
        <w:t>2019-029</w:t>
      </w:r>
      <w:r>
        <w:rPr/>
        <w:t>）等相关公告。公司于</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27</w:t>
      </w:r>
      <w:r>
        <w:rPr/>
        <w:t>日召开第五届董事会第二次会议审议通过了《关于终止公开 发行可转换公司债券事项的议案》，决定终止公开发行可转换公司债券事项。具体内容详见公司</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28</w:t>
      </w:r>
      <w:r>
        <w:rPr/>
        <w:t>日于巨潮资讯 网发布的《关于终止公开发行可转换公司债券事项的公告》（公告编号：</w:t>
      </w:r>
      <w:r>
        <w:rPr>
          <w:rFonts w:ascii="宋体" w:hAnsi="宋体" w:cs="宋体" w:eastAsia="宋体" w:hint="default"/>
        </w:rPr>
        <w:t>2020-006</w:t>
      </w:r>
      <w:r>
        <w:rPr/>
        <w:t>）。</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bookmarkStart w:name="十九、公司子公司重大事项" w:id="97"/>
      <w:bookmarkEnd w:id="97"/>
      <w:r>
        <w:rPr>
          <w:b w:val="0"/>
          <w:bCs w:val="0"/>
        </w:rPr>
      </w: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第六节股份变动及股东情况" w:id="98"/>
      <w:bookmarkEnd w:id="98"/>
      <w:r>
        <w:rPr>
          <w:b w:val="0"/>
          <w:bCs w:val="0"/>
        </w:rPr>
      </w:r>
      <w:bookmarkStart w:name="_bookmark5" w:id="99"/>
      <w:bookmarkEnd w:id="99"/>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股份变动情况" w:id="100"/>
      <w:bookmarkEnd w:id="100"/>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股份变动情况" w:id="101"/>
      <w:bookmarkEnd w:id="10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4"/>
        <w:gridCol w:w="1077"/>
        <w:gridCol w:w="823"/>
        <w:gridCol w:w="662"/>
        <w:gridCol w:w="567"/>
        <w:gridCol w:w="710"/>
        <w:gridCol w:w="850"/>
        <w:gridCol w:w="852"/>
        <w:gridCol w:w="1133"/>
        <w:gridCol w:w="852"/>
      </w:tblGrid>
      <w:tr>
        <w:trPr>
          <w:trHeight w:val="403" w:hRule="exact"/>
        </w:trPr>
        <w:tc>
          <w:tcPr>
            <w:tcW w:w="21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6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104" w:type="dxa"/>
            <w:vMerge w:val="restart"/>
            <w:tcBorders>
              <w:top w:val="nil" w:sz="6" w:space="0" w:color="auto"/>
              <w:left w:val="single" w:sz="4" w:space="0" w:color="000000"/>
              <w:right w:val="single" w:sz="4" w:space="0" w:color="000000"/>
            </w:tcBorders>
            <w:shd w:val="clear" w:color="auto" w:fill="D2D2D2"/>
          </w:tcPr>
          <w:p>
            <w:pPr/>
          </w:p>
        </w:tc>
        <w:tc>
          <w:tcPr>
            <w:tcW w:w="10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5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72" w:right="77"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104" w:type="dxa"/>
            <w:vMerge/>
            <w:tcBorders>
              <w:left w:val="single" w:sz="4" w:space="0" w:color="000000"/>
              <w:bottom w:val="nil" w:sz="6" w:space="0" w:color="auto"/>
              <w:right w:val="single" w:sz="4" w:space="0" w:color="000000"/>
            </w:tcBorders>
            <w:shd w:val="clear" w:color="auto" w:fill="D2D2D2"/>
          </w:tcPr>
          <w:p>
            <w:pPr/>
          </w:p>
        </w:tc>
        <w:tc>
          <w:tcPr>
            <w:tcW w:w="10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62"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0"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2104" w:type="dxa"/>
            <w:vMerge w:val="restart"/>
            <w:tcBorders>
              <w:top w:val="nil" w:sz="6" w:space="0" w:color="auto"/>
              <w:left w:val="single" w:sz="4" w:space="0" w:color="000000"/>
              <w:right w:val="single" w:sz="4" w:space="0" w:color="000000"/>
            </w:tcBorders>
            <w:shd w:val="clear" w:color="auto" w:fill="D2D2D2"/>
          </w:tcPr>
          <w:p>
            <w:pPr/>
          </w:p>
        </w:tc>
        <w:tc>
          <w:tcPr>
            <w:tcW w:w="1077"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104" w:type="dxa"/>
            <w:vMerge/>
            <w:tcBorders>
              <w:left w:val="single" w:sz="4" w:space="0" w:color="000000"/>
              <w:bottom w:val="single" w:sz="4" w:space="0" w:color="000000"/>
              <w:right w:val="single" w:sz="4" w:space="0" w:color="000000"/>
            </w:tcBorders>
            <w:shd w:val="clear" w:color="auto" w:fill="D2D2D2"/>
          </w:tcPr>
          <w:p>
            <w:pPr/>
          </w:p>
        </w:tc>
        <w:tc>
          <w:tcPr>
            <w:tcW w:w="10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5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38,357,318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w:t>
            </w:r>
          </w:p>
        </w:tc>
        <w:tc>
          <w:tcPr>
            <w:tcW w:w="66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3,437,191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3,437,191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41,794,509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38,357,318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w:t>
            </w:r>
          </w:p>
        </w:tc>
        <w:tc>
          <w:tcPr>
            <w:tcW w:w="66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3,437,191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3,437,191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41,794,509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27,813,840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w:t>
            </w:r>
          </w:p>
        </w:tc>
        <w:tc>
          <w:tcPr>
            <w:tcW w:w="66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27,813,840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9"/>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10,543,478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w:t>
            </w:r>
          </w:p>
        </w:tc>
        <w:tc>
          <w:tcPr>
            <w:tcW w:w="66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3,437,191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3,437,191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13,980,669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9"/>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617,431,768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94.15%</w:t>
            </w:r>
          </w:p>
        </w:tc>
        <w:tc>
          <w:tcPr>
            <w:tcW w:w="66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-3,437,191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-3,437,191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613,994,577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93.63%</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617,431,768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94.15%</w:t>
            </w:r>
          </w:p>
        </w:tc>
        <w:tc>
          <w:tcPr>
            <w:tcW w:w="66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-3,437,191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-3,437,191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613,994,577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93.63%</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655,789,086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655,789,086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33"/>
        <w:jc w:val="left"/>
      </w:pPr>
      <w:r>
        <w:rPr/>
        <w:t>股份变动的原因</w:t>
      </w:r>
    </w:p>
    <w:p>
      <w:pPr>
        <w:pStyle w:val="BodyText"/>
        <w:spacing w:line="340" w:lineRule="auto" w:before="115"/>
        <w:ind w:right="142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现任董监高股份每年按照其上年末持有总数的</w:t>
      </w:r>
      <w:r>
        <w:rPr>
          <w:rFonts w:ascii="Times New Roman" w:hAnsi="Times New Roman" w:cs="Times New Roman" w:eastAsia="Times New Roman" w:hint="default"/>
        </w:rPr>
        <w:t>75%</w:t>
      </w:r>
      <w:r>
        <w:rPr/>
        <w:t>予以锁定；报告期内，公司离任高管所持股份按照规定锁定或解锁。 股份变动的批准情况</w:t>
      </w:r>
    </w:p>
    <w:p>
      <w:pPr>
        <w:pStyle w:val="BodyText"/>
        <w:spacing w:line="340" w:lineRule="auto" w:before="39"/>
        <w:ind w:right="913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股份变动的过户情况</w:t>
      </w:r>
    </w:p>
    <w:p>
      <w:pPr>
        <w:pStyle w:val="BodyText"/>
        <w:spacing w:line="338" w:lineRule="auto" w:before="41"/>
        <w:ind w:right="877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股份回购的实施进展情况</w:t>
      </w:r>
    </w:p>
    <w:p>
      <w:pPr>
        <w:pStyle w:val="BodyText"/>
        <w:spacing w:line="340" w:lineRule="auto" w:before="43"/>
        <w:ind w:right="697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采用集中竞价方式减持回购股份的实施进展情况</w:t>
      </w:r>
    </w:p>
    <w:p>
      <w:pPr>
        <w:pStyle w:val="BodyText"/>
        <w:spacing w:line="240" w:lineRule="auto" w:before="39"/>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股份变动对最近一年和最近一期基本每股收益和稀释每股收益、归属于公司普通股股东的每股净资产等财务指标的影响</w:t>
      </w:r>
    </w:p>
    <w:p>
      <w:pPr>
        <w:pStyle w:val="BodyText"/>
        <w:spacing w:line="338" w:lineRule="auto" w:before="117"/>
        <w:ind w:right="679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公司认为必要或证券监管机构要求披露的其他内容</w:t>
      </w:r>
    </w:p>
    <w:p>
      <w:pPr>
        <w:pStyle w:val="BodyText"/>
        <w:spacing w:line="240" w:lineRule="auto" w:before="43"/>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限售股份变动情况" w:id="102"/>
      <w:bookmarkEnd w:id="10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101"/>
        <w:ind w:left="7208" w:right="1131"/>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44"/>
        <w:ind w:left="7208" w:right="1141"/>
        <w:jc w:val="right"/>
      </w:pPr>
      <w:r>
        <w:rPr/>
        <w:pict>
          <v:shape style="position:absolute;margin-left:56.400002pt;margin-top:-391.408295pt;width:479.15pt;height:534.1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8"/>
                    <w:gridCol w:w="919"/>
                    <w:gridCol w:w="850"/>
                    <w:gridCol w:w="852"/>
                    <w:gridCol w:w="850"/>
                    <w:gridCol w:w="2127"/>
                    <w:gridCol w:w="2763"/>
                  </w:tblGrid>
                  <w:tr>
                    <w:trPr>
                      <w:trHeight w:val="71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5" w:right="91" w:hanging="180"/>
                          <w:jc w:val="left"/>
                          <w:rPr>
                            <w:rFonts w:ascii="宋体" w:hAnsi="宋体" w:cs="宋体" w:eastAsia="宋体" w:hint="default"/>
                            <w:sz w:val="18"/>
                            <w:szCs w:val="18"/>
                          </w:rPr>
                        </w:pPr>
                        <w:r>
                          <w:rPr>
                            <w:rFonts w:ascii="宋体" w:hAnsi="宋体" w:cs="宋体" w:eastAsia="宋体" w:hint="default"/>
                            <w:sz w:val="18"/>
                            <w:szCs w:val="18"/>
                          </w:rPr>
                          <w:t>期初限售 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8"/>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9"/>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0" w:right="59" w:hanging="180"/>
                          <w:jc w:val="left"/>
                          <w:rPr>
                            <w:rFonts w:ascii="宋体" w:hAnsi="宋体" w:cs="宋体" w:eastAsia="宋体" w:hint="default"/>
                            <w:sz w:val="18"/>
                            <w:szCs w:val="18"/>
                          </w:rPr>
                        </w:pPr>
                        <w:r>
                          <w:rPr>
                            <w:rFonts w:ascii="宋体" w:hAnsi="宋体" w:cs="宋体" w:eastAsia="宋体" w:hint="default"/>
                            <w:sz w:val="18"/>
                            <w:szCs w:val="18"/>
                          </w:rPr>
                          <w:t>期末限售 股数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6"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348,906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348,906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27"/>
                          <w:jc w:val="left"/>
                          <w:rPr>
                            <w:rFonts w:ascii="宋体" w:hAnsi="宋体" w:cs="宋体" w:eastAsia="宋体" w:hint="default"/>
                            <w:sz w:val="18"/>
                            <w:szCs w:val="18"/>
                          </w:rPr>
                        </w:pPr>
                        <w:r>
                          <w:rPr>
                            <w:rFonts w:ascii="宋体" w:hAnsi="宋体" w:cs="宋体" w:eastAsia="宋体" w:hint="default"/>
                            <w:sz w:val="18"/>
                            <w:szCs w:val="18"/>
                          </w:rPr>
                          <w:t>董事所持本公司股份每年按照其上 年末持股总数的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予于锁定</w:t>
                        </w: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花少富</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113,025</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113,025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7"/>
                          <w:jc w:val="left"/>
                          <w:rPr>
                            <w:rFonts w:ascii="宋体" w:hAnsi="宋体" w:cs="宋体" w:eastAsia="宋体" w:hint="default"/>
                            <w:sz w:val="18"/>
                            <w:szCs w:val="18"/>
                          </w:rPr>
                        </w:pPr>
                        <w:r>
                          <w:rPr>
                            <w:rFonts w:ascii="宋体" w:hAnsi="宋体" w:cs="宋体" w:eastAsia="宋体" w:hint="default"/>
                            <w:sz w:val="18"/>
                            <w:szCs w:val="18"/>
                          </w:rPr>
                          <w:t>董事所持本公司股份每年按照其上 年末持股总数的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予于锁定</w:t>
                        </w: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王瑞慷</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7"/>
                          <w:jc w:val="left"/>
                          <w:rPr>
                            <w:rFonts w:ascii="宋体" w:hAnsi="宋体" w:cs="宋体" w:eastAsia="宋体" w:hint="default"/>
                            <w:sz w:val="18"/>
                            <w:szCs w:val="18"/>
                          </w:rPr>
                        </w:pPr>
                        <w:r>
                          <w:rPr>
                            <w:rFonts w:ascii="宋体" w:hAnsi="宋体" w:cs="宋体" w:eastAsia="宋体" w:hint="default"/>
                            <w:sz w:val="18"/>
                            <w:szCs w:val="18"/>
                          </w:rPr>
                          <w:t>董事所持本公司股份每年按照其上 年末持股总数的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予于锁定</w:t>
                        </w: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孔桦桦</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56,550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56,550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7"/>
                          <w:jc w:val="left"/>
                          <w:rPr>
                            <w:rFonts w:ascii="宋体" w:hAnsi="宋体" w:cs="宋体" w:eastAsia="宋体" w:hint="default"/>
                            <w:sz w:val="18"/>
                            <w:szCs w:val="18"/>
                          </w:rPr>
                        </w:pPr>
                        <w:r>
                          <w:rPr>
                            <w:rFonts w:ascii="宋体" w:hAnsi="宋体" w:cs="宋体" w:eastAsia="宋体" w:hint="default"/>
                            <w:sz w:val="18"/>
                            <w:szCs w:val="18"/>
                          </w:rPr>
                          <w:t>高管所持本公司股份每年按照其上 年末持股总数的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予于锁定</w:t>
                        </w: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1,327,350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1,769,800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高管锁定股（已离任）</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1"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章建强</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1,198,564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1,598,085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高管锁定股（已离任）</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4"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3,037,020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4,049,360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高管锁定股（已离任）</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1,262,953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1,683,938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高管锁定股（已离任）</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2,562,270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3,416,360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高管锁定股（已离任）</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1"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陈利中</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113,850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高管锁定股（已离任）</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305,565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407,420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高管锁定股（已离任）</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1"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高管锁定股（已离任）</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叶智慧</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27,525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27,525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高管锁定股（已离任）</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48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24" w:right="93"/>
                          <w:jc w:val="both"/>
                          <w:rPr>
                            <w:rFonts w:ascii="宋体" w:hAnsi="宋体" w:cs="宋体" w:eastAsia="宋体" w:hint="default"/>
                            <w:sz w:val="18"/>
                            <w:szCs w:val="18"/>
                          </w:rPr>
                        </w:pPr>
                        <w:r>
                          <w:rPr>
                            <w:rFonts w:ascii="宋体" w:hAnsi="宋体" w:cs="宋体" w:eastAsia="宋体" w:hint="default"/>
                            <w:sz w:val="18"/>
                            <w:szCs w:val="18"/>
                          </w:rPr>
                          <w:t>浙江浙商证券 资产管理有限 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27,813,840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27,813,84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6"/>
                          <w:jc w:val="left"/>
                          <w:rPr>
                            <w:rFonts w:ascii="宋体" w:hAnsi="宋体" w:cs="宋体" w:eastAsia="宋体" w:hint="default"/>
                            <w:sz w:val="18"/>
                            <w:szCs w:val="18"/>
                          </w:rPr>
                        </w:pPr>
                        <w:r>
                          <w:rPr>
                            <w:rFonts w:ascii="宋体" w:hAnsi="宋体" w:cs="宋体" w:eastAsia="宋体" w:hint="default"/>
                            <w:sz w:val="18"/>
                            <w:szCs w:val="18"/>
                          </w:rPr>
                          <w:t>浙商资管持有的本公司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27,813,840 </w:t>
                        </w:r>
                        <w:r>
                          <w:rPr>
                            <w:rFonts w:ascii="宋体" w:hAnsi="宋体" w:cs="宋体" w:eastAsia="宋体" w:hint="default"/>
                            <w:sz w:val="18"/>
                            <w:szCs w:val="18"/>
                          </w:rPr>
                          <w:t>股股份（占公司股份总数的 </w:t>
                        </w:r>
                        <w:r>
                          <w:rPr>
                            <w:rFonts w:ascii="Times New Roman" w:hAnsi="Times New Roman" w:cs="Times New Roman" w:eastAsia="Times New Roman" w:hint="default"/>
                            <w:sz w:val="18"/>
                            <w:szCs w:val="18"/>
                          </w:rPr>
                          <w:t>4.2413%</w:t>
                        </w:r>
                        <w:r>
                          <w:rPr>
                            <w:rFonts w:ascii="宋体" w:hAnsi="宋体" w:cs="宋体" w:eastAsia="宋体" w:hint="default"/>
                            <w:sz w:val="18"/>
                            <w:szCs w:val="18"/>
                          </w:rPr>
                          <w:t>）性质尚为首发后限售股 由于其中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25,240,153 </w:t>
                        </w:r>
                        <w:r>
                          <w:rPr>
                            <w:rFonts w:ascii="宋体" w:hAnsi="宋体" w:cs="宋体" w:eastAsia="宋体" w:hint="default"/>
                            <w:sz w:val="18"/>
                            <w:szCs w:val="18"/>
                          </w:rPr>
                          <w:t>股系股东李欣 与上市公司有关的业绩对赌补偿承 诺应回购注销的股份，不符合解除 限售条件。根据深交所规则规定未 履行相关承诺的股东转让其限售股 份的，该承诺具有延续性，承诺无 法被承接的，应履行法定程序变更 或豁免。同时如履行法定程序变更</w:t>
                        </w:r>
                      </w:p>
                    </w:tc>
                  </w:tr>
                </w:tbl>
                <w:p>
                  <w:pPr/>
                </w:p>
              </w:txbxContent>
            </v:textbox>
            <w10:wrap type="none"/>
          </v:shape>
        </w:pict>
      </w:r>
      <w:r>
        <w:rPr/>
        <w:t>，</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4"/>
        <w:ind w:left="7208" w:right="1141"/>
        <w:jc w:val="right"/>
      </w:pPr>
      <w:r>
        <w:rPr/>
        <w:pict>
          <v:shape style="position:absolute;margin-left:56.400002pt;margin-top:1.311738pt;width:479.15pt;height:132.3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8"/>
                    <w:gridCol w:w="919"/>
                    <w:gridCol w:w="850"/>
                    <w:gridCol w:w="852"/>
                    <w:gridCol w:w="850"/>
                    <w:gridCol w:w="2127"/>
                    <w:gridCol w:w="2763"/>
                  </w:tblGrid>
                  <w:tr>
                    <w:trPr>
                      <w:trHeight w:val="1923" w:hRule="exact"/>
                    </w:trPr>
                    <w:tc>
                      <w:tcPr>
                        <w:tcW w:w="120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7"/>
                          <w:jc w:val="left"/>
                          <w:rPr>
                            <w:rFonts w:ascii="宋体" w:hAnsi="宋体" w:cs="宋体" w:eastAsia="宋体" w:hint="default"/>
                            <w:sz w:val="18"/>
                            <w:szCs w:val="18"/>
                          </w:rPr>
                        </w:pPr>
                        <w:r>
                          <w:rPr>
                            <w:rFonts w:ascii="宋体" w:hAnsi="宋体" w:cs="宋体" w:eastAsia="宋体" w:hint="default"/>
                            <w:spacing w:val="-6"/>
                            <w:sz w:val="18"/>
                            <w:szCs w:val="18"/>
                          </w:rPr>
                          <w:t>或豁免，最终能否通过公司董事会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股东大会等法定程序存在较大的不 确定性。该部分股份最终能否解除 限售需视其是否符合相应法律法规 的规定，且以法院及监管部门意见 为准。</w:t>
                        </w: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38,357,318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168,000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41,794,50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26"/>
        <w:ind w:right="1133"/>
        <w:jc w:val="left"/>
        <w:rPr>
          <w:b w:val="0"/>
          <w:bCs w:val="0"/>
        </w:rPr>
      </w:pPr>
      <w:bookmarkStart w:name="二、证券发行与上市情况" w:id="103"/>
      <w:bookmarkEnd w:id="103"/>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证券发行（不含优先股）情况" w:id="104"/>
      <w:bookmarkEnd w:id="104"/>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公司股份总数及股东结构的变动、公司资产和负债结构的变动情况说明" w:id="105"/>
      <w:bookmarkEnd w:id="10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现存的内部职工股情况" w:id="106"/>
      <w:bookmarkEnd w:id="106"/>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24"/>
          <w:szCs w:val="24"/>
        </w:rPr>
      </w:pPr>
    </w:p>
    <w:p>
      <w:pPr>
        <w:pStyle w:val="Heading2"/>
        <w:spacing w:line="240" w:lineRule="auto"/>
        <w:ind w:right="1133"/>
        <w:jc w:val="left"/>
        <w:rPr>
          <w:b w:val="0"/>
          <w:bCs w:val="0"/>
        </w:rPr>
      </w:pPr>
      <w:bookmarkStart w:name="三、股东和实际控制人情况" w:id="107"/>
      <w:bookmarkEnd w:id="107"/>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公司股东数量及持股情况" w:id="108"/>
      <w:bookmarkEnd w:id="108"/>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pict>
          <v:group style="position:absolute;margin-left:329.709991pt;margin-top:70.671715pt;width:52.6pt;height:31.2pt;mso-position-horizontal-relative:page;mso-position-vertical-relative:paragraph;z-index:-1185760" coordorigin="6594,1413" coordsize="1052,624">
            <v:shape style="position:absolute;left:6594;top:1413;width:1052;height:624" coordorigin="6594,1413" coordsize="1052,624" path="m6594,2037l7645,2037,7645,1413,6594,1413,6594,2037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1204"/>
        <w:gridCol w:w="918"/>
        <w:gridCol w:w="1075"/>
        <w:gridCol w:w="1052"/>
        <w:gridCol w:w="1075"/>
        <w:gridCol w:w="709"/>
        <w:gridCol w:w="1274"/>
        <w:gridCol w:w="1064"/>
      </w:tblGrid>
      <w:tr>
        <w:trPr>
          <w:trHeight w:val="163"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48,817</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7" w:right="168"/>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5"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50,621</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8" w:right="122"/>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18"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5" w:type="dxa"/>
            <w:vMerge w:val="restart"/>
            <w:tcBorders>
              <w:top w:val="single" w:sz="4" w:space="0" w:color="000000"/>
              <w:left w:val="single" w:sz="12"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0"/>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 w:right="65"/>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vMerge/>
            <w:tcBorders>
              <w:left w:val="single" w:sz="9" w:space="0" w:color="D2D2D2"/>
              <w:right w:val="single" w:sz="4" w:space="0" w:color="000000"/>
            </w:tcBorders>
          </w:tcPr>
          <w:p>
            <w:pP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tcBorders>
              <w:left w:val="single" w:sz="4" w:space="0" w:color="000000"/>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312"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166"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10" w:space="0" w:color="D2D2D2"/>
              <w:bottom w:val="single" w:sz="4" w:space="0" w:color="000000"/>
              <w:right w:val="single" w:sz="10" w:space="0" w:color="D2D2D2"/>
            </w:tcBorders>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13" w:space="0" w:color="D2D2D2"/>
            </w:tcBorders>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2" w:space="0" w:color="D2D2D2"/>
              <w:bottom w:val="single" w:sz="4" w:space="0" w:color="000000"/>
              <w:right w:val="single" w:sz="9" w:space="0" w:color="D2D2D2"/>
            </w:tcBorders>
          </w:tcPr>
          <w:p>
            <w:pPr/>
          </w:p>
        </w:tc>
        <w:tc>
          <w:tcPr>
            <w:tcW w:w="198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9" w:space="0" w:color="D2D2D2"/>
              <w:bottom w:val="single" w:sz="4" w:space="0" w:color="000000"/>
              <w:right w:val="single" w:sz="4" w:space="0" w:color="000000"/>
            </w:tcBorders>
          </w:tcPr>
          <w:p>
            <w:pPr/>
          </w:p>
        </w:tc>
      </w:tr>
      <w:tr>
        <w:trPr>
          <w:trHeight w:val="39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9"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4" w:space="0" w:color="000000"/>
              <w:right w:val="single" w:sz="4" w:space="0" w:color="000000"/>
            </w:tcBorders>
            <w:shd w:val="clear" w:color="auto" w:fill="D2D2D2"/>
          </w:tcPr>
          <w:p>
            <w:pPr/>
          </w:p>
        </w:tc>
        <w:tc>
          <w:tcPr>
            <w:tcW w:w="918" w:type="dxa"/>
            <w:vMerge w:val="restart"/>
            <w:tcBorders>
              <w:top w:val="single" w:sz="4" w:space="0" w:color="000000"/>
              <w:left w:val="single" w:sz="4" w:space="0" w:color="000000"/>
              <w:right w:val="single" w:sz="4" w:space="0" w:color="000000"/>
            </w:tcBorders>
            <w:shd w:val="clear" w:color="auto" w:fill="D2D2D2"/>
          </w:tcPr>
          <w:p>
            <w:pPr/>
          </w:p>
        </w:tc>
        <w:tc>
          <w:tcPr>
            <w:tcW w:w="1075" w:type="dxa"/>
            <w:vMerge w:val="restart"/>
            <w:tcBorders>
              <w:top w:val="single" w:sz="4" w:space="0" w:color="000000"/>
              <w:left w:val="single" w:sz="4" w:space="0" w:color="000000"/>
              <w:right w:val="single" w:sz="4" w:space="0" w:color="000000"/>
            </w:tcBorders>
            <w:shd w:val="clear" w:color="auto" w:fill="D2D2D2"/>
          </w:tcPr>
          <w:p>
            <w:pPr/>
          </w:p>
        </w:tc>
        <w:tc>
          <w:tcPr>
            <w:tcW w:w="1052" w:type="dxa"/>
            <w:vMerge w:val="restart"/>
            <w:tcBorders>
              <w:top w:val="single" w:sz="4" w:space="0" w:color="000000"/>
              <w:left w:val="single" w:sz="4" w:space="0" w:color="000000"/>
              <w:right w:val="single" w:sz="4" w:space="0" w:color="000000"/>
            </w:tcBorders>
            <w:shd w:val="clear" w:color="auto" w:fill="D2D2D2"/>
          </w:tcPr>
          <w:p>
            <w:pP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75" w:right="83"/>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3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3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8" w:hRule="exact"/>
        </w:trPr>
        <w:tc>
          <w:tcPr>
            <w:tcW w:w="1200" w:type="dxa"/>
            <w:vMerge/>
            <w:tcBorders>
              <w:left w:val="single" w:sz="4" w:space="0" w:color="000000"/>
              <w:right w:val="single" w:sz="4" w:space="0" w:color="000000"/>
            </w:tcBorders>
            <w:shd w:val="clear" w:color="auto" w:fill="D2D2D2"/>
          </w:tcPr>
          <w:p>
            <w:pPr/>
          </w:p>
        </w:tc>
        <w:tc>
          <w:tcPr>
            <w:tcW w:w="1204" w:type="dxa"/>
            <w:vMerge/>
            <w:tcBorders>
              <w:left w:val="single" w:sz="4" w:space="0" w:color="000000"/>
              <w:right w:val="single" w:sz="4" w:space="0" w:color="000000"/>
            </w:tcBorders>
            <w:shd w:val="clear" w:color="auto" w:fill="D2D2D2"/>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82" w:right="8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709" w:type="dxa"/>
            <w:vMerge/>
            <w:tcBorders>
              <w:left w:val="single" w:sz="4" w:space="0" w:color="000000"/>
              <w:right w:val="single" w:sz="4" w:space="0" w:color="000000"/>
            </w:tcBorders>
            <w:shd w:val="clear" w:color="auto" w:fill="D2D2D2"/>
          </w:tcPr>
          <w:p>
            <w:pPr/>
          </w:p>
        </w:tc>
        <w:tc>
          <w:tcPr>
            <w:tcW w:w="2338" w:type="dxa"/>
            <w:gridSpan w:val="2"/>
            <w:vMerge/>
            <w:tcBorders>
              <w:left w:val="single" w:sz="4" w:space="0" w:color="000000"/>
              <w:bottom w:val="single" w:sz="4" w:space="0" w:color="000000"/>
              <w:right w:val="single" w:sz="4" w:space="0" w:color="000000"/>
            </w:tcBorders>
            <w:shd w:val="clear" w:color="auto" w:fill="D2D2D2"/>
          </w:tcPr>
          <w:p>
            <w:pPr/>
          </w:p>
        </w:tc>
      </w:tr>
      <w:tr>
        <w:trPr>
          <w:trHeight w:val="114"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
              <w:ind w:left="262" w:right="8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
              <w:ind w:left="70" w:right="6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75"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
        </w:tc>
      </w:tr>
      <w:tr>
        <w:trPr>
          <w:trHeight w:val="199"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79"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val="restart"/>
            <w:tcBorders>
              <w:top w:val="nil" w:sz="6" w:space="0" w:color="auto"/>
              <w:left w:val="single" w:sz="4" w:space="0" w:color="000000"/>
              <w:right w:val="single" w:sz="4" w:space="0" w:color="000000"/>
            </w:tcBorders>
            <w:shd w:val="clear" w:color="auto" w:fill="D2D2D2"/>
          </w:tcPr>
          <w:p>
            <w:pPr/>
          </w:p>
        </w:tc>
        <w:tc>
          <w:tcPr>
            <w:tcW w:w="918" w:type="dxa"/>
            <w:vMerge w:val="restart"/>
            <w:tcBorders>
              <w:top w:val="nil" w:sz="6" w:space="0" w:color="auto"/>
              <w:left w:val="single" w:sz="4" w:space="0" w:color="000000"/>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r>
      <w:tr>
        <w:trPr>
          <w:trHeight w:val="133" w:hRule="exact"/>
        </w:trPr>
        <w:tc>
          <w:tcPr>
            <w:tcW w:w="1200" w:type="dxa"/>
            <w:vMerge/>
            <w:tcBorders>
              <w:left w:val="single" w:sz="4" w:space="0" w:color="000000"/>
              <w:right w:val="single" w:sz="4" w:space="0" w:color="000000"/>
            </w:tcBorders>
            <w:shd w:val="clear" w:color="auto" w:fill="D2D2D2"/>
          </w:tcPr>
          <w:p>
            <w:pPr/>
          </w:p>
        </w:tc>
        <w:tc>
          <w:tcPr>
            <w:tcW w:w="1204" w:type="dxa"/>
            <w:vMerge/>
            <w:tcBorders>
              <w:left w:val="single" w:sz="4" w:space="0" w:color="000000"/>
              <w:right w:val="single" w:sz="4" w:space="0" w:color="000000"/>
            </w:tcBorders>
            <w:shd w:val="clear" w:color="auto" w:fill="D2D2D2"/>
          </w:tcPr>
          <w:p>
            <w:pPr/>
          </w:p>
        </w:tc>
        <w:tc>
          <w:tcPr>
            <w:tcW w:w="918" w:type="dxa"/>
            <w:vMerge/>
            <w:tcBorders>
              <w:left w:val="single" w:sz="4" w:space="0" w:color="000000"/>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银江科技集团 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25.54%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167,496,505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-9,670,000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167,496,</w:t>
            </w:r>
          </w:p>
          <w:p>
            <w:pPr>
              <w:pStyle w:val="TableParagraph"/>
              <w:spacing w:line="240" w:lineRule="auto" w:before="105"/>
              <w:ind w:left="404" w:right="0"/>
              <w:jc w:val="left"/>
              <w:rPr>
                <w:rFonts w:ascii="Times New Roman" w:hAnsi="Times New Roman" w:cs="Times New Roman" w:eastAsia="Times New Roman" w:hint="default"/>
                <w:sz w:val="18"/>
                <w:szCs w:val="18"/>
              </w:rPr>
            </w:pPr>
            <w:r>
              <w:rPr>
                <w:rFonts w:ascii="Times New Roman"/>
                <w:sz w:val="18"/>
              </w:rPr>
              <w:t>505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132,810,000</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浙江浙商证券 资产管理有限 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6" w:right="8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4.24%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27,813,840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27,813,840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3pt;height:692.4pt;mso-position-horizontal-relative:page;mso-position-vertical-relative:page;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0"/>
                    <w:gridCol w:w="1198"/>
                    <w:gridCol w:w="929"/>
                    <w:gridCol w:w="1063"/>
                    <w:gridCol w:w="1064"/>
                    <w:gridCol w:w="1063"/>
                    <w:gridCol w:w="715"/>
                    <w:gridCol w:w="1280"/>
                    <w:gridCol w:w="1058"/>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陈文生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17,717,833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8,631,804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17,717,8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128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上银基金－浦 发银行－上银 基金财富</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 资产管理计划</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5,657,729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0.86</w:t>
                        </w:r>
                      </w:p>
                    </w:tc>
                    <w:tc>
                      <w:tcPr>
                        <w:tcW w:w="128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北京弘建恒通 投资有限公司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4,650,011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4,650,011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w w:val="95"/>
                            <w:sz w:val="18"/>
                          </w:rPr>
                          <w:t>4,650,01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28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4,049,360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4,049,360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3,416,360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3,416,360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姜志丹</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3,336,087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2,597,687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3,336,08</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7</w:t>
                        </w:r>
                      </w:p>
                    </w:tc>
                    <w:tc>
                      <w:tcPr>
                        <w:tcW w:w="128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上银基金－浦 发银行－上银 基金财富</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 资产管理计划</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3,290,713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3,290,71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28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张群</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2,808,800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2,446,400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2,808,80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73"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上银基金－浦发银行－上银基金财富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号资产管理计划和上银基金－浦发银行－上银基金</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财富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 </w:t>
                        </w:r>
                        <w:r>
                          <w:rPr>
                            <w:rFonts w:ascii="宋体" w:hAnsi="宋体" w:cs="宋体" w:eastAsia="宋体" w:hint="default"/>
                            <w:sz w:val="18"/>
                            <w:szCs w:val="18"/>
                          </w:rPr>
                          <w:t>号资产管理计划属于公司非公开发行对象上银基金管理有限公司，上述非公开发行</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对象所持本公司股票已于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tc>
                  </w:tr>
                  <w:tr>
                    <w:trPr>
                      <w:trHeight w:val="164" w:hRule="exact"/>
                    </w:trPr>
                    <w:tc>
                      <w:tcPr>
                        <w:tcW w:w="23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73" w:type="dxa"/>
                        <w:gridSpan w:val="7"/>
                        <w:vMerge w:val="restart"/>
                        <w:tcBorders>
                          <w:top w:val="single" w:sz="4" w:space="0" w:color="000000"/>
                          <w:left w:val="single" w:sz="9" w:space="0" w:color="D2D2D2"/>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名股东中，银江科技集团有限公司是本公司的控股股东；钱小鸿历任为公司董事</w:t>
                        </w:r>
                      </w:p>
                      <w:p>
                        <w:pPr>
                          <w:pStyle w:val="TableParagraph"/>
                          <w:spacing w:line="300" w:lineRule="auto" w:before="60"/>
                          <w:ind w:left="17" w:right="23"/>
                          <w:jc w:val="left"/>
                          <w:rPr>
                            <w:rFonts w:ascii="宋体" w:hAnsi="宋体" w:cs="宋体" w:eastAsia="宋体" w:hint="default"/>
                            <w:sz w:val="18"/>
                            <w:szCs w:val="18"/>
                          </w:rPr>
                        </w:pPr>
                        <w:r>
                          <w:rPr>
                            <w:rFonts w:ascii="宋体" w:hAnsi="宋体" w:cs="宋体" w:eastAsia="宋体" w:hint="default"/>
                            <w:sz w:val="18"/>
                            <w:szCs w:val="18"/>
                          </w:rPr>
                          <w:t>副总经理、财务总监；樊锦祥历任为公司董事、副总经理。除此之外，公司其他前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 东之间，未知是否存在关联，也未知是否属于一致行动人。</w:t>
                        </w:r>
                      </w:p>
                    </w:tc>
                  </w:tr>
                  <w:tr>
                    <w:trPr>
                      <w:trHeight w:val="703" w:hRule="exact"/>
                    </w:trPr>
                    <w:tc>
                      <w:tcPr>
                        <w:tcW w:w="239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3" w:type="dxa"/>
                        <w:gridSpan w:val="7"/>
                        <w:vMerge/>
                        <w:tcBorders>
                          <w:left w:val="single" w:sz="9" w:space="0" w:color="D2D2D2"/>
                          <w:right w:val="single" w:sz="4" w:space="0" w:color="000000"/>
                        </w:tcBorders>
                      </w:tcPr>
                      <w:p>
                        <w:pPr/>
                      </w:p>
                    </w:tc>
                  </w:tr>
                  <w:tr>
                    <w:trPr>
                      <w:trHeight w:val="161" w:hRule="exact"/>
                    </w:trPr>
                    <w:tc>
                      <w:tcPr>
                        <w:tcW w:w="23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73" w:type="dxa"/>
                        <w:gridSpan w:val="7"/>
                        <w:vMerge/>
                        <w:tcBorders>
                          <w:left w:val="single" w:sz="9" w:space="0" w:color="D2D2D2"/>
                          <w:bottom w:val="single" w:sz="4" w:space="0" w:color="000000"/>
                          <w:right w:val="single" w:sz="4" w:space="0" w:color="000000"/>
                        </w:tcBorders>
                      </w:tcPr>
                      <w:p>
                        <w:pP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3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835"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3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39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835"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6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33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98" w:type="dxa"/>
                        <w:gridSpan w:val="2"/>
                        <w:vMerge/>
                        <w:tcBorders>
                          <w:left w:val="single" w:sz="4" w:space="0" w:color="000000"/>
                          <w:bottom w:val="nil" w:sz="6" w:space="0" w:color="auto"/>
                          <w:right w:val="single" w:sz="4" w:space="0" w:color="000000"/>
                        </w:tcBorders>
                        <w:shd w:val="clear" w:color="auto" w:fill="D2D2D2"/>
                      </w:tcPr>
                      <w:p>
                        <w:pPr/>
                      </w:p>
                    </w:tc>
                    <w:tc>
                      <w:tcPr>
                        <w:tcW w:w="4835" w:type="dxa"/>
                        <w:gridSpan w:val="5"/>
                        <w:vMerge/>
                        <w:tcBorders>
                          <w:left w:val="single" w:sz="4" w:space="0" w:color="000000"/>
                          <w:bottom w:val="nil" w:sz="6" w:space="0" w:color="auto"/>
                          <w:right w:val="single" w:sz="4" w:space="0" w:color="000000"/>
                        </w:tcBorders>
                        <w:shd w:val="clear" w:color="auto" w:fill="D2D2D2"/>
                      </w:tcPr>
                      <w:p>
                        <w:pPr/>
                      </w:p>
                    </w:tc>
                    <w:tc>
                      <w:tcPr>
                        <w:tcW w:w="12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3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835"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280"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48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167,496,505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167,496,505</w:t>
                        </w:r>
                      </w:p>
                    </w:tc>
                  </w:tr>
                  <w:tr>
                    <w:trPr>
                      <w:trHeight w:val="401"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陈文生</w:t>
                        </w:r>
                      </w:p>
                    </w:tc>
                    <w:tc>
                      <w:tcPr>
                        <w:tcW w:w="48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17,717,833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17,717,833</w:t>
                        </w:r>
                      </w:p>
                    </w:tc>
                  </w:tr>
                  <w:tr>
                    <w:trPr>
                      <w:trHeight w:val="716"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上银基金－浦发银行－上银基 金财富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48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5,657,729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5,657,729</w:t>
                        </w:r>
                      </w:p>
                    </w:tc>
                  </w:tr>
                  <w:tr>
                    <w:trPr>
                      <w:trHeight w:val="401"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北京弘建恒通投资有限公司</w:t>
                        </w:r>
                      </w:p>
                    </w:tc>
                    <w:tc>
                      <w:tcPr>
                        <w:tcW w:w="48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4,650,011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4,650,011</w:t>
                        </w:r>
                      </w:p>
                    </w:tc>
                  </w:tr>
                  <w:tr>
                    <w:trPr>
                      <w:trHeight w:val="40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姜志丹</w:t>
                        </w:r>
                      </w:p>
                    </w:tc>
                    <w:tc>
                      <w:tcPr>
                        <w:tcW w:w="48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3,336,087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3,336,087</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上银基金－浦发银行－上银基 金财富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48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3,290,713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3,290,713</w:t>
                        </w:r>
                      </w:p>
                    </w:tc>
                  </w:tr>
                  <w:tr>
                    <w:trPr>
                      <w:trHeight w:val="40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张群</w:t>
                        </w:r>
                      </w:p>
                    </w:tc>
                    <w:tc>
                      <w:tcPr>
                        <w:tcW w:w="48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2,808,800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2,808,800</w:t>
                        </w:r>
                      </w:p>
                    </w:tc>
                  </w:tr>
                  <w:tr>
                    <w:trPr>
                      <w:trHeight w:val="401"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张明华</w:t>
                        </w:r>
                      </w:p>
                    </w:tc>
                    <w:tc>
                      <w:tcPr>
                        <w:tcW w:w="48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2,761,200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2,761,200</w:t>
                        </w:r>
                      </w:p>
                    </w:tc>
                  </w:tr>
                  <w:tr>
                    <w:trPr>
                      <w:trHeight w:val="40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刘健</w:t>
                        </w:r>
                      </w:p>
                    </w:tc>
                    <w:tc>
                      <w:tcPr>
                        <w:tcW w:w="48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2,256,760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2,256,760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left="7208" w:right="1139"/>
        <w:jc w:val="right"/>
      </w:pPr>
      <w:r>
        <w:rPr/>
        <w:t>、</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44"/>
        <w:ind w:left="7208" w:right="1133"/>
        <w:jc w:val="right"/>
      </w:pPr>
      <w:r>
        <w:rPr/>
        <w:pict>
          <v:shape style="position:absolute;margin-left:56.459999pt;margin-top:-134.548309pt;width:479.2pt;height:294.9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7"/>
                    <w:gridCol w:w="4835"/>
                    <w:gridCol w:w="1280"/>
                    <w:gridCol w:w="1058"/>
                  </w:tblGrid>
                  <w:tr>
                    <w:trPr>
                      <w:trHeight w:val="401"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吴克平</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1,997,297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1,997,297</w:t>
                        </w:r>
                      </w:p>
                    </w:tc>
                  </w:tr>
                  <w:tr>
                    <w:trPr>
                      <w:trHeight w:val="1339"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2" w:right="108"/>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名股东中，银江科技集团有限公司是本公司的控股股东；刘健为公司实际控制人</w:t>
                        </w:r>
                      </w:p>
                      <w:p>
                        <w:pPr>
                          <w:pStyle w:val="TableParagraph"/>
                          <w:spacing w:line="300" w:lineRule="auto" w:before="60"/>
                          <w:ind w:left="23" w:right="24"/>
                          <w:jc w:val="left"/>
                          <w:rPr>
                            <w:rFonts w:ascii="宋体" w:hAnsi="宋体" w:cs="宋体" w:eastAsia="宋体" w:hint="default"/>
                            <w:sz w:val="18"/>
                            <w:szCs w:val="18"/>
                          </w:rPr>
                        </w:pPr>
                        <w:r>
                          <w:rPr>
                            <w:rFonts w:ascii="宋体" w:hAnsi="宋体" w:cs="宋体" w:eastAsia="宋体" w:hint="default"/>
                            <w:sz w:val="18"/>
                            <w:szCs w:val="18"/>
                          </w:rPr>
                          <w:t>的夫人。除此之外，公司其他前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名股东之间，未知是否存在关联，也未知是否属于一致 行动人。</w:t>
                        </w:r>
                      </w:p>
                    </w:tc>
                  </w:tr>
                  <w:tr>
                    <w:trPr>
                      <w:trHeight w:val="4148"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在公司上述股东中，银江科技集团有限公司、陈文生、姜志丹、张群、张明华、吴克平是融</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资融券投资者信用账户股东。公司股东银江科技集团有限公司除通过普通证券账户持有 </w:t>
                        </w:r>
                        <w:r>
                          <w:rPr>
                            <w:rFonts w:ascii="Times New Roman" w:hAnsi="Times New Roman" w:cs="Times New Roman" w:eastAsia="Times New Roman" w:hint="default"/>
                            <w:spacing w:val="-1"/>
                            <w:sz w:val="18"/>
                            <w:szCs w:val="18"/>
                          </w:rPr>
                          <w:t>136,346,505</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股外，还通过联储证券有限责任公司客户信用交易担保证券账户持有</w:t>
                        </w:r>
                        <w:r>
                          <w:rPr>
                            <w:rFonts w:ascii="宋体" w:hAnsi="宋体" w:cs="宋体" w:eastAsia="宋体" w:hint="default"/>
                            <w:spacing w:val="-24"/>
                            <w:sz w:val="18"/>
                            <w:szCs w:val="18"/>
                          </w:rPr>
                          <w:t> </w:t>
                        </w:r>
                        <w:r>
                          <w:rPr>
                            <w:rFonts w:ascii="Times New Roman" w:hAnsi="Times New Roman" w:cs="Times New Roman" w:eastAsia="Times New Roman" w:hint="default"/>
                            <w:spacing w:val="-1"/>
                            <w:sz w:val="18"/>
                            <w:szCs w:val="18"/>
                          </w:rPr>
                          <w:t>31,150,000</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87"/>
                            <w:sz w:val="18"/>
                            <w:szCs w:val="18"/>
                          </w:rPr>
                          <w:t>，</w:t>
                        </w:r>
                        <w:r>
                          <w:rPr>
                            <w:rFonts w:ascii="宋体" w:hAnsi="宋体" w:cs="宋体" w:eastAsia="宋体" w:hint="default"/>
                            <w:sz w:val="18"/>
                            <w:szCs w:val="18"/>
                          </w:rPr>
                          <w:t>实际合计持有</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50</w:t>
                        </w:r>
                        <w:r>
                          <w:rPr>
                            <w:rFonts w:ascii="Times New Roman" w:hAnsi="Times New Roman" w:cs="Times New Roman" w:eastAsia="Times New Roman" w:hint="default"/>
                            <w:sz w:val="18"/>
                            <w:szCs w:val="18"/>
                          </w:rPr>
                          <w:t>5 </w:t>
                        </w:r>
                        <w:r>
                          <w:rPr>
                            <w:rFonts w:ascii="宋体" w:hAnsi="宋体" w:cs="宋体" w:eastAsia="宋体" w:hint="default"/>
                            <w:sz w:val="18"/>
                            <w:szCs w:val="18"/>
                          </w:rPr>
                          <w:t>股</w:t>
                        </w:r>
                        <w:r>
                          <w:rPr>
                            <w:rFonts w:ascii="宋体" w:hAnsi="宋体" w:cs="宋体" w:eastAsia="宋体" w:hint="default"/>
                            <w:spacing w:val="-87"/>
                            <w:sz w:val="18"/>
                            <w:szCs w:val="18"/>
                          </w:rPr>
                          <w:t>；</w:t>
                        </w:r>
                        <w:r>
                          <w:rPr>
                            <w:rFonts w:ascii="宋体" w:hAnsi="宋体" w:cs="宋体" w:eastAsia="宋体" w:hint="default"/>
                            <w:sz w:val="18"/>
                            <w:szCs w:val="18"/>
                          </w:rPr>
                          <w:t>公司股东陈文生除通过普通证券账户持有</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股外</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还通过国泰君安证券股份有限公司客户信用交易担保证券账户持有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9,958,164 </w:t>
                        </w:r>
                        <w:r>
                          <w:rPr>
                            <w:rFonts w:ascii="宋体" w:hAnsi="宋体" w:cs="宋体" w:eastAsia="宋体" w:hint="default"/>
                            <w:sz w:val="18"/>
                            <w:szCs w:val="18"/>
                          </w:rPr>
                          <w:t>股，实际合计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17,717,833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股；公司股东姜志丹除通过普通证券账户持有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131,800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股外，还通过大通证</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券股份有限公司客户信用交易担保证券账户持有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3,204,287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3,336,087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公司股东张群通过普通证券账户持有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5"/>
                            <w:sz w:val="18"/>
                            <w:szCs w:val="18"/>
                          </w:rPr>
                          <w:t>，</w:t>
                        </w:r>
                        <w:r>
                          <w:rPr>
                            <w:rFonts w:ascii="宋体" w:hAnsi="宋体" w:cs="宋体" w:eastAsia="宋体" w:hint="default"/>
                            <w:sz w:val="18"/>
                            <w:szCs w:val="18"/>
                          </w:rPr>
                          <w:t>仅通过中信证券</w:t>
                        </w:r>
                        <w:r>
                          <w:rPr>
                            <w:rFonts w:ascii="宋体" w:hAnsi="宋体" w:cs="宋体" w:eastAsia="宋体" w:hint="default"/>
                            <w:spacing w:val="-3"/>
                            <w:sz w:val="18"/>
                            <w:szCs w:val="18"/>
                          </w:rPr>
                          <w:t>股</w:t>
                        </w:r>
                        <w:r>
                          <w:rPr>
                            <w:rFonts w:ascii="宋体" w:hAnsi="宋体" w:cs="宋体" w:eastAsia="宋体" w:hint="default"/>
                            <w:sz w:val="18"/>
                            <w:szCs w:val="18"/>
                          </w:rPr>
                          <w:t>份有限公司客户信用交易担保</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2,808,800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2,808,800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股；公司股东张明华通过普通证券账户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股，仅通过东吴证券股份有限公司客户信用交易担保证券账户持有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2,761,200 </w:t>
                        </w:r>
                        <w:r>
                          <w:rPr>
                            <w:rFonts w:ascii="宋体" w:hAnsi="宋体" w:cs="宋体" w:eastAsia="宋体" w:hint="default"/>
                            <w:sz w:val="18"/>
                            <w:szCs w:val="18"/>
                          </w:rPr>
                          <w:t>股，实</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际合计持有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2,761,200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股；公司股东吴克平除通过普通证券账户持有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1,531,878</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股外，还通过</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上海证券有限责任公司客户信用交易担保证券账户持有</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85"/>
                            <w:sz w:val="18"/>
                            <w:szCs w:val="18"/>
                          </w:rPr>
                          <w:t>，</w:t>
                        </w:r>
                        <w:r>
                          <w:rPr>
                            <w:rFonts w:ascii="宋体" w:hAnsi="宋体" w:cs="宋体" w:eastAsia="宋体" w:hint="default"/>
                            <w:sz w:val="18"/>
                            <w:szCs w:val="18"/>
                          </w:rPr>
                          <w:t>实际合计持有</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44"/>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33"/>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w:t>
      </w:r>
    </w:p>
    <w:p>
      <w:pPr>
        <w:pStyle w:val="BodyText"/>
        <w:spacing w:line="240" w:lineRule="auto" w:before="103"/>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公司控股股东情况" w:id="109"/>
      <w:bookmarkEnd w:id="109"/>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控股股东类型：法人</w:t>
      </w:r>
    </w:p>
    <w:tbl>
      <w:tblPr>
        <w:tblW w:w="0" w:type="auto"/>
        <w:jc w:val="left"/>
        <w:tblInd w:w="148" w:type="dxa"/>
        <w:tblLayout w:type="fixed"/>
        <w:tblCellMar>
          <w:top w:w="0" w:type="dxa"/>
          <w:left w:w="0" w:type="dxa"/>
          <w:bottom w:w="0" w:type="dxa"/>
          <w:right w:w="0" w:type="dxa"/>
        </w:tblCellMar>
        <w:tblLook w:val="01E0"/>
      </w:tblPr>
      <w:tblGrid>
        <w:gridCol w:w="1560"/>
        <w:gridCol w:w="1702"/>
        <w:gridCol w:w="1702"/>
        <w:gridCol w:w="1558"/>
        <w:gridCol w:w="3049"/>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664" w:right="99" w:hanging="56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7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6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银江科技集团有限 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75193874-5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both"/>
              <w:rPr>
                <w:rFonts w:ascii="宋体" w:hAnsi="宋体" w:cs="宋体" w:eastAsia="宋体" w:hint="default"/>
                <w:sz w:val="18"/>
                <w:szCs w:val="18"/>
              </w:rPr>
            </w:pPr>
            <w:r>
              <w:rPr>
                <w:rFonts w:ascii="宋体" w:hAnsi="宋体" w:cs="宋体" w:eastAsia="宋体" w:hint="default"/>
                <w:spacing w:val="-5"/>
                <w:sz w:val="18"/>
                <w:szCs w:val="18"/>
              </w:rPr>
              <w:t>许可经营项目：无。一般经营项目：高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科技产业投资开发；资产管理；信息咨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询服务，印刷产品及设备、塑料制品及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sz w:val="18"/>
                <w:szCs w:val="18"/>
              </w:rPr>
              <w:t>原料的销售，经营进出口业务。（上述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经营范围不含国家法律法规禁止、限制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0"/>
                <w:sz w:val="18"/>
                <w:szCs w:val="18"/>
              </w:rPr>
              <w:t>和许可经营的项目。）</w:t>
            </w:r>
          </w:p>
        </w:tc>
      </w:tr>
    </w:tbl>
    <w:p>
      <w:pPr>
        <w:pStyle w:val="BodyText"/>
        <w:spacing w:line="240" w:lineRule="auto" w:before="68"/>
        <w:ind w:right="1133"/>
        <w:jc w:val="left"/>
      </w:pPr>
      <w:r>
        <w:rPr/>
        <w:t>控股股东报告期内变更</w:t>
      </w:r>
    </w:p>
    <w:p>
      <w:pPr>
        <w:pStyle w:val="BodyText"/>
        <w:spacing w:line="340" w:lineRule="auto" w:before="115"/>
        <w:ind w:right="733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3、公司实际控制人及其一致行动人" w:id="110"/>
      <w:bookmarkEnd w:id="110"/>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4"/>
        <w:jc w:val="left"/>
      </w:pPr>
      <w:r>
        <w:rPr/>
        <w:t>实际控制人性质：境内自然人 实际控制人类型：自然人</w:t>
      </w:r>
    </w:p>
    <w:p>
      <w:pPr>
        <w:spacing w:after="0" w:line="36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母公司股东</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33"/>
        <w:jc w:val="left"/>
      </w:pPr>
      <w:r>
        <w:rPr/>
        <w:t>实际控制人报告期内变更</w:t>
      </w:r>
    </w:p>
    <w:p>
      <w:pPr>
        <w:pStyle w:val="BodyText"/>
        <w:spacing w:line="348" w:lineRule="auto" w:before="115"/>
        <w:ind w:right="679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公司报告期实际控制人未发生变更。 公司与实际控制人之间的产权及控制关系的方框图</w:t>
      </w:r>
    </w:p>
    <w:p>
      <w:pPr>
        <w:spacing w:line="240" w:lineRule="auto" w:before="2"/>
        <w:rPr>
          <w:rFonts w:ascii="宋体" w:hAnsi="宋体" w:cs="宋体" w:eastAsia="宋体" w:hint="default"/>
          <w:sz w:val="10"/>
          <w:szCs w:val="10"/>
        </w:rPr>
      </w:pPr>
    </w:p>
    <w:p>
      <w:pPr>
        <w:spacing w:line="2907" w:lineRule="exact"/>
        <w:ind w:left="1737"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4109863" cy="184594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109863" cy="1845945"/>
                    </a:xfrm>
                    <a:prstGeom prst="rect">
                      <a:avLst/>
                    </a:prstGeom>
                  </pic:spPr>
                </pic:pic>
              </a:graphicData>
            </a:graphic>
          </wp:inline>
        </w:drawing>
      </w:r>
      <w:r>
        <w:rPr>
          <w:rFonts w:ascii="宋体" w:hAnsi="宋体" w:cs="宋体" w:eastAsia="宋体" w:hint="default"/>
          <w:position w:val="-57"/>
          <w:sz w:val="20"/>
          <w:szCs w:val="20"/>
        </w:rPr>
      </w:r>
    </w:p>
    <w:p>
      <w:pPr>
        <w:pStyle w:val="BodyText"/>
        <w:spacing w:line="240" w:lineRule="auto" w:before="157"/>
        <w:ind w:right="1133"/>
        <w:jc w:val="left"/>
      </w:pPr>
      <w:r>
        <w:rPr/>
        <w:t>实际控制人通过信托或其他资产管理方式控制公司</w:t>
      </w:r>
    </w:p>
    <w:p>
      <w:pPr>
        <w:pStyle w:val="BodyText"/>
        <w:spacing w:line="240" w:lineRule="auto" w:before="117"/>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4、其他持股在10%以上的法人股东" w:id="111"/>
      <w:bookmarkEnd w:id="111"/>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5、控股股东、实际控制人、重组方及其他承诺主体股份限制减持情况" w:id="112"/>
      <w:bookmarkEnd w:id="112"/>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33"/>
        <w:jc w:val="left"/>
        <w:rPr>
          <w:b w:val="0"/>
          <w:bCs w:val="0"/>
        </w:rPr>
      </w:pPr>
      <w:bookmarkStart w:name="第七节优先股相关情况" w:id="113"/>
      <w:bookmarkEnd w:id="113"/>
      <w:r>
        <w:rPr>
          <w:b w:val="0"/>
          <w:bCs w:val="0"/>
        </w:rPr>
      </w:r>
      <w:bookmarkStart w:name="_bookmark6" w:id="114"/>
      <w:bookmarkEnd w:id="114"/>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报告期公司不存在优先股。</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33"/>
        <w:jc w:val="left"/>
        <w:rPr>
          <w:b w:val="0"/>
          <w:bCs w:val="0"/>
        </w:rPr>
      </w:pPr>
      <w:bookmarkStart w:name="第八节可转换公司债券相关情况" w:id="115"/>
      <w:bookmarkEnd w:id="115"/>
      <w:r>
        <w:rPr>
          <w:b w:val="0"/>
          <w:bCs w:val="0"/>
        </w:rPr>
      </w:r>
      <w:bookmarkStart w:name="_bookmark7" w:id="116"/>
      <w:bookmarkEnd w:id="116"/>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报告期公司不存在可转换公司债券。</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33"/>
        <w:jc w:val="left"/>
        <w:rPr>
          <w:b w:val="0"/>
          <w:bCs w:val="0"/>
        </w:rPr>
      </w:pPr>
      <w:bookmarkStart w:name="第九节董事、监事、高级管理人员和员工情况" w:id="117"/>
      <w:bookmarkEnd w:id="117"/>
      <w:r>
        <w:rPr>
          <w:b w:val="0"/>
          <w:bCs w:val="0"/>
        </w:rPr>
      </w:r>
      <w:bookmarkStart w:name="_bookmark8" w:id="118"/>
      <w:bookmarkEnd w:id="118"/>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1044"/>
        <w:gridCol w:w="797"/>
        <w:gridCol w:w="586"/>
        <w:gridCol w:w="566"/>
        <w:gridCol w:w="991"/>
        <w:gridCol w:w="994"/>
        <w:gridCol w:w="852"/>
        <w:gridCol w:w="797"/>
        <w:gridCol w:w="800"/>
        <w:gridCol w:w="797"/>
        <w:gridCol w:w="799"/>
      </w:tblGrid>
      <w:tr>
        <w:trPr>
          <w:trHeight w:val="946"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401" w:right="41" w:hanging="361"/>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60" w:right="60"/>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3" w:right="31"/>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3" w:right="3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63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465,208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465,208</w:t>
            </w:r>
          </w:p>
        </w:tc>
      </w:tr>
      <w:tr>
        <w:trPr>
          <w:trHeight w:val="6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王腾</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08"/>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王瑞慷</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224,000</w:t>
            </w:r>
          </w:p>
        </w:tc>
      </w:tr>
      <w:tr>
        <w:trPr>
          <w:trHeight w:val="94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花少富</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8"/>
              <w:jc w:val="both"/>
              <w:rPr>
                <w:rFonts w:ascii="宋体" w:hAnsi="宋体" w:cs="宋体" w:eastAsia="宋体" w:hint="default"/>
                <w:sz w:val="18"/>
                <w:szCs w:val="18"/>
              </w:rPr>
            </w:pPr>
            <w:r>
              <w:rPr>
                <w:rFonts w:ascii="宋体" w:hAnsi="宋体" w:cs="宋体" w:eastAsia="宋体" w:hint="default"/>
                <w:sz w:val="18"/>
                <w:szCs w:val="18"/>
              </w:rPr>
              <w:t>董事、董事 会秘书、副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150,700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150,700</w:t>
            </w:r>
          </w:p>
        </w:tc>
      </w:tr>
      <w:tr>
        <w:trPr>
          <w:trHeight w:val="63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蒋立靓</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8"/>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倪净</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赵新建</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63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黄先海</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蒋贤品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徐佳</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张芸芸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余力航</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孔桦桦</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75,400</w:t>
            </w:r>
          </w:p>
        </w:tc>
      </w:tr>
      <w:tr>
        <w:trPr>
          <w:trHeight w:val="63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胡慷</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张文广</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秦浪</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任刚要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1044"/>
        <w:gridCol w:w="797"/>
        <w:gridCol w:w="586"/>
        <w:gridCol w:w="566"/>
        <w:gridCol w:w="991"/>
        <w:gridCol w:w="994"/>
        <w:gridCol w:w="852"/>
        <w:gridCol w:w="797"/>
        <w:gridCol w:w="800"/>
        <w:gridCol w:w="797"/>
        <w:gridCol w:w="799"/>
      </w:tblGrid>
      <w:tr>
        <w:trPr>
          <w:trHeight w:val="322"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秦俊峰</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韩振兴</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63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1,769,800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1,769,800</w:t>
            </w:r>
          </w:p>
        </w:tc>
      </w:tr>
      <w:tr>
        <w:trPr>
          <w:trHeight w:val="63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章建强</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8"/>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1,598,085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1,598,085</w:t>
            </w:r>
          </w:p>
        </w:tc>
      </w:tr>
      <w:tr>
        <w:trPr>
          <w:trHeight w:val="94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8"/>
              <w:jc w:val="both"/>
              <w:rPr>
                <w:rFonts w:ascii="宋体" w:hAnsi="宋体" w:cs="宋体" w:eastAsia="宋体" w:hint="default"/>
                <w:sz w:val="18"/>
                <w:szCs w:val="18"/>
              </w:rPr>
            </w:pPr>
            <w:r>
              <w:rPr>
                <w:rFonts w:ascii="宋体" w:hAnsi="宋体" w:cs="宋体" w:eastAsia="宋体" w:hint="default"/>
                <w:sz w:val="18"/>
                <w:szCs w:val="18"/>
              </w:rPr>
              <w:t>董事、副总 经理、财务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4,049,360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4,049,360</w:t>
            </w:r>
          </w:p>
        </w:tc>
      </w:tr>
      <w:tr>
        <w:trPr>
          <w:trHeight w:val="63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1,683,938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1,683,938</w:t>
            </w:r>
          </w:p>
        </w:tc>
      </w:tr>
      <w:tr>
        <w:trPr>
          <w:trHeight w:val="63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8"/>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3,416,360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3,416,360</w:t>
            </w:r>
          </w:p>
        </w:tc>
      </w:tr>
      <w:tr>
        <w:trPr>
          <w:trHeight w:val="63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陈利中</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151,800</w:t>
            </w:r>
          </w:p>
        </w:tc>
      </w:tr>
      <w:tr>
        <w:trPr>
          <w:trHeight w:val="63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冯晓</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407,420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407,420</w:t>
            </w:r>
          </w:p>
        </w:tc>
      </w:tr>
      <w:tr>
        <w:trPr>
          <w:trHeight w:val="63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13,992,07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13,992,07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2499"/>
        <w:gridCol w:w="1416"/>
        <w:gridCol w:w="2268"/>
        <w:gridCol w:w="2055"/>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王腾</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王瑞慷</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花少富</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董事、董事会秘书、副总经理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蒋立靓</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倪净</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蒋贤品</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黄先海</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徐佳</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胡慷</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换届选举</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2499"/>
        <w:gridCol w:w="1416"/>
        <w:gridCol w:w="2268"/>
        <w:gridCol w:w="2055"/>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孔桦桦</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张文广</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秦浪</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秦俊峰</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任刚要</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财务总监、副总经理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韩振兴</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任期满届</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章建强</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任期满届</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董事、副总经理、财务总监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任期满届</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任期满届</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任期满届</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陈利中</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任期满届</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任期满届</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冯晓</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任期满届</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任期满届</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bookmarkStart w:name="三、任职情况" w:id="121"/>
      <w:bookmarkEnd w:id="121"/>
      <w:r>
        <w:rPr>
          <w:b w:val="0"/>
          <w:bCs w:val="0"/>
        </w:rPr>
      </w: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spacing w:line="240" w:lineRule="auto" w:before="13"/>
        <w:rPr>
          <w:rFonts w:ascii="宋体" w:hAnsi="宋体" w:cs="宋体" w:eastAsia="宋体" w:hint="default"/>
          <w:sz w:val="17"/>
          <w:szCs w:val="17"/>
        </w:rPr>
      </w:pPr>
    </w:p>
    <w:p>
      <w:pPr>
        <w:pStyle w:val="BodyText"/>
        <w:spacing w:line="314" w:lineRule="auto"/>
        <w:ind w:right="1133"/>
        <w:jc w:val="both"/>
      </w:pPr>
      <w:r>
        <w:rPr/>
        <w:t>陈才君，男，中国国籍，</w:t>
      </w:r>
      <w:r>
        <w:rPr>
          <w:rFonts w:ascii="宋体" w:hAnsi="宋体" w:cs="宋体" w:eastAsia="宋体" w:hint="default"/>
        </w:rPr>
        <w:t>1981</w:t>
      </w:r>
      <w:r>
        <w:rPr/>
        <w:t>年</w:t>
      </w:r>
      <w:r>
        <w:rPr>
          <w:rFonts w:ascii="宋体" w:hAnsi="宋体" w:cs="宋体" w:eastAsia="宋体" w:hint="default"/>
        </w:rPr>
        <w:t>9</w:t>
      </w:r>
      <w:r>
        <w:rPr/>
        <w:t>月出生，无境外永久居留权，本科学历，工程师。</w:t>
      </w:r>
      <w:r>
        <w:rPr>
          <w:rFonts w:ascii="宋体" w:hAnsi="宋体" w:cs="宋体" w:eastAsia="宋体" w:hint="default"/>
        </w:rPr>
        <w:t>2005</w:t>
      </w:r>
      <w:r>
        <w:rPr/>
        <w:t>年起就职本公司，现任本公司董事</w:t>
      </w:r>
      <w:r>
        <w:rPr>
          <w:spacing w:val="-85"/>
        </w:rPr>
        <w:t> </w:t>
      </w:r>
      <w:r>
        <w:rPr>
          <w:spacing w:val="-85"/>
        </w:rPr>
      </w:r>
      <w:r>
        <w:rPr/>
        <w:t>长，浙江银江智慧交通工程研究院有限公司执行董事。</w:t>
      </w:r>
    </w:p>
    <w:p>
      <w:pPr>
        <w:spacing w:line="240" w:lineRule="auto" w:before="7"/>
        <w:rPr>
          <w:rFonts w:ascii="宋体" w:hAnsi="宋体" w:cs="宋体" w:eastAsia="宋体" w:hint="default"/>
          <w:sz w:val="13"/>
          <w:szCs w:val="13"/>
        </w:rPr>
      </w:pPr>
    </w:p>
    <w:p>
      <w:pPr>
        <w:pStyle w:val="BodyText"/>
        <w:spacing w:line="240" w:lineRule="auto"/>
        <w:ind w:right="0"/>
        <w:jc w:val="both"/>
      </w:pPr>
      <w:r>
        <w:rPr/>
        <w:t>王腾，男，中国国籍，</w:t>
      </w:r>
      <w:r>
        <w:rPr>
          <w:rFonts w:ascii="宋体" w:hAnsi="宋体" w:cs="宋体" w:eastAsia="宋体" w:hint="default"/>
        </w:rPr>
        <w:t>1987</w:t>
      </w:r>
      <w:r>
        <w:rPr/>
        <w:t>年</w:t>
      </w:r>
      <w:r>
        <w:rPr>
          <w:rFonts w:ascii="宋体" w:hAnsi="宋体" w:cs="宋体" w:eastAsia="宋体" w:hint="default"/>
        </w:rPr>
        <w:t>1</w:t>
      </w:r>
      <w:r>
        <w:rPr/>
        <w:t>月出生，无境外永久居留权，本科学历。</w:t>
      </w:r>
      <w:r>
        <w:rPr>
          <w:rFonts w:ascii="宋体" w:hAnsi="宋体" w:cs="宋体" w:eastAsia="宋体" w:hint="default"/>
        </w:rPr>
        <w:t>2014</w:t>
      </w:r>
      <w:r>
        <w:rPr/>
        <w:t>年起就职本公司，现任本公司总经理、董事。</w:t>
      </w:r>
    </w:p>
    <w:p>
      <w:pPr>
        <w:spacing w:line="240" w:lineRule="auto" w:before="10"/>
        <w:rPr>
          <w:rFonts w:ascii="宋体" w:hAnsi="宋体" w:cs="宋体" w:eastAsia="宋体" w:hint="default"/>
          <w:sz w:val="17"/>
          <w:szCs w:val="17"/>
        </w:rPr>
      </w:pPr>
    </w:p>
    <w:p>
      <w:pPr>
        <w:pStyle w:val="BodyText"/>
        <w:spacing w:line="316" w:lineRule="auto"/>
        <w:ind w:right="1129"/>
        <w:jc w:val="both"/>
      </w:pPr>
      <w:r>
        <w:rPr>
          <w:spacing w:val="-2"/>
        </w:rPr>
        <w:t>王瑞慷，男，中国国籍，</w:t>
      </w:r>
      <w:r>
        <w:rPr>
          <w:rFonts w:ascii="宋体" w:hAnsi="宋体" w:cs="宋体" w:eastAsia="宋体" w:hint="default"/>
          <w:spacing w:val="-2"/>
        </w:rPr>
        <w:t>1975</w:t>
      </w:r>
      <w:r>
        <w:rPr>
          <w:spacing w:val="-2"/>
        </w:rPr>
        <w:t>年</w:t>
      </w:r>
      <w:r>
        <w:rPr>
          <w:rFonts w:ascii="宋体" w:hAnsi="宋体" w:cs="宋体" w:eastAsia="宋体" w:hint="default"/>
          <w:spacing w:val="-2"/>
        </w:rPr>
        <w:t>11</w:t>
      </w:r>
      <w:r>
        <w:rPr>
          <w:spacing w:val="-2"/>
        </w:rPr>
        <w:t>月出生，无境外永久居留权，工商管理硕士。历任本公司董事，现任本公司董事，银江科</w:t>
      </w:r>
      <w:r>
        <w:rPr>
          <w:spacing w:val="-61"/>
        </w:rPr>
        <w:t> </w:t>
      </w:r>
      <w:r>
        <w:rPr>
          <w:spacing w:val="-61"/>
        </w:rPr>
      </w:r>
      <w:r>
        <w:rPr/>
        <w:t>技集团有限公司董事。</w:t>
      </w:r>
    </w:p>
    <w:p>
      <w:pPr>
        <w:spacing w:line="240" w:lineRule="auto" w:before="5"/>
        <w:rPr>
          <w:rFonts w:ascii="宋体" w:hAnsi="宋体" w:cs="宋体" w:eastAsia="宋体" w:hint="default"/>
          <w:sz w:val="13"/>
          <w:szCs w:val="13"/>
        </w:rPr>
      </w:pPr>
    </w:p>
    <w:p>
      <w:pPr>
        <w:pStyle w:val="BodyText"/>
        <w:spacing w:line="316" w:lineRule="auto"/>
        <w:ind w:right="1047"/>
        <w:jc w:val="both"/>
      </w:pPr>
      <w:r>
        <w:rPr/>
        <w:t>花少富，男，中国国籍，</w:t>
      </w:r>
      <w:r>
        <w:rPr>
          <w:rFonts w:ascii="宋体" w:hAnsi="宋体" w:cs="宋体" w:eastAsia="宋体" w:hint="default"/>
        </w:rPr>
        <w:t>1987</w:t>
      </w:r>
      <w:r>
        <w:rPr/>
        <w:t>年</w:t>
      </w:r>
      <w:r>
        <w:rPr>
          <w:rFonts w:ascii="宋体" w:hAnsi="宋体" w:cs="宋体" w:eastAsia="宋体" w:hint="default"/>
        </w:rPr>
        <w:t>4</w:t>
      </w:r>
      <w:r>
        <w:rPr/>
        <w:t>月出生，无境外永久居留权，本科学历。</w:t>
      </w:r>
      <w:r>
        <w:rPr>
          <w:rFonts w:ascii="宋体" w:hAnsi="宋体" w:cs="宋体" w:eastAsia="宋体" w:hint="default"/>
        </w:rPr>
        <w:t>2012</w:t>
      </w:r>
      <w:r>
        <w:rPr/>
        <w:t>年起就职本公司，现任本公司董事、副总经</w:t>
      </w:r>
      <w:r>
        <w:rPr>
          <w:spacing w:val="-85"/>
        </w:rPr>
        <w:t> </w:t>
      </w:r>
      <w:r>
        <w:rPr>
          <w:spacing w:val="-85"/>
        </w:rPr>
      </w:r>
      <w:r>
        <w:rPr/>
        <w:t>理、董事会秘书，银江股份（香港）有限公司董事，山东博安智能科技股份有限公司董事。</w:t>
      </w:r>
    </w:p>
    <w:p>
      <w:pPr>
        <w:spacing w:line="240" w:lineRule="auto" w:before="5"/>
        <w:rPr>
          <w:rFonts w:ascii="宋体" w:hAnsi="宋体" w:cs="宋体" w:eastAsia="宋体" w:hint="default"/>
          <w:sz w:val="13"/>
          <w:szCs w:val="13"/>
        </w:rPr>
      </w:pPr>
    </w:p>
    <w:p>
      <w:pPr>
        <w:pStyle w:val="BodyText"/>
        <w:spacing w:line="316" w:lineRule="auto"/>
        <w:ind w:right="1047"/>
        <w:jc w:val="both"/>
      </w:pPr>
      <w:r>
        <w:rPr/>
        <w:t>蒋立靓，男</w:t>
      </w:r>
      <w:r>
        <w:rPr>
          <w:rFonts w:ascii="宋体" w:hAnsi="宋体" w:cs="宋体" w:eastAsia="宋体" w:hint="default"/>
        </w:rPr>
        <w:t>,</w:t>
      </w:r>
      <w:r>
        <w:rPr/>
        <w:t>中国国籍</w:t>
      </w:r>
      <w:r>
        <w:rPr>
          <w:rFonts w:ascii="宋体" w:hAnsi="宋体" w:cs="宋体" w:eastAsia="宋体" w:hint="default"/>
        </w:rPr>
        <w:t>,1984</w:t>
      </w:r>
      <w:r>
        <w:rPr/>
        <w:t>年</w:t>
      </w:r>
      <w:r>
        <w:rPr>
          <w:rFonts w:ascii="宋体" w:hAnsi="宋体" w:cs="宋体" w:eastAsia="宋体" w:hint="default"/>
        </w:rPr>
        <w:t>5</w:t>
      </w:r>
      <w:r>
        <w:rPr/>
        <w:t>月出生</w:t>
      </w:r>
      <w:r>
        <w:rPr>
          <w:rFonts w:ascii="宋体" w:hAnsi="宋体" w:cs="宋体" w:eastAsia="宋体" w:hint="default"/>
        </w:rPr>
        <w:t>,</w:t>
      </w:r>
      <w:r>
        <w:rPr/>
        <w:t>无境外永久居留权</w:t>
      </w:r>
      <w:r>
        <w:rPr>
          <w:rFonts w:ascii="宋体" w:hAnsi="宋体" w:cs="宋体" w:eastAsia="宋体" w:hint="default"/>
        </w:rPr>
        <w:t>,</w:t>
      </w:r>
      <w:r>
        <w:rPr/>
        <w:t>本科学历</w:t>
      </w:r>
      <w:r>
        <w:rPr>
          <w:rFonts w:ascii="宋体" w:hAnsi="宋体" w:cs="宋体" w:eastAsia="宋体" w:hint="default"/>
        </w:rPr>
        <w:t>,</w:t>
      </w:r>
      <w:r>
        <w:rPr/>
        <w:t>工程师。</w:t>
      </w:r>
      <w:r>
        <w:rPr>
          <w:rFonts w:ascii="宋体" w:hAnsi="宋体" w:cs="宋体" w:eastAsia="宋体" w:hint="default"/>
        </w:rPr>
        <w:t>2007</w:t>
      </w:r>
      <w:r>
        <w:rPr/>
        <w:t>年起就职本公司，先后在市场管理中心、 运营管理中心等部门担任管理职务</w:t>
      </w:r>
      <w:r>
        <w:rPr>
          <w:rFonts w:ascii="宋体" w:hAnsi="宋体" w:cs="宋体" w:eastAsia="宋体" w:hint="default"/>
        </w:rPr>
        <w:t>,</w:t>
      </w:r>
      <w:r>
        <w:rPr/>
        <w:t>现任本公司董事、副总经理、企业管理中心总经理。</w:t>
      </w:r>
    </w:p>
    <w:p>
      <w:pPr>
        <w:spacing w:line="240" w:lineRule="auto" w:before="5"/>
        <w:rPr>
          <w:rFonts w:ascii="宋体" w:hAnsi="宋体" w:cs="宋体" w:eastAsia="宋体" w:hint="default"/>
          <w:sz w:val="13"/>
          <w:szCs w:val="13"/>
        </w:rPr>
      </w:pPr>
    </w:p>
    <w:p>
      <w:pPr>
        <w:pStyle w:val="BodyText"/>
        <w:spacing w:line="316" w:lineRule="auto"/>
        <w:ind w:right="1131"/>
        <w:jc w:val="both"/>
      </w:pPr>
      <w:r>
        <w:rPr/>
        <w:t>倪净，女</w:t>
      </w:r>
      <w:r>
        <w:rPr>
          <w:rFonts w:ascii="宋体" w:hAnsi="宋体" w:cs="宋体" w:eastAsia="宋体" w:hint="default"/>
        </w:rPr>
        <w:t>,</w:t>
      </w:r>
      <w:r>
        <w:rPr/>
        <w:t>中国国籍</w:t>
      </w:r>
      <w:r>
        <w:rPr>
          <w:rFonts w:ascii="宋体" w:hAnsi="宋体" w:cs="宋体" w:eastAsia="宋体" w:hint="default"/>
        </w:rPr>
        <w:t>,1973</w:t>
      </w:r>
      <w:r>
        <w:rPr/>
        <w:t>年</w:t>
      </w:r>
      <w:r>
        <w:rPr>
          <w:rFonts w:ascii="宋体" w:hAnsi="宋体" w:cs="宋体" w:eastAsia="宋体" w:hint="default"/>
        </w:rPr>
        <w:t>2</w:t>
      </w:r>
      <w:r>
        <w:rPr/>
        <w:t>月出生</w:t>
      </w:r>
      <w:r>
        <w:rPr>
          <w:rFonts w:ascii="宋体" w:hAnsi="宋体" w:cs="宋体" w:eastAsia="宋体" w:hint="default"/>
        </w:rPr>
        <w:t>,</w:t>
      </w:r>
      <w:r>
        <w:rPr/>
        <w:t>无境外永久居留权</w:t>
      </w:r>
      <w:r>
        <w:rPr>
          <w:rFonts w:ascii="宋体" w:hAnsi="宋体" w:cs="宋体" w:eastAsia="宋体" w:hint="default"/>
        </w:rPr>
        <w:t>,</w:t>
      </w:r>
      <w:r>
        <w:rPr/>
        <w:t>本科学历</w:t>
      </w:r>
      <w:r>
        <w:rPr>
          <w:rFonts w:ascii="宋体" w:hAnsi="宋体" w:cs="宋体" w:eastAsia="宋体" w:hint="default"/>
        </w:rPr>
        <w:t>,</w:t>
      </w:r>
      <w:r>
        <w:rPr/>
        <w:t>高级人力资源管理师。</w:t>
      </w:r>
      <w:r>
        <w:rPr>
          <w:rFonts w:ascii="宋体" w:hAnsi="宋体" w:cs="宋体" w:eastAsia="宋体" w:hint="default"/>
        </w:rPr>
        <w:t>2001</w:t>
      </w:r>
      <w:r>
        <w:rPr/>
        <w:t>年起就职本公司</w:t>
      </w:r>
      <w:r>
        <w:rPr>
          <w:rFonts w:ascii="宋体" w:hAnsi="宋体" w:cs="宋体" w:eastAsia="宋体" w:hint="default"/>
        </w:rPr>
        <w:t>,</w:t>
      </w:r>
      <w:r>
        <w:rPr/>
        <w:t>先后在人力 资源部、行政管理中心等部门岗位担任管理职务</w:t>
      </w:r>
      <w:r>
        <w:rPr>
          <w:rFonts w:ascii="宋体" w:hAnsi="宋体" w:cs="宋体" w:eastAsia="宋体" w:hint="default"/>
        </w:rPr>
        <w:t>,</w:t>
      </w:r>
      <w:r>
        <w:rPr/>
        <w:t>现任本公司董事、人力资源总监。</w:t>
      </w:r>
    </w:p>
    <w:p>
      <w:pPr>
        <w:spacing w:line="240" w:lineRule="auto" w:before="5"/>
        <w:rPr>
          <w:rFonts w:ascii="宋体" w:hAnsi="宋体" w:cs="宋体" w:eastAsia="宋体" w:hint="default"/>
          <w:sz w:val="13"/>
          <w:szCs w:val="13"/>
        </w:rPr>
      </w:pPr>
    </w:p>
    <w:p>
      <w:pPr>
        <w:pStyle w:val="BodyText"/>
        <w:spacing w:line="316" w:lineRule="auto"/>
        <w:ind w:right="1129"/>
        <w:jc w:val="both"/>
      </w:pPr>
      <w:r>
        <w:rPr/>
        <w:t>赵新建</w:t>
      </w:r>
      <w:r>
        <w:rPr>
          <w:rFonts w:ascii="宋体" w:hAnsi="宋体" w:cs="宋体" w:eastAsia="宋体" w:hint="default"/>
        </w:rPr>
        <w:t>,</w:t>
      </w:r>
      <w:r>
        <w:rPr/>
        <w:t>男</w:t>
      </w:r>
      <w:r>
        <w:rPr>
          <w:rFonts w:ascii="宋体" w:hAnsi="宋体" w:cs="宋体" w:eastAsia="宋体" w:hint="default"/>
        </w:rPr>
        <w:t>,1955</w:t>
      </w:r>
      <w:r>
        <w:rPr/>
        <w:t>年生</w:t>
      </w:r>
      <w:r>
        <w:rPr>
          <w:rFonts w:ascii="宋体" w:hAnsi="宋体" w:cs="宋体" w:eastAsia="宋体" w:hint="default"/>
        </w:rPr>
        <w:t>,</w:t>
      </w:r>
      <w:r>
        <w:rPr/>
        <w:t>中国国籍</w:t>
      </w:r>
      <w:r>
        <w:rPr>
          <w:rFonts w:ascii="宋体" w:hAnsi="宋体" w:cs="宋体" w:eastAsia="宋体" w:hint="default"/>
        </w:rPr>
        <w:t>,</w:t>
      </w:r>
      <w:r>
        <w:rPr/>
        <w:t>无境外永久居留权</w:t>
      </w:r>
      <w:r>
        <w:rPr>
          <w:rFonts w:ascii="宋体" w:hAnsi="宋体" w:cs="宋体" w:eastAsia="宋体" w:hint="default"/>
        </w:rPr>
        <w:t>,</w:t>
      </w:r>
      <w:r>
        <w:rPr/>
        <w:t>无线电技术专业硕士</w:t>
      </w:r>
      <w:r>
        <w:rPr>
          <w:rFonts w:ascii="宋体" w:hAnsi="宋体" w:cs="宋体" w:eastAsia="宋体" w:hint="default"/>
        </w:rPr>
        <w:t>,</w:t>
      </w:r>
      <w:r>
        <w:rPr/>
        <w:t>教授。</w:t>
      </w:r>
      <w:r>
        <w:rPr>
          <w:rFonts w:ascii="宋体" w:hAnsi="宋体" w:cs="宋体" w:eastAsia="宋体" w:hint="default"/>
        </w:rPr>
        <w:t>1981</w:t>
      </w:r>
      <w:r>
        <w:rPr/>
        <w:t>年至</w:t>
      </w:r>
      <w:r>
        <w:rPr>
          <w:rFonts w:ascii="宋体" w:hAnsi="宋体" w:cs="宋体" w:eastAsia="宋体" w:hint="default"/>
        </w:rPr>
        <w:t>2015</w:t>
      </w:r>
      <w:r>
        <w:rPr/>
        <w:t>年就职于浙江工业大学</w:t>
      </w:r>
      <w:r>
        <w:rPr>
          <w:rFonts w:ascii="宋体" w:hAnsi="宋体" w:cs="宋体" w:eastAsia="宋体" w:hint="default"/>
        </w:rPr>
        <w:t>,</w:t>
      </w:r>
      <w:r>
        <w:rPr/>
        <w:t>历任 </w:t>
      </w:r>
      <w:r>
        <w:rPr>
          <w:spacing w:val="-2"/>
        </w:rPr>
        <w:t>信息工程学院通信工程教研室主任、通信与电子工程系主任、网络信息教育中心主任、信息化办公室主任、信息工程学院教</w:t>
      </w:r>
      <w:r>
        <w:rPr>
          <w:spacing w:val="-64"/>
        </w:rPr>
        <w:t> </w:t>
      </w:r>
      <w:r>
        <w:rPr>
          <w:spacing w:val="-64"/>
        </w:rPr>
      </w:r>
      <w:r>
        <w:rPr>
          <w:spacing w:val="-2"/>
        </w:rPr>
        <w:t>授，现任本公司独立董事，杭州安恒信息技术股份有限公司独立董事，杭州世创电子技术股份有限公司独立董事，浙江中广</w:t>
      </w:r>
      <w:r>
        <w:rPr>
          <w:spacing w:val="-62"/>
        </w:rPr>
        <w:t> </w:t>
      </w:r>
      <w:r>
        <w:rPr>
          <w:spacing w:val="-62"/>
        </w:rPr>
      </w:r>
      <w:r>
        <w:rPr/>
        <w:t>电器股份有限公司独立董事。</w:t>
      </w:r>
    </w:p>
    <w:p>
      <w:pPr>
        <w:spacing w:line="240" w:lineRule="auto" w:before="5"/>
        <w:rPr>
          <w:rFonts w:ascii="宋体" w:hAnsi="宋体" w:cs="宋体" w:eastAsia="宋体" w:hint="default"/>
          <w:sz w:val="13"/>
          <w:szCs w:val="13"/>
        </w:rPr>
      </w:pPr>
    </w:p>
    <w:p>
      <w:pPr>
        <w:pStyle w:val="BodyText"/>
        <w:spacing w:line="316" w:lineRule="auto"/>
        <w:ind w:right="1050"/>
        <w:jc w:val="both"/>
      </w:pPr>
      <w:r>
        <w:rPr/>
        <w:t>黄先海，男，</w:t>
      </w:r>
      <w:r>
        <w:rPr>
          <w:rFonts w:ascii="宋体" w:hAnsi="宋体" w:cs="宋体" w:eastAsia="宋体" w:hint="default"/>
        </w:rPr>
        <w:t>1965</w:t>
      </w:r>
      <w:r>
        <w:rPr/>
        <w:t>年生，中国国籍</w:t>
      </w:r>
      <w:r>
        <w:rPr>
          <w:rFonts w:ascii="宋体" w:hAnsi="宋体" w:cs="宋体" w:eastAsia="宋体" w:hint="default"/>
        </w:rPr>
        <w:t>,</w:t>
      </w:r>
      <w:r>
        <w:rPr/>
        <w:t>无境外永久居留权，现为浙江大学经济学院院长、教授、博士生导师，浙江省人民政府</w:t>
      </w:r>
      <w:r>
        <w:rPr>
          <w:spacing w:val="-85"/>
        </w:rPr>
        <w:t> </w:t>
      </w:r>
      <w:r>
        <w:rPr>
          <w:spacing w:val="-85"/>
        </w:rPr>
      </w:r>
      <w:r>
        <w:rPr/>
        <w:t>咨询委员会委员。教育部“长江学者”特聘教授、国家“万人计划”哲学社会科学领军人才、国家有突出贡献中青年专家、</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国务院政府特殊津贴专家、“百千万人才工程”国家级人选。学术兼职为中国世界经济学会副会长、中国美国经济学会副会</w:t>
      </w:r>
      <w:r>
        <w:rPr>
          <w:spacing w:val="-67"/>
        </w:rPr>
        <w:t> </w:t>
      </w:r>
      <w:r>
        <w:rPr>
          <w:spacing w:val="-67"/>
        </w:rPr>
      </w:r>
      <w:r>
        <w:rPr/>
        <w:t>长、浙江省国际贸易学会会长。现任本公司独立董事。</w:t>
      </w:r>
    </w:p>
    <w:p>
      <w:pPr>
        <w:spacing w:line="240" w:lineRule="auto" w:before="3"/>
        <w:rPr>
          <w:rFonts w:ascii="宋体" w:hAnsi="宋体" w:cs="宋体" w:eastAsia="宋体" w:hint="default"/>
          <w:sz w:val="13"/>
          <w:szCs w:val="13"/>
        </w:rPr>
      </w:pPr>
    </w:p>
    <w:p>
      <w:pPr>
        <w:pStyle w:val="BodyText"/>
        <w:spacing w:line="316" w:lineRule="auto"/>
        <w:ind w:right="1034"/>
        <w:jc w:val="left"/>
      </w:pPr>
      <w:r>
        <w:rPr>
          <w:spacing w:val="-3"/>
        </w:rPr>
        <w:t>蒋贤品，男，</w:t>
      </w:r>
      <w:r>
        <w:rPr>
          <w:rFonts w:ascii="宋体" w:hAnsi="宋体" w:cs="宋体" w:eastAsia="宋体" w:hint="default"/>
          <w:spacing w:val="-3"/>
        </w:rPr>
        <w:t>1965</w:t>
      </w:r>
      <w:r>
        <w:rPr>
          <w:spacing w:val="-3"/>
        </w:rPr>
        <w:t>年生，中国国籍</w:t>
      </w:r>
      <w:r>
        <w:rPr>
          <w:rFonts w:ascii="宋体" w:hAnsi="宋体" w:cs="宋体" w:eastAsia="宋体" w:hint="default"/>
          <w:spacing w:val="-3"/>
        </w:rPr>
        <w:t>,</w:t>
      </w:r>
      <w:r>
        <w:rPr>
          <w:spacing w:val="-3"/>
        </w:rPr>
        <w:t>无境外永久居留权，</w:t>
      </w:r>
      <w:r>
        <w:rPr>
          <w:rFonts w:ascii="宋体" w:hAnsi="宋体" w:cs="宋体" w:eastAsia="宋体" w:hint="default"/>
          <w:spacing w:val="-3"/>
        </w:rPr>
        <w:t>1986</w:t>
      </w:r>
      <w:r>
        <w:rPr>
          <w:spacing w:val="-3"/>
        </w:rPr>
        <w:t>年起就职浙江工业大学</w:t>
      </w:r>
      <w:r>
        <w:rPr>
          <w:rFonts w:ascii="宋体" w:hAnsi="宋体" w:cs="宋体" w:eastAsia="宋体" w:hint="default"/>
          <w:spacing w:val="-3"/>
        </w:rPr>
        <w:t>,</w:t>
      </w:r>
      <w:r>
        <w:rPr>
          <w:spacing w:val="-3"/>
        </w:rPr>
        <w:t>现任浙江工业大学管理学院会计学教授，</w:t>
      </w:r>
      <w:r>
        <w:rPr>
          <w:spacing w:val="-88"/>
        </w:rPr>
        <w:t> </w:t>
      </w:r>
      <w:r>
        <w:rPr>
          <w:spacing w:val="-2"/>
        </w:rPr>
        <w:t>浙江工业大学</w:t>
      </w:r>
      <w:r>
        <w:rPr>
          <w:rFonts w:ascii="宋体" w:hAnsi="宋体" w:cs="宋体" w:eastAsia="宋体" w:hint="default"/>
          <w:spacing w:val="-2"/>
        </w:rPr>
        <w:t>MBA</w:t>
      </w:r>
      <w:r>
        <w:rPr>
          <w:spacing w:val="-2"/>
        </w:rPr>
        <w:t>教育中心骨干教师</w:t>
      </w:r>
      <w:r>
        <w:rPr>
          <w:rFonts w:ascii="宋体" w:hAnsi="宋体" w:cs="宋体" w:eastAsia="宋体" w:hint="default"/>
          <w:spacing w:val="-2"/>
        </w:rPr>
        <w:t>,</w:t>
      </w:r>
      <w:r>
        <w:rPr>
          <w:spacing w:val="-2"/>
        </w:rPr>
        <w:t>浙江省科技厅特聘财务专家，浙江省审计厅特约审计员。现任本公司独立董事，宁波申</w:t>
      </w:r>
      <w:r>
        <w:rPr>
          <w:spacing w:val="-61"/>
        </w:rPr>
        <w:t> </w:t>
      </w:r>
      <w:r>
        <w:rPr>
          <w:spacing w:val="-61"/>
        </w:rPr>
      </w:r>
      <w:r>
        <w:rPr/>
        <w:t>洲国际集团控股有限公司</w:t>
      </w:r>
      <w:r>
        <w:rPr>
          <w:rFonts w:ascii="宋体" w:hAnsi="宋体" w:cs="宋体" w:eastAsia="宋体" w:hint="default"/>
        </w:rPr>
        <w:t>(HK02313)</w:t>
      </w:r>
      <w:r>
        <w:rPr/>
        <w:t>独立董事，浙江百川导体技术股份有限公司</w:t>
      </w:r>
      <w:r>
        <w:rPr>
          <w:rFonts w:ascii="宋体" w:hAnsi="宋体" w:cs="宋体" w:eastAsia="宋体" w:hint="default"/>
        </w:rPr>
        <w:t>(832852)</w:t>
      </w:r>
      <w:r>
        <w:rPr/>
        <w:t>独立董事。</w:t>
      </w:r>
    </w:p>
    <w:p>
      <w:pPr>
        <w:spacing w:line="240" w:lineRule="auto" w:before="5"/>
        <w:rPr>
          <w:rFonts w:ascii="宋体" w:hAnsi="宋体" w:cs="宋体" w:eastAsia="宋体" w:hint="default"/>
          <w:sz w:val="13"/>
          <w:szCs w:val="13"/>
        </w:rPr>
      </w:pPr>
    </w:p>
    <w:p>
      <w:pPr>
        <w:pStyle w:val="BodyText"/>
        <w:spacing w:line="316" w:lineRule="auto"/>
        <w:ind w:right="0"/>
        <w:jc w:val="left"/>
      </w:pPr>
      <w:r>
        <w:rPr>
          <w:spacing w:val="-2"/>
        </w:rPr>
        <w:t>徐佳，女，中国国籍，</w:t>
      </w:r>
      <w:r>
        <w:rPr>
          <w:rFonts w:ascii="宋体" w:hAnsi="宋体" w:cs="宋体" w:eastAsia="宋体" w:hint="default"/>
          <w:spacing w:val="-2"/>
        </w:rPr>
        <w:t>1982</w:t>
      </w:r>
      <w:r>
        <w:rPr>
          <w:spacing w:val="-2"/>
        </w:rPr>
        <w:t>年</w:t>
      </w:r>
      <w:r>
        <w:rPr>
          <w:rFonts w:ascii="宋体" w:hAnsi="宋体" w:cs="宋体" w:eastAsia="宋体" w:hint="default"/>
          <w:spacing w:val="-2"/>
        </w:rPr>
        <w:t>4</w:t>
      </w:r>
      <w:r>
        <w:rPr>
          <w:spacing w:val="-2"/>
        </w:rPr>
        <w:t>月出生，无境外永久居留权，本科学历，会计师</w:t>
      </w:r>
      <w:r>
        <w:rPr>
          <w:rFonts w:ascii="宋体" w:hAnsi="宋体" w:cs="宋体" w:eastAsia="宋体" w:hint="default"/>
          <w:spacing w:val="-2"/>
        </w:rPr>
        <w:t>,</w:t>
      </w:r>
      <w:r>
        <w:rPr>
          <w:spacing w:val="-2"/>
        </w:rPr>
        <w:t>注册管理税务师。</w:t>
      </w:r>
      <w:r>
        <w:rPr>
          <w:rFonts w:ascii="宋体" w:hAnsi="宋体" w:cs="宋体" w:eastAsia="宋体" w:hint="default"/>
          <w:spacing w:val="-2"/>
        </w:rPr>
        <w:t>2007</w:t>
      </w:r>
      <w:r>
        <w:rPr>
          <w:spacing w:val="-2"/>
        </w:rPr>
        <w:t>年起就职本公司，现</w:t>
      </w:r>
      <w:r>
        <w:rPr>
          <w:spacing w:val="-59"/>
        </w:rPr>
        <w:t> </w:t>
      </w:r>
      <w:r>
        <w:rPr>
          <w:spacing w:val="-59"/>
        </w:rPr>
      </w:r>
      <w:r>
        <w:rPr/>
        <w:t>任本公司监事会主席、企业改制办主任，杭州银江医联网技术股份有限公司监事会主席。</w:t>
      </w:r>
    </w:p>
    <w:p>
      <w:pPr>
        <w:spacing w:line="240" w:lineRule="auto" w:before="5"/>
        <w:rPr>
          <w:rFonts w:ascii="宋体" w:hAnsi="宋体" w:cs="宋体" w:eastAsia="宋体" w:hint="default"/>
          <w:sz w:val="13"/>
          <w:szCs w:val="13"/>
        </w:rPr>
      </w:pPr>
    </w:p>
    <w:p>
      <w:pPr>
        <w:pStyle w:val="BodyText"/>
        <w:spacing w:line="316" w:lineRule="auto"/>
        <w:ind w:right="0"/>
        <w:jc w:val="left"/>
      </w:pPr>
      <w:r>
        <w:rPr>
          <w:spacing w:val="-2"/>
        </w:rPr>
        <w:t>张芸芸，女，中国国籍，</w:t>
      </w:r>
      <w:r>
        <w:rPr>
          <w:rFonts w:ascii="宋体" w:hAnsi="宋体" w:cs="宋体" w:eastAsia="宋体" w:hint="default"/>
          <w:spacing w:val="-2"/>
        </w:rPr>
        <w:t>1984</w:t>
      </w:r>
      <w:r>
        <w:rPr>
          <w:spacing w:val="-2"/>
        </w:rPr>
        <w:t>年</w:t>
      </w:r>
      <w:r>
        <w:rPr>
          <w:rFonts w:ascii="宋体" w:hAnsi="宋体" w:cs="宋体" w:eastAsia="宋体" w:hint="default"/>
          <w:spacing w:val="-2"/>
        </w:rPr>
        <w:t>11</w:t>
      </w:r>
      <w:r>
        <w:rPr>
          <w:spacing w:val="-2"/>
        </w:rPr>
        <w:t>月出生，无境外永久居留权，大专学历，</w:t>
      </w:r>
      <w:r>
        <w:rPr>
          <w:rFonts w:ascii="宋体" w:hAnsi="宋体" w:cs="宋体" w:eastAsia="宋体" w:hint="default"/>
          <w:spacing w:val="-2"/>
        </w:rPr>
        <w:t>2008</w:t>
      </w:r>
      <w:r>
        <w:rPr>
          <w:spacing w:val="-2"/>
        </w:rPr>
        <w:t>年至今在浙江交通技术有限公司和银江股份</w:t>
      </w:r>
      <w:r>
        <w:rPr>
          <w:spacing w:val="-60"/>
        </w:rPr>
        <w:t> </w:t>
      </w:r>
      <w:r>
        <w:rPr>
          <w:spacing w:val="-60"/>
        </w:rPr>
      </w:r>
      <w:r>
        <w:rPr/>
        <w:t>人力资源部工作。现任本公司监事。</w:t>
      </w:r>
    </w:p>
    <w:p>
      <w:pPr>
        <w:spacing w:line="240" w:lineRule="auto" w:before="5"/>
        <w:rPr>
          <w:rFonts w:ascii="宋体" w:hAnsi="宋体" w:cs="宋体" w:eastAsia="宋体" w:hint="default"/>
          <w:sz w:val="13"/>
          <w:szCs w:val="13"/>
        </w:rPr>
      </w:pPr>
    </w:p>
    <w:p>
      <w:pPr>
        <w:pStyle w:val="BodyText"/>
        <w:spacing w:line="319" w:lineRule="auto"/>
        <w:ind w:right="1119"/>
        <w:jc w:val="left"/>
      </w:pPr>
      <w:r>
        <w:rPr>
          <w:spacing w:val="-2"/>
        </w:rPr>
        <w:t>余力航，女，中国国籍，</w:t>
      </w:r>
      <w:r>
        <w:rPr>
          <w:rFonts w:ascii="宋体" w:hAnsi="宋体" w:cs="宋体" w:eastAsia="宋体" w:hint="default"/>
          <w:spacing w:val="-2"/>
        </w:rPr>
        <w:t>1989</w:t>
      </w:r>
      <w:r>
        <w:rPr>
          <w:spacing w:val="-2"/>
        </w:rPr>
        <w:t>年</w:t>
      </w:r>
      <w:r>
        <w:rPr>
          <w:rFonts w:ascii="宋体" w:hAnsi="宋体" w:cs="宋体" w:eastAsia="宋体" w:hint="default"/>
          <w:spacing w:val="-2"/>
        </w:rPr>
        <w:t>10</w:t>
      </w:r>
      <w:r>
        <w:rPr>
          <w:spacing w:val="-2"/>
        </w:rPr>
        <w:t>月出生，无境外永久居留权，本科学历。</w:t>
      </w:r>
      <w:r>
        <w:rPr>
          <w:rFonts w:ascii="宋体" w:hAnsi="宋体" w:cs="宋体" w:eastAsia="宋体" w:hint="default"/>
          <w:spacing w:val="-2"/>
        </w:rPr>
        <w:t>2012</w:t>
      </w:r>
      <w:r>
        <w:rPr>
          <w:spacing w:val="-2"/>
        </w:rPr>
        <w:t>年至今在本公司工作，现任本公司监事、审</w:t>
      </w:r>
      <w:r>
        <w:rPr>
          <w:spacing w:val="-59"/>
        </w:rPr>
        <w:t> </w:t>
      </w:r>
      <w:r>
        <w:rPr>
          <w:spacing w:val="-59"/>
        </w:rPr>
      </w:r>
      <w:r>
        <w:rPr/>
        <w:t>计部总监。</w:t>
      </w:r>
    </w:p>
    <w:p>
      <w:pPr>
        <w:spacing w:line="240" w:lineRule="auto" w:before="3"/>
        <w:rPr>
          <w:rFonts w:ascii="宋体" w:hAnsi="宋体" w:cs="宋体" w:eastAsia="宋体" w:hint="default"/>
          <w:sz w:val="13"/>
          <w:szCs w:val="13"/>
        </w:rPr>
      </w:pPr>
    </w:p>
    <w:p>
      <w:pPr>
        <w:pStyle w:val="BodyText"/>
        <w:spacing w:line="316" w:lineRule="auto"/>
        <w:ind w:right="1124"/>
        <w:jc w:val="left"/>
      </w:pPr>
      <w:r>
        <w:rPr/>
        <w:t>任刚要</w:t>
      </w:r>
      <w:r>
        <w:rPr>
          <w:rFonts w:ascii="宋体" w:hAnsi="宋体" w:cs="宋体" w:eastAsia="宋体" w:hint="default"/>
        </w:rPr>
        <w:t>,</w:t>
      </w:r>
      <w:r>
        <w:rPr/>
        <w:t>男</w:t>
      </w:r>
      <w:r>
        <w:rPr>
          <w:rFonts w:ascii="宋体" w:hAnsi="宋体" w:cs="宋体" w:eastAsia="宋体" w:hint="default"/>
        </w:rPr>
        <w:t>,</w:t>
      </w:r>
      <w:r>
        <w:rPr/>
        <w:t>中国国籍</w:t>
      </w:r>
      <w:r>
        <w:rPr>
          <w:rFonts w:ascii="宋体" w:hAnsi="宋体" w:cs="宋体" w:eastAsia="宋体" w:hint="default"/>
        </w:rPr>
        <w:t>,1982</w:t>
      </w:r>
      <w:r>
        <w:rPr/>
        <w:t>年</w:t>
      </w:r>
      <w:r>
        <w:rPr>
          <w:rFonts w:ascii="宋体" w:hAnsi="宋体" w:cs="宋体" w:eastAsia="宋体" w:hint="default"/>
        </w:rPr>
        <w:t>10</w:t>
      </w:r>
      <w:r>
        <w:rPr/>
        <w:t>月出生</w:t>
      </w:r>
      <w:r>
        <w:rPr>
          <w:rFonts w:ascii="宋体" w:hAnsi="宋体" w:cs="宋体" w:eastAsia="宋体" w:hint="default"/>
        </w:rPr>
        <w:t>,</w:t>
      </w:r>
      <w:r>
        <w:rPr/>
        <w:t>无境外永久居留权，硕士研究生学历</w:t>
      </w:r>
      <w:r>
        <w:rPr>
          <w:rFonts w:ascii="宋体" w:hAnsi="宋体" w:cs="宋体" w:eastAsia="宋体" w:hint="default"/>
        </w:rPr>
        <w:t>,</w:t>
      </w:r>
      <w:r>
        <w:rPr/>
        <w:t>会计师、注册资产评估师。</w:t>
      </w:r>
      <w:r>
        <w:rPr>
          <w:rFonts w:ascii="宋体" w:hAnsi="宋体" w:cs="宋体" w:eastAsia="宋体" w:hint="default"/>
        </w:rPr>
        <w:t>2012</w:t>
      </w:r>
      <w:r>
        <w:rPr/>
        <w:t>年起就职本公 司</w:t>
      </w:r>
      <w:r>
        <w:rPr>
          <w:rFonts w:ascii="宋体" w:hAnsi="宋体" w:cs="宋体" w:eastAsia="宋体" w:hint="default"/>
        </w:rPr>
        <w:t>,</w:t>
      </w:r>
      <w:r>
        <w:rPr/>
        <w:t>现任本公司财务总监、副总经理。</w:t>
      </w:r>
    </w:p>
    <w:p>
      <w:pPr>
        <w:spacing w:line="240" w:lineRule="auto" w:before="5"/>
        <w:rPr>
          <w:rFonts w:ascii="宋体" w:hAnsi="宋体" w:cs="宋体" w:eastAsia="宋体" w:hint="default"/>
          <w:sz w:val="13"/>
          <w:szCs w:val="13"/>
        </w:rPr>
      </w:pPr>
    </w:p>
    <w:p>
      <w:pPr>
        <w:pStyle w:val="BodyText"/>
        <w:spacing w:line="316" w:lineRule="auto"/>
        <w:ind w:right="0"/>
        <w:jc w:val="left"/>
      </w:pPr>
      <w:r>
        <w:rPr>
          <w:spacing w:val="-3"/>
        </w:rPr>
        <w:t>胡慷，男，中国国籍</w:t>
      </w:r>
      <w:r>
        <w:rPr>
          <w:rFonts w:ascii="宋体" w:hAnsi="宋体" w:cs="宋体" w:eastAsia="宋体" w:hint="default"/>
          <w:spacing w:val="-3"/>
        </w:rPr>
        <w:t>,1979</w:t>
      </w:r>
      <w:r>
        <w:rPr>
          <w:spacing w:val="-3"/>
        </w:rPr>
        <w:t>年</w:t>
      </w:r>
      <w:r>
        <w:rPr>
          <w:rFonts w:ascii="宋体" w:hAnsi="宋体" w:cs="宋体" w:eastAsia="宋体" w:hint="default"/>
          <w:spacing w:val="-3"/>
        </w:rPr>
        <w:t>11</w:t>
      </w:r>
      <w:r>
        <w:rPr>
          <w:spacing w:val="-3"/>
        </w:rPr>
        <w:t>月出生</w:t>
      </w:r>
      <w:r>
        <w:rPr>
          <w:rFonts w:ascii="宋体" w:hAnsi="宋体" w:cs="宋体" w:eastAsia="宋体" w:hint="default"/>
          <w:spacing w:val="-3"/>
        </w:rPr>
        <w:t>,</w:t>
      </w:r>
      <w:r>
        <w:rPr>
          <w:spacing w:val="-3"/>
        </w:rPr>
        <w:t>无境外永久居留权</w:t>
      </w:r>
      <w:r>
        <w:rPr>
          <w:rFonts w:ascii="宋体" w:hAnsi="宋体" w:cs="宋体" w:eastAsia="宋体" w:hint="default"/>
          <w:spacing w:val="-3"/>
        </w:rPr>
        <w:t>,</w:t>
      </w:r>
      <w:r>
        <w:rPr>
          <w:spacing w:val="-3"/>
        </w:rPr>
        <w:t>香港公开大学</w:t>
      </w:r>
      <w:r>
        <w:rPr>
          <w:rFonts w:ascii="宋体" w:hAnsi="宋体" w:cs="宋体" w:eastAsia="宋体" w:hint="default"/>
          <w:spacing w:val="-3"/>
        </w:rPr>
        <w:t>MBA</w:t>
      </w:r>
      <w:r>
        <w:rPr>
          <w:spacing w:val="-3"/>
        </w:rPr>
        <w:t>高级工商管理硕士在读</w:t>
      </w:r>
      <w:r>
        <w:rPr>
          <w:rFonts w:ascii="宋体" w:hAnsi="宋体" w:cs="宋体" w:eastAsia="宋体" w:hint="default"/>
          <w:spacing w:val="-3"/>
        </w:rPr>
        <w:t>,</w:t>
      </w:r>
      <w:r>
        <w:rPr>
          <w:spacing w:val="-3"/>
        </w:rPr>
        <w:t>中国民主同盟盟员。</w:t>
      </w:r>
      <w:r>
        <w:rPr>
          <w:rFonts w:ascii="宋体" w:hAnsi="宋体" w:cs="宋体" w:eastAsia="宋体" w:hint="default"/>
          <w:spacing w:val="-3"/>
        </w:rPr>
        <w:t>2012</w:t>
      </w:r>
      <w:r>
        <w:rPr>
          <w:rFonts w:ascii="宋体" w:hAnsi="宋体" w:cs="宋体" w:eastAsia="宋体" w:hint="default"/>
          <w:spacing w:val="-78"/>
        </w:rPr>
        <w:t> </w:t>
      </w:r>
      <w:r>
        <w:rPr>
          <w:rFonts w:ascii="宋体" w:hAnsi="宋体" w:cs="宋体" w:eastAsia="宋体" w:hint="default"/>
          <w:spacing w:val="-78"/>
        </w:rPr>
      </w:r>
      <w:r>
        <w:rPr/>
        <w:t>年起就职本公司，现任本公司副总经理、江苏银江智慧城市技术有限公司董事长。</w:t>
      </w:r>
    </w:p>
    <w:p>
      <w:pPr>
        <w:spacing w:line="240" w:lineRule="auto" w:before="5"/>
        <w:rPr>
          <w:rFonts w:ascii="宋体" w:hAnsi="宋体" w:cs="宋体" w:eastAsia="宋体" w:hint="default"/>
          <w:sz w:val="13"/>
          <w:szCs w:val="13"/>
        </w:rPr>
      </w:pPr>
    </w:p>
    <w:p>
      <w:pPr>
        <w:pStyle w:val="BodyText"/>
        <w:spacing w:line="316" w:lineRule="auto"/>
        <w:ind w:right="1124"/>
        <w:jc w:val="left"/>
      </w:pPr>
      <w:r>
        <w:rPr/>
        <w:t>张文广，男，中国国籍，</w:t>
      </w:r>
      <w:r>
        <w:rPr>
          <w:rFonts w:ascii="宋体" w:hAnsi="宋体" w:cs="宋体" w:eastAsia="宋体" w:hint="default"/>
        </w:rPr>
        <w:t>1973</w:t>
      </w:r>
      <w:r>
        <w:rPr/>
        <w:t>年</w:t>
      </w:r>
      <w:r>
        <w:rPr>
          <w:rFonts w:ascii="宋体" w:hAnsi="宋体" w:cs="宋体" w:eastAsia="宋体" w:hint="default"/>
        </w:rPr>
        <w:t>2</w:t>
      </w:r>
      <w:r>
        <w:rPr/>
        <w:t>月出生，无境外永久居留权，本科学历，高级工程师。</w:t>
      </w:r>
      <w:r>
        <w:rPr>
          <w:rFonts w:ascii="宋体" w:hAnsi="宋体" w:cs="宋体" w:eastAsia="宋体" w:hint="default"/>
        </w:rPr>
        <w:t>2013</w:t>
      </w:r>
      <w:r>
        <w:rPr/>
        <w:t>年起就职本公司，历任杭州银</w:t>
      </w:r>
      <w:r>
        <w:rPr>
          <w:spacing w:val="-86"/>
        </w:rPr>
        <w:t> </w:t>
      </w:r>
      <w:r>
        <w:rPr/>
        <w:t>江智慧城市技术集团有限公司执行总裁、总裁，现任本公司副总经理，杭州银江智慧城市技术集团有限公司董事长。</w:t>
      </w:r>
    </w:p>
    <w:p>
      <w:pPr>
        <w:spacing w:line="240" w:lineRule="auto" w:before="5"/>
        <w:rPr>
          <w:rFonts w:ascii="宋体" w:hAnsi="宋体" w:cs="宋体" w:eastAsia="宋体" w:hint="default"/>
          <w:sz w:val="13"/>
          <w:szCs w:val="13"/>
        </w:rPr>
      </w:pPr>
    </w:p>
    <w:p>
      <w:pPr>
        <w:pStyle w:val="BodyText"/>
        <w:spacing w:line="316" w:lineRule="auto"/>
        <w:ind w:right="1133"/>
        <w:jc w:val="left"/>
      </w:pPr>
      <w:r>
        <w:rPr>
          <w:spacing w:val="-2"/>
        </w:rPr>
        <w:t>秦浪，男，中国国籍</w:t>
      </w:r>
      <w:r>
        <w:rPr>
          <w:rFonts w:ascii="宋体" w:hAnsi="宋体" w:cs="宋体" w:eastAsia="宋体" w:hint="default"/>
          <w:spacing w:val="-2"/>
        </w:rPr>
        <w:t>,1986</w:t>
      </w:r>
      <w:r>
        <w:rPr>
          <w:spacing w:val="-2"/>
        </w:rPr>
        <w:t>年</w:t>
      </w:r>
      <w:r>
        <w:rPr>
          <w:rFonts w:ascii="宋体" w:hAnsi="宋体" w:cs="宋体" w:eastAsia="宋体" w:hint="default"/>
          <w:spacing w:val="-2"/>
        </w:rPr>
        <w:t>8</w:t>
      </w:r>
      <w:r>
        <w:rPr>
          <w:spacing w:val="-2"/>
        </w:rPr>
        <w:t>月出生</w:t>
      </w:r>
      <w:r>
        <w:rPr>
          <w:rFonts w:ascii="宋体" w:hAnsi="宋体" w:cs="宋体" w:eastAsia="宋体" w:hint="default"/>
          <w:spacing w:val="-2"/>
        </w:rPr>
        <w:t>,</w:t>
      </w:r>
      <w:r>
        <w:rPr>
          <w:spacing w:val="-2"/>
        </w:rPr>
        <w:t>无境外永久居留权</w:t>
      </w:r>
      <w:r>
        <w:rPr>
          <w:rFonts w:ascii="宋体" w:hAnsi="宋体" w:cs="宋体" w:eastAsia="宋体" w:hint="default"/>
          <w:spacing w:val="-2"/>
        </w:rPr>
        <w:t>,</w:t>
      </w:r>
      <w:r>
        <w:rPr>
          <w:spacing w:val="-2"/>
        </w:rPr>
        <w:t>浙江大学</w:t>
      </w:r>
      <w:r>
        <w:rPr>
          <w:rFonts w:ascii="宋体" w:hAnsi="宋体" w:cs="宋体" w:eastAsia="宋体" w:hint="default"/>
          <w:spacing w:val="-2"/>
        </w:rPr>
        <w:t>EMBA,</w:t>
      </w:r>
      <w:r>
        <w:rPr>
          <w:spacing w:val="-2"/>
        </w:rPr>
        <w:t>经济师职称。</w:t>
      </w:r>
      <w:r>
        <w:rPr>
          <w:rFonts w:ascii="宋体" w:hAnsi="宋体" w:cs="宋体" w:eastAsia="宋体" w:hint="default"/>
          <w:spacing w:val="-2"/>
        </w:rPr>
        <w:t>2007</w:t>
      </w:r>
      <w:r>
        <w:rPr>
          <w:spacing w:val="-2"/>
        </w:rPr>
        <w:t>年起就职本公司</w:t>
      </w:r>
      <w:r>
        <w:rPr>
          <w:rFonts w:ascii="宋体" w:hAnsi="宋体" w:cs="宋体" w:eastAsia="宋体" w:hint="default"/>
          <w:spacing w:val="-2"/>
        </w:rPr>
        <w:t>,</w:t>
      </w:r>
      <w:r>
        <w:rPr>
          <w:spacing w:val="-2"/>
        </w:rPr>
        <w:t>曾在市场管理中</w:t>
      </w:r>
      <w:r>
        <w:rPr>
          <w:spacing w:val="-56"/>
        </w:rPr>
        <w:t> </w:t>
      </w:r>
      <w:r>
        <w:rPr/>
        <w:t>心担任管理职务</w:t>
      </w:r>
      <w:r>
        <w:rPr>
          <w:rFonts w:ascii="宋体" w:hAnsi="宋体" w:cs="宋体" w:eastAsia="宋体" w:hint="default"/>
        </w:rPr>
        <w:t>,</w:t>
      </w:r>
      <w:r>
        <w:rPr/>
        <w:t>现任本公司副总经理。</w:t>
      </w:r>
    </w:p>
    <w:p>
      <w:pPr>
        <w:spacing w:line="240" w:lineRule="auto" w:before="5"/>
        <w:rPr>
          <w:rFonts w:ascii="宋体" w:hAnsi="宋体" w:cs="宋体" w:eastAsia="宋体" w:hint="default"/>
          <w:sz w:val="13"/>
          <w:szCs w:val="13"/>
        </w:rPr>
      </w:pPr>
    </w:p>
    <w:p>
      <w:pPr>
        <w:pStyle w:val="BodyText"/>
        <w:spacing w:line="316" w:lineRule="auto"/>
        <w:ind w:right="1124"/>
        <w:jc w:val="left"/>
      </w:pPr>
      <w:r>
        <w:rPr/>
        <w:t>韩振兴</w:t>
      </w:r>
      <w:r>
        <w:rPr>
          <w:rFonts w:ascii="宋体" w:hAnsi="宋体" w:cs="宋体" w:eastAsia="宋体" w:hint="default"/>
        </w:rPr>
        <w:t>,</w:t>
      </w:r>
      <w:r>
        <w:rPr/>
        <w:t>男</w:t>
      </w:r>
      <w:r>
        <w:rPr>
          <w:rFonts w:ascii="宋体" w:hAnsi="宋体" w:cs="宋体" w:eastAsia="宋体" w:hint="default"/>
        </w:rPr>
        <w:t>,</w:t>
      </w:r>
      <w:r>
        <w:rPr/>
        <w:t>中国国籍</w:t>
      </w:r>
      <w:r>
        <w:rPr>
          <w:rFonts w:ascii="宋体" w:hAnsi="宋体" w:cs="宋体" w:eastAsia="宋体" w:hint="default"/>
        </w:rPr>
        <w:t>,1989</w:t>
      </w:r>
      <w:r>
        <w:rPr/>
        <w:t>年</w:t>
      </w:r>
      <w:r>
        <w:rPr>
          <w:rFonts w:ascii="宋体" w:hAnsi="宋体" w:cs="宋体" w:eastAsia="宋体" w:hint="default"/>
        </w:rPr>
        <w:t>2</w:t>
      </w:r>
      <w:r>
        <w:rPr/>
        <w:t>月出生</w:t>
      </w:r>
      <w:r>
        <w:rPr>
          <w:rFonts w:ascii="宋体" w:hAnsi="宋体" w:cs="宋体" w:eastAsia="宋体" w:hint="default"/>
        </w:rPr>
        <w:t>,</w:t>
      </w:r>
      <w:r>
        <w:rPr/>
        <w:t>无境外永久居留权</w:t>
      </w:r>
      <w:r>
        <w:rPr>
          <w:rFonts w:ascii="宋体" w:hAnsi="宋体" w:cs="宋体" w:eastAsia="宋体" w:hint="default"/>
        </w:rPr>
        <w:t>,</w:t>
      </w:r>
      <w:r>
        <w:rPr/>
        <w:t>本科学历。</w:t>
      </w:r>
      <w:r>
        <w:rPr>
          <w:rFonts w:ascii="宋体" w:hAnsi="宋体" w:cs="宋体" w:eastAsia="宋体" w:hint="default"/>
        </w:rPr>
        <w:t>2014</w:t>
      </w:r>
      <w:r>
        <w:rPr/>
        <w:t>年起就职本公司</w:t>
      </w:r>
      <w:r>
        <w:rPr>
          <w:rFonts w:ascii="宋体" w:hAnsi="宋体" w:cs="宋体" w:eastAsia="宋体" w:hint="default"/>
        </w:rPr>
        <w:t>,</w:t>
      </w:r>
      <w:r>
        <w:rPr/>
        <w:t>现任本公司副总经理，湖北银江 智慧城市技术有限公司总经理。</w:t>
      </w:r>
    </w:p>
    <w:p>
      <w:pPr>
        <w:spacing w:line="240" w:lineRule="auto" w:before="5"/>
        <w:rPr>
          <w:rFonts w:ascii="宋体" w:hAnsi="宋体" w:cs="宋体" w:eastAsia="宋体" w:hint="default"/>
          <w:sz w:val="13"/>
          <w:szCs w:val="13"/>
        </w:rPr>
      </w:pPr>
    </w:p>
    <w:p>
      <w:pPr>
        <w:pStyle w:val="BodyText"/>
        <w:spacing w:line="316" w:lineRule="auto"/>
        <w:ind w:right="1124"/>
        <w:jc w:val="left"/>
      </w:pPr>
      <w:r>
        <w:rPr/>
        <w:t>孔桦桦</w:t>
      </w:r>
      <w:r>
        <w:rPr>
          <w:rFonts w:ascii="宋体" w:hAnsi="宋体" w:cs="宋体" w:eastAsia="宋体" w:hint="default"/>
        </w:rPr>
        <w:t>,</w:t>
      </w:r>
      <w:r>
        <w:rPr/>
        <w:t>女</w:t>
      </w:r>
      <w:r>
        <w:rPr>
          <w:rFonts w:ascii="宋体" w:hAnsi="宋体" w:cs="宋体" w:eastAsia="宋体" w:hint="default"/>
        </w:rPr>
        <w:t>,</w:t>
      </w:r>
      <w:r>
        <w:rPr/>
        <w:t>中国国籍</w:t>
      </w:r>
      <w:r>
        <w:rPr>
          <w:rFonts w:ascii="宋体" w:hAnsi="宋体" w:cs="宋体" w:eastAsia="宋体" w:hint="default"/>
        </w:rPr>
        <w:t>,1980</w:t>
      </w:r>
      <w:r>
        <w:rPr/>
        <w:t>年</w:t>
      </w:r>
      <w:r>
        <w:rPr>
          <w:rFonts w:ascii="宋体" w:hAnsi="宋体" w:cs="宋体" w:eastAsia="宋体" w:hint="default"/>
        </w:rPr>
        <w:t>3</w:t>
      </w:r>
      <w:r>
        <w:rPr/>
        <w:t>月出生</w:t>
      </w:r>
      <w:r>
        <w:rPr>
          <w:rFonts w:ascii="宋体" w:hAnsi="宋体" w:cs="宋体" w:eastAsia="宋体" w:hint="default"/>
        </w:rPr>
        <w:t>,</w:t>
      </w:r>
      <w:r>
        <w:rPr/>
        <w:t>无境外永久居留权</w:t>
      </w:r>
      <w:r>
        <w:rPr>
          <w:rFonts w:ascii="宋体" w:hAnsi="宋体" w:cs="宋体" w:eastAsia="宋体" w:hint="default"/>
        </w:rPr>
        <w:t>,</w:t>
      </w:r>
      <w:r>
        <w:rPr/>
        <w:t>工业工程硕士。</w:t>
      </w:r>
      <w:r>
        <w:rPr>
          <w:rFonts w:ascii="宋体" w:hAnsi="宋体" w:cs="宋体" w:eastAsia="宋体" w:hint="default"/>
        </w:rPr>
        <w:t>2002</w:t>
      </w:r>
      <w:r>
        <w:rPr/>
        <w:t>年至今在本公司工作</w:t>
      </w:r>
      <w:r>
        <w:rPr>
          <w:rFonts w:ascii="宋体" w:hAnsi="宋体" w:cs="宋体" w:eastAsia="宋体" w:hint="default"/>
        </w:rPr>
        <w:t>,</w:t>
      </w:r>
      <w:r>
        <w:rPr/>
        <w:t>历任监事会主席，现任</w:t>
      </w:r>
      <w:r>
        <w:rPr>
          <w:spacing w:val="-87"/>
        </w:rPr>
        <w:t> </w:t>
      </w:r>
      <w:r>
        <w:rPr/>
        <w:t>本公司副总经理、企业发展中心总经理。</w:t>
      </w:r>
    </w:p>
    <w:p>
      <w:pPr>
        <w:spacing w:line="240" w:lineRule="auto" w:before="10"/>
        <w:rPr>
          <w:rFonts w:ascii="宋体" w:hAnsi="宋体" w:cs="宋体" w:eastAsia="宋体" w:hint="default"/>
          <w:sz w:val="19"/>
          <w:szCs w:val="19"/>
        </w:rPr>
      </w:pPr>
    </w:p>
    <w:p>
      <w:pPr>
        <w:pStyle w:val="BodyText"/>
        <w:spacing w:line="316" w:lineRule="auto"/>
        <w:ind w:right="1184"/>
        <w:jc w:val="both"/>
      </w:pPr>
      <w:r>
        <w:rPr/>
        <w:t>秦俊峰，男，中国国籍，</w:t>
      </w:r>
      <w:r>
        <w:rPr>
          <w:rFonts w:ascii="宋体" w:hAnsi="宋体" w:cs="宋体" w:eastAsia="宋体" w:hint="default"/>
        </w:rPr>
        <w:t>1984</w:t>
      </w:r>
      <w:r>
        <w:rPr>
          <w:rFonts w:ascii="宋体" w:hAnsi="宋体" w:cs="宋体" w:eastAsia="宋体" w:hint="default"/>
          <w:spacing w:val="-47"/>
        </w:rPr>
        <w:t> </w:t>
      </w:r>
      <w:r>
        <w:rPr/>
        <w:t>年</w:t>
      </w:r>
      <w:r>
        <w:rPr>
          <w:spacing w:val="-46"/>
        </w:rPr>
        <w:t> </w:t>
      </w:r>
      <w:r>
        <w:rPr>
          <w:rFonts w:ascii="宋体" w:hAnsi="宋体" w:cs="宋体" w:eastAsia="宋体" w:hint="default"/>
        </w:rPr>
        <w:t>7</w:t>
      </w:r>
      <w:r>
        <w:rPr>
          <w:rFonts w:ascii="宋体" w:hAnsi="宋体" w:cs="宋体" w:eastAsia="宋体" w:hint="default"/>
          <w:spacing w:val="-44"/>
        </w:rPr>
        <w:t> </w:t>
      </w:r>
      <w:r>
        <w:rPr/>
        <w:t>月出生，无境外永久居留权，毕业于同济大学交通运输工程学院，本科学历，中级工程 师。</w:t>
      </w:r>
      <w:r>
        <w:rPr>
          <w:rFonts w:ascii="宋体" w:hAnsi="宋体" w:cs="宋体" w:eastAsia="宋体" w:hint="default"/>
        </w:rPr>
        <w:t>2006</w:t>
      </w:r>
      <w:r>
        <w:rPr>
          <w:rFonts w:ascii="宋体" w:hAnsi="宋体" w:cs="宋体" w:eastAsia="宋体" w:hint="default"/>
          <w:spacing w:val="-46"/>
        </w:rPr>
        <w:t> </w:t>
      </w:r>
      <w:r>
        <w:rPr/>
        <w:t>年起就职本公司，历任福建银江智慧城市信息技术有限公司董事长，浙江银江交通技术有限公司董事长，浙江银 江智慧交通集团有限公司执行总经理，现任本公司副总经理，浙江银江研究院有限公司董事长。</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right="1133"/>
        <w:jc w:val="left"/>
      </w:pPr>
      <w:r>
        <w:rPr/>
        <w:t>在股东单位任职情况</w:t>
      </w:r>
    </w:p>
    <w:p>
      <w:pPr>
        <w:pStyle w:val="BodyText"/>
        <w:spacing w:line="340" w:lineRule="auto" w:before="117"/>
        <w:ind w:right="913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在其他单位任职情况</w:t>
      </w:r>
    </w:p>
    <w:p>
      <w:pPr>
        <w:pStyle w:val="BodyText"/>
        <w:spacing w:line="240" w:lineRule="auto" w:before="39"/>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2"/>
        <w:gridCol w:w="2693"/>
        <w:gridCol w:w="991"/>
        <w:gridCol w:w="1844"/>
        <w:gridCol w:w="1844"/>
        <w:gridCol w:w="1346"/>
      </w:tblGrid>
      <w:tr>
        <w:trPr>
          <w:trHeight w:val="71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0" w:right="60" w:hanging="181"/>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8"/>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75"/>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75"/>
              <w:jc w:val="right"/>
              <w:rPr>
                <w:rFonts w:ascii="宋体" w:hAnsi="宋体" w:cs="宋体" w:eastAsia="宋体" w:hint="default"/>
                <w:sz w:val="18"/>
                <w:szCs w:val="18"/>
              </w:rPr>
            </w:pPr>
            <w:r>
              <w:rPr>
                <w:rFonts w:ascii="宋体" w:hAnsi="宋体" w:cs="宋体" w:eastAsia="宋体" w:hint="default"/>
                <w:sz w:val="18"/>
                <w:szCs w:val="18"/>
              </w:rPr>
              <w:t>任期终止日期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7"/>
              <w:jc w:val="left"/>
              <w:rPr>
                <w:rFonts w:ascii="宋体" w:hAnsi="宋体" w:cs="宋体" w:eastAsia="宋体" w:hint="default"/>
                <w:sz w:val="18"/>
                <w:szCs w:val="18"/>
              </w:rPr>
            </w:pPr>
            <w:r>
              <w:rPr>
                <w:rFonts w:ascii="宋体" w:hAnsi="宋体" w:cs="宋体" w:eastAsia="宋体" w:hint="default"/>
                <w:sz w:val="18"/>
                <w:szCs w:val="18"/>
              </w:rPr>
              <w:t>浙江银江智慧交通工程技术研究 院有限公司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9"/>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蒋立靓</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7"/>
              <w:jc w:val="left"/>
              <w:rPr>
                <w:rFonts w:ascii="宋体" w:hAnsi="宋体" w:cs="宋体" w:eastAsia="宋体" w:hint="default"/>
                <w:sz w:val="18"/>
                <w:szCs w:val="18"/>
              </w:rPr>
            </w:pPr>
            <w:r>
              <w:rPr>
                <w:rFonts w:ascii="宋体" w:hAnsi="宋体" w:cs="宋体" w:eastAsia="宋体" w:hint="default"/>
                <w:sz w:val="18"/>
                <w:szCs w:val="18"/>
              </w:rPr>
              <w:t>重庆银江智慧城市信息技术有限 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9"/>
              <w:jc w:val="righ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2"/>
        <w:gridCol w:w="2693"/>
        <w:gridCol w:w="991"/>
        <w:gridCol w:w="1844"/>
        <w:gridCol w:w="1844"/>
        <w:gridCol w:w="1346"/>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蒋立靓</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贵阳银江智慧城市技术有限公司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徐佳</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浙江贤谷互联网技术有限公司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徐佳</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浙江银江交通技术有限公司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徐佳</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安徽银江智慧城市技术有限公司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徐佳</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江苏银江交通技术有限公司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秦浪</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东丰银江智慧城市技术有限公司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秦浪</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杭州银江智慧健康集团有限公司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胡慷</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7"/>
              <w:jc w:val="left"/>
              <w:rPr>
                <w:rFonts w:ascii="宋体" w:hAnsi="宋体" w:cs="宋体" w:eastAsia="宋体" w:hint="default"/>
                <w:sz w:val="18"/>
                <w:szCs w:val="18"/>
              </w:rPr>
            </w:pPr>
            <w:r>
              <w:rPr>
                <w:rFonts w:ascii="宋体" w:hAnsi="宋体" w:cs="宋体" w:eastAsia="宋体" w:hint="default"/>
                <w:sz w:val="18"/>
                <w:szCs w:val="18"/>
              </w:rPr>
              <w:t>江苏银江智慧城市信息技术有限 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胡慷</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江苏银江交通技术有限公司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张文广</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7"/>
              <w:jc w:val="left"/>
              <w:rPr>
                <w:rFonts w:ascii="宋体" w:hAnsi="宋体" w:cs="宋体" w:eastAsia="宋体" w:hint="default"/>
                <w:sz w:val="18"/>
                <w:szCs w:val="18"/>
              </w:rPr>
            </w:pPr>
            <w:r>
              <w:rPr>
                <w:rFonts w:ascii="宋体" w:hAnsi="宋体" w:cs="宋体" w:eastAsia="宋体" w:hint="default"/>
                <w:sz w:val="18"/>
                <w:szCs w:val="18"/>
              </w:rPr>
              <w:t>杭州银江智慧城市技术集团有限 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韩振兴</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湖北银江智慧城市技术有限公司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秦俊峰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浙江银江交通技术有限公司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秦俊峰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浙江银江智慧交通集团有限公司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花少富</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山东博安智能科技股份有限公司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240" w:lineRule="auto" w:before="115"/>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0"/>
        <w:jc w:val="left"/>
      </w:pPr>
      <w:r>
        <w:rPr/>
        <w:t>董事、监事、高级管理人员报酬的决策程序、确定依据、实际支付情况 </w:t>
      </w:r>
      <w:r>
        <w:rPr>
          <w:spacing w:val="-2"/>
        </w:rPr>
        <w:t>董事、监事、高级管理人员报酬的决策程序：董事、监事、高级管理人员薪酬根据公司《年度绩效考核管理办法》确定，由</w:t>
      </w:r>
      <w:r>
        <w:rPr>
          <w:spacing w:val="-65"/>
        </w:rPr>
        <w:t> </w:t>
      </w:r>
      <w:r>
        <w:rPr>
          <w:spacing w:val="-65"/>
        </w:rPr>
      </w:r>
      <w:r>
        <w:rPr/>
        <w:t>董事会薪酬与考核委员会组织并考核。</w:t>
      </w:r>
    </w:p>
    <w:p>
      <w:pPr>
        <w:pStyle w:val="BodyText"/>
        <w:spacing w:line="338" w:lineRule="auto" w:before="2"/>
        <w:ind w:right="3734"/>
        <w:jc w:val="left"/>
      </w:pPr>
      <w:r>
        <w:rPr/>
        <w:t>董事、监事、高级管理人员报酬确定依据：年度绩效目标。 董事、监事和高级管理人员报酬的实际支付情况：工资、津贴次月发放；奖金延后发放。 公司报告期内董事、监事和高级管理人员报酬情况</w:t>
      </w:r>
    </w:p>
    <w:p>
      <w:pPr>
        <w:pStyle w:val="BodyText"/>
        <w:spacing w:line="240" w:lineRule="auto" w:before="41"/>
        <w:ind w:left="7208"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2319"/>
        <w:gridCol w:w="991"/>
        <w:gridCol w:w="792"/>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王腾</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王瑞慷</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花少富</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pacing w:val="-6"/>
                <w:sz w:val="18"/>
                <w:szCs w:val="18"/>
              </w:rPr>
              <w:t>董事、董事会秘书、副总经理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蒋立靓</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倪净</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赵新建</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2319"/>
        <w:gridCol w:w="991"/>
        <w:gridCol w:w="792"/>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黄先海</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蒋贤品</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徐佳</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张芸芸</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余力航</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胡慷</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张文广</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秦浪</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韩振兴</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孔桦桦</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秦俊峰</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任刚要</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章建强</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董事、财务总监、副总经理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陈利中</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冯晓</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777.46</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公司董事、高级管理人员报告期内被授予的股权激励情况</w:t>
      </w:r>
    </w:p>
    <w:p>
      <w:pPr>
        <w:pStyle w:val="BodyText"/>
        <w:spacing w:line="240" w:lineRule="auto" w:before="115"/>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五、公司员工情况" w:id="123"/>
      <w:bookmarkEnd w:id="123"/>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员工数量、专业构成及教育程度" w:id="124"/>
      <w:bookmarkEnd w:id="12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7"/>
        <w:gridCol w:w="4791"/>
      </w:tblGrid>
      <w:tr>
        <w:trPr>
          <w:trHeight w:val="401"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w:t>
            </w:r>
          </w:p>
        </w:tc>
      </w:tr>
      <w:tr>
        <w:trPr>
          <w:trHeight w:val="406"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1"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2"/>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725</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9"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99</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725</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2、薪酬政策" w:id="125"/>
      <w:bookmarkEnd w:id="12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034"/>
        <w:jc w:val="left"/>
      </w:pPr>
      <w:r>
        <w:rPr>
          <w:spacing w:val="-2"/>
        </w:rPr>
        <w:t>本公司采用劳动合同制，按照《中华人民共和国劳动合同法》和国家及地方其他有关劳动法律、法规的规定，与员工签订劳</w:t>
      </w:r>
      <w:r>
        <w:rPr>
          <w:spacing w:val="-67"/>
        </w:rPr>
        <w:t> </w:t>
      </w:r>
      <w:r>
        <w:rPr>
          <w:spacing w:val="-67"/>
        </w:rPr>
      </w:r>
      <w:r>
        <w:rPr/>
        <w:t>动合同。公司严格执行国家用工制度、劳动保护制度、社会保障制度和医疗保障制度，按照国家规定为员工缴纳社会保险、 </w:t>
      </w:r>
      <w:r>
        <w:rPr>
          <w:spacing w:val="-2"/>
        </w:rPr>
        <w:t>医疗保险。公司的员工薪酬政策以《公司薪酬管理制度》为蓝本，充分结合公司实际运营状况，依据岗位职能及工作情况全</w:t>
      </w:r>
      <w:r>
        <w:rPr>
          <w:spacing w:val="-67"/>
        </w:rPr>
        <w:t> </w:t>
      </w:r>
      <w:r>
        <w:rPr>
          <w:spacing w:val="-67"/>
        </w:rPr>
      </w:r>
      <w:r>
        <w:rPr/>
        <w:t>方位对员工进行各方面的考核。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1133"/>
        <w:jc w:val="left"/>
        <w:rPr>
          <w:b w:val="0"/>
          <w:bCs w:val="0"/>
        </w:rPr>
      </w:pPr>
      <w:bookmarkStart w:name="3、培训计划" w:id="126"/>
      <w:bookmarkEnd w:id="12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公司有着完善的年度培训计划，培训内容包含工作专业技能、安全、管理等各个方面知识，以内部培训、外部培训、在职培</w:t>
      </w:r>
      <w:r>
        <w:rPr>
          <w:spacing w:val="-68"/>
        </w:rPr>
        <w:t> </w:t>
      </w:r>
      <w:r>
        <w:rPr>
          <w:spacing w:val="-68"/>
        </w:rPr>
      </w:r>
      <w:r>
        <w:rPr/>
        <w:t>训等多种形式展开。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33"/>
        <w:jc w:val="left"/>
        <w:rPr>
          <w:b w:val="0"/>
          <w:bCs w:val="0"/>
        </w:rPr>
      </w:pPr>
      <w:bookmarkStart w:name="4、劳务外包情况" w:id="127"/>
      <w:bookmarkEnd w:id="12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8"/>
        <w:jc w:val="center"/>
        <w:rPr>
          <w:b w:val="0"/>
          <w:bCs w:val="0"/>
        </w:rPr>
      </w:pPr>
      <w:bookmarkStart w:name="第十节公司治理" w:id="128"/>
      <w:bookmarkEnd w:id="128"/>
      <w:r>
        <w:rPr>
          <w:b w:val="0"/>
          <w:bCs w:val="0"/>
        </w:rPr>
      </w:r>
      <w:bookmarkStart w:name="_bookmark9" w:id="129"/>
      <w:bookmarkEnd w:id="129"/>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jc w:val="both"/>
      </w:pPr>
      <w:r>
        <w:rPr>
          <w:spacing w:val="-5"/>
        </w:rPr>
        <w:t>报告期内，公司严格按照《公司法》、《证券法》、《上市公司治理准则》、《深圳证券交易所创业板股票上市规则》、《深</w:t>
      </w:r>
      <w:r>
        <w:rPr>
          <w:spacing w:val="-85"/>
        </w:rPr>
        <w:t> </w:t>
      </w:r>
      <w:r>
        <w:rPr>
          <w:spacing w:val="-85"/>
        </w:rPr>
      </w:r>
      <w:r>
        <w:rPr>
          <w:spacing w:val="-2"/>
        </w:rPr>
        <w:t>圳证券交易所创业板上市公司规范运作指引》等法律法规的要求，不断完善公司治理结构，进一步规范公司运作，提高公司</w:t>
      </w:r>
      <w:r>
        <w:rPr>
          <w:spacing w:val="-64"/>
        </w:rPr>
        <w:t> </w:t>
      </w:r>
      <w:r>
        <w:rPr>
          <w:spacing w:val="-64"/>
        </w:rPr>
      </w:r>
      <w:r>
        <w:rPr>
          <w:spacing w:val="-2"/>
        </w:rPr>
        <w:t>治理水平。截至报告期末，公司治理的实际状况符合《上市公司治理准则》和《深圳证券交易所创业板上市公司规范运作指</w:t>
      </w:r>
      <w:r>
        <w:rPr>
          <w:spacing w:val="-67"/>
        </w:rPr>
        <w:t> </w:t>
      </w:r>
      <w:r>
        <w:rPr>
          <w:spacing w:val="-67"/>
        </w:rPr>
      </w:r>
      <w:r>
        <w:rPr/>
        <w:t>引》的要求。</w:t>
      </w:r>
    </w:p>
    <w:p>
      <w:pPr>
        <w:pStyle w:val="BodyText"/>
        <w:spacing w:line="309" w:lineRule="auto" w:before="19"/>
        <w:ind w:right="1124"/>
        <w:jc w:val="left"/>
      </w:pPr>
      <w:r>
        <w:rPr>
          <w:rFonts w:ascii="Times New Roman" w:hAnsi="Times New Roman" w:cs="Times New Roman" w:eastAsia="Times New Roman" w:hint="default"/>
        </w:rPr>
        <w:t>1</w:t>
      </w:r>
      <w:r>
        <w:rPr/>
        <w:t>、关于股东与股东大会 </w:t>
      </w:r>
      <w:r>
        <w:rPr>
          <w:spacing w:val="-2"/>
        </w:rPr>
        <w:t>公司严格按照《公司法》、《深圳证券交易所创业板上市公司规范运作指引》、《公司章程》、《股东大会议事规则》等规</w:t>
      </w:r>
      <w:r>
        <w:rPr>
          <w:spacing w:val="-67"/>
        </w:rPr>
        <w:t> </w:t>
      </w:r>
      <w:r>
        <w:rPr>
          <w:spacing w:val="-67"/>
        </w:rPr>
      </w:r>
      <w:r>
        <w:rPr/>
        <w:t>定要求，召集、召开股东大会，确保所有股东享有平等地位，保护全体股东的利益。</w:t>
      </w:r>
      <w:r>
        <w:rPr>
          <w:rFonts w:ascii="Times New Roman" w:hAnsi="Times New Roman" w:cs="Times New Roman" w:eastAsia="Times New Roman" w:hint="default"/>
        </w:rPr>
        <w:t>2019</w:t>
      </w:r>
      <w:r>
        <w:rPr/>
        <w:t>年度公司共召开</w:t>
      </w:r>
      <w:r>
        <w:rPr>
          <w:rFonts w:ascii="Times New Roman" w:hAnsi="Times New Roman" w:cs="Times New Roman" w:eastAsia="Times New Roman" w:hint="default"/>
        </w:rPr>
        <w:t>5</w:t>
      </w:r>
      <w:r>
        <w:rPr/>
        <w:t>次股东大会，均 </w:t>
      </w:r>
      <w:r>
        <w:rPr>
          <w:spacing w:val="-2"/>
        </w:rPr>
        <w:t>使用网络投票表决和现场投票表决相结合的形式召开，让中小投资者充分行使自己的权利。同时，公司聘请律师出席见证了</w:t>
      </w:r>
      <w:r>
        <w:rPr>
          <w:spacing w:val="-66"/>
        </w:rPr>
        <w:t> </w:t>
      </w:r>
      <w:r>
        <w:rPr>
          <w:spacing w:val="-66"/>
        </w:rPr>
      </w:r>
      <w:r>
        <w:rPr/>
        <w:t>股东大会会议的召集、召开和表决程序的合法性，维护股东的合法权益。</w:t>
      </w:r>
    </w:p>
    <w:p>
      <w:pPr>
        <w:pStyle w:val="BodyText"/>
        <w:spacing w:line="314" w:lineRule="auto" w:before="24"/>
        <w:ind w:right="1034"/>
        <w:jc w:val="left"/>
      </w:pPr>
      <w:r>
        <w:rPr>
          <w:rFonts w:ascii="Times New Roman" w:hAnsi="Times New Roman" w:cs="Times New Roman" w:eastAsia="Times New Roman" w:hint="default"/>
        </w:rPr>
        <w:t>2</w:t>
      </w:r>
      <w:r>
        <w:rPr/>
        <w:t>、关于公司与控股股东 </w:t>
      </w:r>
      <w:r>
        <w:rPr>
          <w:spacing w:val="-2"/>
        </w:rPr>
        <w:t>公司拥有独立完整的业务和自主经营能力，在业务、人员、资产、机构、财务等方面均独立于控股股东，公司董事会、监事</w:t>
      </w:r>
      <w:r>
        <w:rPr>
          <w:spacing w:val="-73"/>
        </w:rPr>
        <w:t> </w:t>
      </w:r>
      <w:r>
        <w:rPr>
          <w:spacing w:val="-73"/>
        </w:rPr>
      </w:r>
      <w:r>
        <w:rPr>
          <w:spacing w:val="-2"/>
        </w:rPr>
        <w:t>会和内部机构独立运作。公司控股股东依法行使其权利并承担义务，没有超越股东大会直接或间接干预公司经营活动，不存</w:t>
      </w:r>
      <w:r>
        <w:rPr>
          <w:spacing w:val="-63"/>
        </w:rPr>
        <w:t> </w:t>
      </w:r>
      <w:r>
        <w:rPr>
          <w:spacing w:val="-63"/>
        </w:rPr>
      </w:r>
      <w:r>
        <w:rPr/>
        <w:t>在控股股东、实际控制人利用其控制地位侵害其他股东利益的行为；报告期内公司没有为控股股东及其关联企业提供担保， </w:t>
      </w:r>
      <w:r>
        <w:rPr>
          <w:spacing w:val="-2"/>
        </w:rPr>
        <w:t>亦不存在控股股东非经营性占用公司资金的行为；公司与控股股东及其关联单位不存在同业竞争的情况；公司与控股股东及</w:t>
      </w:r>
      <w:r>
        <w:rPr>
          <w:spacing w:val="-64"/>
        </w:rPr>
        <w:t> </w:t>
      </w:r>
      <w:r>
        <w:rPr>
          <w:spacing w:val="-64"/>
        </w:rPr>
      </w:r>
      <w:r>
        <w:rPr/>
        <w:t>其关联单位存在关联交易，已按照信息披露要求对外披露。</w:t>
      </w:r>
    </w:p>
    <w:p>
      <w:pPr>
        <w:pStyle w:val="BodyText"/>
        <w:spacing w:line="300" w:lineRule="auto" w:before="20"/>
        <w:ind w:right="0"/>
        <w:jc w:val="left"/>
      </w:pPr>
      <w:r>
        <w:rPr>
          <w:rFonts w:ascii="Times New Roman" w:hAnsi="Times New Roman" w:cs="Times New Roman" w:eastAsia="Times New Roman" w:hint="default"/>
        </w:rPr>
        <w:t>3</w:t>
      </w:r>
      <w:r>
        <w:rPr/>
        <w:t>、关于董事和董事会 </w:t>
      </w:r>
      <w:r>
        <w:rPr>
          <w:spacing w:val="-2"/>
        </w:rPr>
        <w:t>公司董事会设董事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名，董事会的人数及人员构成符合法律、法规和《公司章程》的要求。公司董事依据</w:t>
      </w:r>
    </w:p>
    <w:p>
      <w:pPr>
        <w:pStyle w:val="BodyText"/>
        <w:spacing w:line="314" w:lineRule="auto" w:before="13"/>
        <w:ind w:right="1132"/>
        <w:jc w:val="both"/>
      </w:pPr>
      <w:r>
        <w:rPr>
          <w:spacing w:val="-2"/>
        </w:rPr>
        <w:t>《深圳证券交易所创业板上市公司规范运作指引》、《公司章程》、《董事会议事规则》、《独立董事工作细则》等开展工</w:t>
      </w:r>
      <w:r>
        <w:rPr>
          <w:spacing w:val="-70"/>
        </w:rPr>
        <w:t> </w:t>
      </w:r>
      <w:r>
        <w:rPr>
          <w:spacing w:val="-70"/>
        </w:rPr>
      </w:r>
      <w:r>
        <w:rPr/>
        <w:t>作，出席董事会和股东大会，依法行使职权，勤勉尽责地履行职责和义务。报告期内，公司董事会共召开了</w:t>
      </w:r>
      <w:r>
        <w:rPr>
          <w:rFonts w:ascii="Times New Roman" w:hAnsi="Times New Roman" w:cs="Times New Roman" w:eastAsia="Times New Roman" w:hint="default"/>
        </w:rPr>
        <w:t>8</w:t>
      </w:r>
      <w:r>
        <w:rPr/>
        <w:t>次会议，会议</w:t>
      </w:r>
      <w:r>
        <w:rPr>
          <w:spacing w:val="-87"/>
        </w:rPr>
        <w:t> </w:t>
      </w:r>
      <w:r>
        <w:rPr>
          <w:spacing w:val="-2"/>
        </w:rPr>
        <w:t>的召集召开程序符合法律法规、《公司章程》及《公司董事会议事规则》的相关规定。公司董事会下设战略决策委员会、提</w:t>
      </w:r>
      <w:r>
        <w:rPr>
          <w:spacing w:val="-69"/>
        </w:rPr>
        <w:t> </w:t>
      </w:r>
      <w:r>
        <w:rPr>
          <w:spacing w:val="-69"/>
        </w:rPr>
      </w:r>
      <w:r>
        <w:rPr>
          <w:spacing w:val="-2"/>
        </w:rPr>
        <w:t>名委员会、审计委员会、薪酬与考核委员会四个专门委员会。各委员会依据《公司章程》和各委员会议事规则的规定履行职</w:t>
      </w:r>
      <w:r>
        <w:rPr>
          <w:spacing w:val="-65"/>
        </w:rPr>
        <w:t> </w:t>
      </w:r>
      <w:r>
        <w:rPr>
          <w:spacing w:val="-65"/>
        </w:rPr>
      </w:r>
      <w:r>
        <w:rPr/>
        <w:t>权。</w:t>
      </w:r>
    </w:p>
    <w:p>
      <w:pPr>
        <w:pStyle w:val="BodyText"/>
        <w:spacing w:line="304" w:lineRule="auto" w:before="20"/>
        <w:ind w:right="1124"/>
        <w:jc w:val="left"/>
      </w:pPr>
      <w:r>
        <w:rPr>
          <w:rFonts w:ascii="Times New Roman" w:hAnsi="Times New Roman" w:cs="Times New Roman" w:eastAsia="Times New Roman" w:hint="default"/>
        </w:rPr>
        <w:t>4</w:t>
      </w:r>
      <w:r>
        <w:rPr/>
        <w:t>、关于监事和监事会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名，监事会的人数和构成符合法律、法规的要求。公司监事能够按照《监事会议事规</w:t>
      </w:r>
      <w:r>
        <w:rPr>
          <w:spacing w:val="-63"/>
        </w:rPr>
        <w:t> </w:t>
      </w:r>
      <w:r>
        <w:rPr>
          <w:spacing w:val="-63"/>
        </w:rPr>
      </w:r>
      <w:r>
        <w:rPr>
          <w:spacing w:val="-2"/>
        </w:rPr>
        <w:t>则》的要求，认真履行自己的职责，对公司重大事项、财务状况以及董事、高管人员履行职责的合法合规性进行监督。报告</w:t>
      </w:r>
      <w:r>
        <w:rPr>
          <w:spacing w:val="-68"/>
        </w:rPr>
        <w:t> </w:t>
      </w:r>
      <w:r>
        <w:rPr>
          <w:spacing w:val="-68"/>
        </w:rPr>
      </w:r>
      <w:r>
        <w:rPr/>
        <w:t>期内，公司监事会共召开了</w:t>
      </w:r>
      <w:r>
        <w:rPr>
          <w:rFonts w:ascii="Times New Roman" w:hAnsi="Times New Roman" w:cs="Times New Roman" w:eastAsia="Times New Roman" w:hint="default"/>
        </w:rPr>
        <w:t>8</w:t>
      </w:r>
      <w:r>
        <w:rPr/>
        <w:t>次会议，会议的召集、召开程序符合法律法规、《公司章程》及《公司监事会议事规则》的相 关规定。</w:t>
      </w:r>
    </w:p>
    <w:p>
      <w:pPr>
        <w:pStyle w:val="BodyText"/>
        <w:spacing w:line="314" w:lineRule="auto" w:before="28"/>
        <w:ind w:right="1034"/>
        <w:jc w:val="left"/>
      </w:pPr>
      <w:r>
        <w:rPr>
          <w:rFonts w:ascii="Times New Roman" w:hAnsi="Times New Roman" w:cs="Times New Roman" w:eastAsia="Times New Roman" w:hint="default"/>
        </w:rPr>
        <w:t>5</w:t>
      </w:r>
      <w:r>
        <w:rPr/>
        <w:t>、关于绩效评价与激励约束机制 </w:t>
      </w:r>
      <w:r>
        <w:rPr>
          <w:spacing w:val="-2"/>
        </w:rPr>
        <w:t>公司已建立绩效评价与激励约束机制。为调动公司员工工作的积极性，公司针对不同岗位制定不同的绩效考核标准。公司董</w:t>
      </w:r>
      <w:r>
        <w:rPr>
          <w:spacing w:val="-63"/>
        </w:rPr>
        <w:t> </w:t>
      </w:r>
      <w:r>
        <w:rPr>
          <w:spacing w:val="-63"/>
        </w:rPr>
      </w:r>
      <w:r>
        <w:rPr>
          <w:spacing w:val="-2"/>
        </w:rPr>
        <w:t>事会下设的薪酬与考核委员会负责对公司董事及高管进行绩效考核，且已逐步完善和建立公正、透明的绩效评价标准和激励</w:t>
      </w:r>
      <w:r>
        <w:rPr>
          <w:spacing w:val="-64"/>
        </w:rPr>
        <w:t> </w:t>
      </w:r>
      <w:r>
        <w:rPr>
          <w:spacing w:val="-64"/>
        </w:rPr>
      </w:r>
      <w:r>
        <w:rPr/>
        <w:t>约束机制。《公司章程》明确规定了高级管理人员的履职行为、权限和职责，高级管理人员的聘任公开、透明，符合法律、 法规的规定，现有的考核及激励约束机制符合公司的发展现状。</w:t>
      </w:r>
    </w:p>
    <w:p>
      <w:pPr>
        <w:pStyle w:val="BodyText"/>
        <w:spacing w:line="309" w:lineRule="auto" w:before="20"/>
        <w:ind w:right="0"/>
        <w:jc w:val="left"/>
      </w:pPr>
      <w:r>
        <w:rPr>
          <w:rFonts w:ascii="Times New Roman" w:hAnsi="Times New Roman" w:cs="Times New Roman" w:eastAsia="Times New Roman" w:hint="default"/>
        </w:rPr>
        <w:t>6</w:t>
      </w:r>
      <w:r>
        <w:rPr/>
        <w:t>、关于信息披露与透明度 </w:t>
      </w:r>
      <w:r>
        <w:rPr>
          <w:spacing w:val="-2"/>
        </w:rPr>
        <w:t>公司严格按照有关法律法规以及《信息披露管理制度》、《投资者关系管理制度》等的要求，真实、准确、及时、公平、完</w:t>
      </w:r>
      <w:r>
        <w:rPr>
          <w:spacing w:val="-72"/>
        </w:rPr>
        <w:t> </w:t>
      </w:r>
      <w:r>
        <w:rPr>
          <w:spacing w:val="-72"/>
        </w:rPr>
      </w:r>
      <w:r>
        <w:rPr>
          <w:spacing w:val="-4"/>
        </w:rPr>
        <w:t>整地披露有关信息；并指定公司董事会秘书负责信息披露工作，协调公司与投资者的关系，接待股东来访，回答投资者咨询。</w:t>
      </w:r>
      <w:r>
        <w:rPr>
          <w:spacing w:val="-46"/>
        </w:rPr>
        <w:t> </w:t>
      </w:r>
      <w:r>
        <w:rPr>
          <w:spacing w:val="-46"/>
        </w:rPr>
      </w:r>
      <w:r>
        <w:rPr/>
        <w:t>公司指定《证券时报》为信息披露报纸，巨潮资讯网（</w:t>
      </w:r>
      <w:hyperlink r:id="rId11">
        <w:r>
          <w:rPr>
            <w:rFonts w:ascii="Times New Roman" w:hAnsi="Times New Roman" w:cs="Times New Roman" w:eastAsia="Times New Roman" w:hint="default"/>
          </w:rPr>
          <w:t>www.cninfo.com.cn</w:t>
        </w:r>
      </w:hyperlink>
      <w:r>
        <w:rPr/>
        <w:t>）为信息披露网站，确保公司所有股东能够以平 等的机会获得信息。</w:t>
      </w:r>
    </w:p>
    <w:p>
      <w:pPr>
        <w:pStyle w:val="BodyText"/>
        <w:spacing w:line="240" w:lineRule="auto" w:before="24"/>
        <w:ind w:right="1133"/>
        <w:jc w:val="left"/>
      </w:pPr>
      <w:r>
        <w:rPr>
          <w:rFonts w:ascii="Times New Roman" w:hAnsi="Times New Roman" w:cs="Times New Roman" w:eastAsia="Times New Roman" w:hint="default"/>
        </w:rPr>
        <w:t>7</w:t>
      </w:r>
      <w:r>
        <w:rPr/>
        <w:t>、关于相关利益者</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38" w:lineRule="auto" w:before="44"/>
        <w:ind w:right="0"/>
        <w:jc w:val="left"/>
      </w:pPr>
      <w:r>
        <w:rPr>
          <w:spacing w:val="-2"/>
        </w:rPr>
        <w:t>公司充分尊重和维护相关利益者的合法权益，积极与相关利益者合作，加强与各方的沟通和交流，实现股东、员工、社会等</w:t>
      </w:r>
      <w:r>
        <w:rPr>
          <w:spacing w:val="-65"/>
        </w:rPr>
        <w:t> </w:t>
      </w:r>
      <w:r>
        <w:rPr>
          <w:spacing w:val="-65"/>
        </w:rPr>
      </w:r>
      <w:r>
        <w:rPr/>
        <w:t>各方利益的协调平衡，共同推动公司持续、健康的发展。</w:t>
      </w:r>
      <w:r>
        <w:rPr/>
        <w:t> 公司治理的实际状况与中国证监会发布的有关上市公司治理的规范性文件是否存在重大差异</w:t>
      </w:r>
    </w:p>
    <w:p>
      <w:pPr>
        <w:pStyle w:val="BodyText"/>
        <w:spacing w:line="340" w:lineRule="auto" w:before="41"/>
        <w:ind w:right="3554"/>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3"/>
        <w:jc w:val="left"/>
      </w:pPr>
      <w:r>
        <w:rPr>
          <w:spacing w:val="-2"/>
        </w:rPr>
        <w:t>公司拥有独立完整的业务和自主经营能力，在业务、人员、资产、机构、财务上独立于控股股东，公司董事会、监事会和内</w:t>
      </w:r>
      <w:r>
        <w:rPr>
          <w:spacing w:val="-73"/>
        </w:rPr>
        <w:t> </w:t>
      </w:r>
      <w:r>
        <w:rPr>
          <w:spacing w:val="-73"/>
        </w:rPr>
      </w:r>
      <w:r>
        <w:rPr/>
        <w:t>部机构独立运作。</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三、同业竞争情况" w:id="132"/>
      <w:bookmarkEnd w:id="132"/>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本报告期股东大会情况" w:id="134"/>
      <w:bookmarkEnd w:id="13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552"/>
        <w:gridCol w:w="1277"/>
        <w:gridCol w:w="1416"/>
        <w:gridCol w:w="1560"/>
        <w:gridCol w:w="1561"/>
        <w:gridCol w:w="1202"/>
      </w:tblGrid>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4"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2、表决权恢复的优先股股东请求召开临时股东大会" w:id="135"/>
      <w:bookmarkEnd w:id="13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独立董事出席董事会及股东大会的情况" w:id="137"/>
      <w:bookmarkEnd w:id="13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2"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冯晓</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赵新建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黄先海</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蒋贤品</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33"/>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独立董事对公司有关事项提出异议的情况" w:id="138"/>
      <w:bookmarkEnd w:id="13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40" w:lineRule="auto" w:before="117"/>
        <w:ind w:right="6974"/>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 报告期内独立董事对公司有关事项未提出异议。</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3、独立董事履行职责的其他说明" w:id="139"/>
      <w:bookmarkEnd w:id="13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348" w:lineRule="auto" w:before="117"/>
        <w:ind w:right="6434"/>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 独立董事对公司有关建议被采纳或未被采纳的说明 报告期内，独立董事对公司提出的合理建议均被采纳。</w:t>
      </w:r>
    </w:p>
    <w:p>
      <w:pPr>
        <w:spacing w:line="240" w:lineRule="auto" w:before="1"/>
        <w:rPr>
          <w:rFonts w:ascii="宋体" w:hAnsi="宋体" w:cs="宋体" w:eastAsia="宋体" w:hint="default"/>
          <w:sz w:val="19"/>
          <w:szCs w:val="19"/>
        </w:rPr>
      </w:pPr>
    </w:p>
    <w:p>
      <w:pPr>
        <w:pStyle w:val="Heading2"/>
        <w:spacing w:line="240" w:lineRule="auto"/>
        <w:ind w:right="1133"/>
        <w:jc w:val="left"/>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034"/>
        <w:jc w:val="left"/>
      </w:pPr>
      <w:r>
        <w:rPr>
          <w:rFonts w:ascii="Times New Roman" w:hAnsi="Times New Roman" w:cs="Times New Roman" w:eastAsia="Times New Roman" w:hint="default"/>
        </w:rPr>
        <w:t>1</w:t>
      </w:r>
      <w:r>
        <w:rPr/>
        <w:t>、提名委员会履职情况：报告期内，提名委员会就公司董事会换届新聘任董事、监事、高级管理人员等相关事项进行审查 并提出建议，形成决议并提交董事会审议。 </w:t>
      </w:r>
      <w:r>
        <w:rPr>
          <w:rFonts w:ascii="Times New Roman" w:hAnsi="Times New Roman" w:cs="Times New Roman" w:eastAsia="Times New Roman" w:hint="default"/>
        </w:rPr>
        <w:t>2</w:t>
      </w:r>
      <w:r>
        <w:rPr/>
        <w:t>、战略决策委员会履职情况：报告期内，战略决策委员会讨论审议了购置房产暨关联交易、处置部分房产、公开发行可转 换公司债券等相关事宜。 </w:t>
      </w:r>
      <w:r>
        <w:rPr>
          <w:rFonts w:ascii="Times New Roman" w:hAnsi="Times New Roman" w:cs="Times New Roman" w:eastAsia="Times New Roman" w:hint="default"/>
        </w:rPr>
        <w:t>3</w:t>
      </w:r>
      <w:r>
        <w:rPr/>
        <w:t>、审计委员会履职情况：审计委员会主要负责公司内外部审计的沟通和协调，组织内部审计、内部控制体系的建设等相关 工作。报告期内，审计委员会主要审议了公司内部审计部门提交的内审财务报告，对内部审计部门的工作进行监督和指导。 </w:t>
      </w:r>
      <w:r>
        <w:rPr>
          <w:spacing w:val="-2"/>
        </w:rPr>
        <w:t>在</w:t>
      </w:r>
      <w:r>
        <w:rPr>
          <w:rFonts w:ascii="Times New Roman" w:hAnsi="Times New Roman" w:cs="Times New Roman" w:eastAsia="Times New Roman" w:hint="default"/>
          <w:spacing w:val="-2"/>
        </w:rPr>
        <w:t>2019</w:t>
      </w:r>
      <w:r>
        <w:rPr>
          <w:spacing w:val="-2"/>
        </w:rPr>
        <w:t>年年报编制和审计过程中，审计委员会与审计机构沟通确定了年度财务报告审计工作的时间安排，对公司的财务报表</w:t>
      </w:r>
      <w:r>
        <w:rPr>
          <w:spacing w:val="-62"/>
        </w:rPr>
        <w:t> </w:t>
      </w:r>
      <w:r>
        <w:rPr>
          <w:spacing w:val="-62"/>
        </w:rPr>
      </w:r>
      <w:r>
        <w:rPr>
          <w:spacing w:val="-2"/>
        </w:rPr>
        <w:t>进行了审计并形成了内部审计书面报告。报告期内，审计委员会就续聘会计师事务所、关联交易等事项进行审查并评议，形</w:t>
      </w:r>
      <w:r>
        <w:rPr>
          <w:spacing w:val="-66"/>
        </w:rPr>
        <w:t> </w:t>
      </w:r>
      <w:r>
        <w:rPr>
          <w:spacing w:val="-66"/>
        </w:rPr>
      </w:r>
      <w:r>
        <w:rPr/>
        <w:t>成决议并提交董事会审议。 </w:t>
      </w:r>
      <w:r>
        <w:rPr>
          <w:rFonts w:ascii="Times New Roman" w:hAnsi="Times New Roman" w:cs="Times New Roman" w:eastAsia="Times New Roman" w:hint="default"/>
        </w:rPr>
        <w:t>4</w:t>
      </w:r>
      <w:r>
        <w:rPr/>
        <w:t>、薪酬与考核委员会履职情况：报告期内，薪酬与考核委员会审查公司董事（非独立董事）及高级管理人员的履职情况并 对其进行年度绩效考评，同时，对公司薪酬制度执行情况予以监督。</w:t>
      </w:r>
    </w:p>
    <w:p>
      <w:pPr>
        <w:spacing w:line="240" w:lineRule="auto" w:before="3"/>
        <w:rPr>
          <w:rFonts w:ascii="宋体" w:hAnsi="宋体" w:cs="宋体" w:eastAsia="宋体" w:hint="default"/>
          <w:sz w:val="21"/>
          <w:szCs w:val="21"/>
        </w:rPr>
      </w:pPr>
    </w:p>
    <w:p>
      <w:pPr>
        <w:pStyle w:val="Heading2"/>
        <w:spacing w:line="240" w:lineRule="auto"/>
        <w:ind w:right="1133"/>
        <w:jc w:val="left"/>
        <w:rPr>
          <w:b w:val="0"/>
          <w:bCs w:val="0"/>
        </w:rPr>
      </w:pPr>
      <w:bookmarkStart w:name="七、监事会工作情况" w:id="141"/>
      <w:bookmarkEnd w:id="141"/>
      <w:r>
        <w:rPr>
          <w:b w:val="0"/>
          <w:bCs w:val="0"/>
        </w:rPr>
      </w: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340" w:lineRule="auto" w:before="118"/>
        <w:ind w:right="7334"/>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31"/>
        <w:jc w:val="both"/>
      </w:pPr>
      <w:r>
        <w:rPr>
          <w:spacing w:val="-2"/>
        </w:rPr>
        <w:t>公司高级管理人员的薪资由基本薪酬和绩效奖金构成，基本薪酬参考市场同类薪酬标准，结合考虑职位、责任、能力等因素</w:t>
      </w:r>
      <w:r>
        <w:rPr>
          <w:spacing w:val="-64"/>
        </w:rPr>
        <w:t> </w:t>
      </w:r>
      <w:r>
        <w:rPr>
          <w:spacing w:val="-64"/>
        </w:rPr>
      </w:r>
      <w:r>
        <w:rPr>
          <w:spacing w:val="-2"/>
        </w:rPr>
        <w:t>确定，基本薪酬按月平均发放。绩效奖金根据《公司</w:t>
      </w:r>
      <w:r>
        <w:rPr>
          <w:rFonts w:ascii="Times New Roman" w:hAnsi="Times New Roman" w:cs="Times New Roman" w:eastAsia="Times New Roman" w:hint="default"/>
          <w:spacing w:val="-2"/>
        </w:rPr>
        <w:t>2019</w:t>
      </w:r>
      <w:r>
        <w:rPr>
          <w:spacing w:val="-2"/>
        </w:rPr>
        <w:t>年度经营业绩考核责任书》，结合年度绩效考核结果等确定。薪资</w:t>
      </w:r>
      <w:r>
        <w:rPr>
          <w:spacing w:val="-64"/>
        </w:rPr>
        <w:t> </w:t>
      </w:r>
      <w:r>
        <w:rPr>
          <w:spacing w:val="-64"/>
        </w:rPr>
      </w:r>
      <w:r>
        <w:rPr/>
        <w:t>水平与其承担责任、风险和经营业绩挂钩。</w:t>
      </w:r>
    </w:p>
    <w:p>
      <w:pPr>
        <w:spacing w:after="0" w:line="309"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发现的内部控制重大缺陷的具体情况" w:id="144"/>
      <w:bookmarkEnd w:id="14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内控自我评价报告" w:id="145"/>
      <w:bookmarkEnd w:id="14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3196"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t>
            </w:r>
            <w:hyperlink r:id="rId11">
              <w:r>
                <w:rPr>
                  <w:rFonts w:ascii="Times New Roman" w:hAnsi="Times New Roman" w:cs="Times New Roman" w:eastAsia="Times New Roman" w:hint="default"/>
                  <w:sz w:val="18"/>
                  <w:szCs w:val="18"/>
                </w:rPr>
                <w:t>/www</w:t>
              </w:r>
            </w:hyperlink>
            <w:r>
              <w:rPr>
                <w:rFonts w:ascii="Times New Roman" w:hAnsi="Times New Roman" w:cs="Times New Roman" w:eastAsia="Times New Roman" w:hint="default"/>
                <w:sz w:val="18"/>
                <w:szCs w:val="18"/>
              </w:rPr>
              <w:t>.</w:t>
            </w:r>
            <w:hyperlink r:id="rId11">
              <w:r>
                <w:rPr>
                  <w:rFonts w:ascii="Times New Roman" w:hAnsi="Times New Roman" w:cs="Times New Roman" w:eastAsia="Times New Roman" w:hint="default"/>
                  <w:sz w:val="18"/>
                  <w:szCs w:val="18"/>
                </w:rPr>
                <w:t>cninfo.com.cn/</w:t>
              </w:r>
            </w:hyperlink>
            <w:r>
              <w:rPr>
                <w:rFonts w:ascii="宋体" w:hAnsi="宋体" w:cs="宋体" w:eastAsia="宋体" w:hint="default"/>
                <w:sz w:val="18"/>
                <w:szCs w:val="18"/>
              </w:rPr>
              <w:t>）</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5"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16"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财务报告重大缺陷的迹象包括：①公司董 事、监事和高级管理人员的舞弊行为；② 公司更正已公布的财务报告；③注册会计 师发现的却未被公司内部控制识别的当期 财务报告中的重大错报；④审计委员会和 审计部门对公司的对外财务报告和财务报 告内部控制监督无效。财务报告重要缺陷 的迹象包括：①未依照公认会计准则选择 和应用会计政策；②未建立反舞弊程序和 控制措施；③对于非常规或特殊交易的账 务处理没有建立相应的控制机制或没有实 施且没有相应的补偿性控制；④对于期末 财务报告过程的控制存在一项或多项缺陷 且不能合理保证编制的财务报表达到真 实、完整的目标。一般缺陷是指除上述重 大缺陷、重要缺陷之外的其他控制缺陷。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6" w:right="2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的可能性高，会严重降低工作效率或效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之严重偏离预期目标为重大缺陷。</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345"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1390"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财务报告定量标准以营业收入、资产总额 作为衡量指标。内部控制缺陷可能导致或 导致的损失与利润表相关的，以营业收入 指标衡量。如果该缺陷单独或连同其他缺 陷可能导致的财务报告错报金额小于营业 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，则认定为一般缺陷；如果超过</w:t>
            </w:r>
            <w:r>
              <w:rPr>
                <w:rFonts w:ascii="宋体" w:hAnsi="宋体" w:cs="宋体" w:eastAsia="宋体" w:hint="default"/>
                <w:sz w:val="18"/>
                <w:szCs w:val="18"/>
              </w:rPr>
              <w:t> 营业收入的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，则认定为重要 </w:t>
            </w:r>
            <w:r>
              <w:rPr>
                <w:rFonts w:ascii="宋体" w:hAnsi="宋体" w:cs="宋体" w:eastAsia="宋体" w:hint="default"/>
                <w:spacing w:val="-4"/>
                <w:sz w:val="18"/>
                <w:szCs w:val="18"/>
              </w:rPr>
              <w:t>缺陷；如果超过营业收入的</w:t>
            </w:r>
            <w:r>
              <w:rPr>
                <w:rFonts w:ascii="宋体" w:hAnsi="宋体" w:cs="宋体" w:eastAsia="宋体" w:hint="default"/>
                <w:spacing w:val="-38"/>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，则认定为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重大缺陷。内部控制缺陷可能导致或导致 的损失与资产管理相关的，以资产总额指</w:t>
            </w:r>
          </w:p>
        </w:tc>
        <w:tc>
          <w:tcPr>
            <w:tcW w:w="3053" w:type="dxa"/>
            <w:vMerge w:val="restart"/>
            <w:tcBorders>
              <w:top w:val="single" w:sz="4" w:space="0" w:color="000000"/>
              <w:left w:val="single" w:sz="4" w:space="0" w:color="000000"/>
              <w:right w:val="single" w:sz="4" w:space="0" w:color="000000"/>
            </w:tcBorders>
          </w:tcPr>
          <w:p>
            <w:pPr>
              <w:pStyle w:val="TableParagraph"/>
              <w:spacing w:line="312" w:lineRule="auto" w:before="49"/>
              <w:ind w:left="26" w:right="-43"/>
              <w:jc w:val="left"/>
              <w:rPr>
                <w:rFonts w:ascii="宋体" w:hAnsi="宋体" w:cs="宋体" w:eastAsia="宋体" w:hint="default"/>
                <w:sz w:val="18"/>
                <w:szCs w:val="18"/>
              </w:rPr>
            </w:pPr>
            <w:r>
              <w:rPr>
                <w:rFonts w:ascii="宋体" w:hAnsi="宋体" w:cs="宋体" w:eastAsia="宋体" w:hint="default"/>
                <w:spacing w:val="-4"/>
                <w:sz w:val="18"/>
                <w:szCs w:val="18"/>
              </w:rPr>
              <w:t>非财务报告定量标准以营业收入、资产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总额作为衡量指标。内部控制缺陷可能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导致或导致的损失与利润报表相关的， </w:t>
            </w:r>
            <w:r>
              <w:rPr>
                <w:rFonts w:ascii="宋体" w:hAnsi="宋体" w:cs="宋体" w:eastAsia="宋体" w:hint="default"/>
                <w:spacing w:val="-4"/>
                <w:sz w:val="18"/>
                <w:szCs w:val="18"/>
              </w:rPr>
              <w:t>以营业收入指标衡量。如果该缺陷单独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或连同其他缺陷可能导致的损失金额 小于营业收入的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 </w:t>
            </w:r>
            <w:r>
              <w:rPr>
                <w:rFonts w:ascii="宋体" w:hAnsi="宋体" w:cs="宋体" w:eastAsia="宋体" w:hint="default"/>
                <w:spacing w:val="-9"/>
                <w:sz w:val="18"/>
                <w:szCs w:val="18"/>
              </w:rPr>
              <w:t>陷；如果超过营业收入的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但小于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40"/>
                <w:sz w:val="18"/>
                <w:szCs w:val="18"/>
              </w:rPr>
              <w:t> </w:t>
            </w:r>
            <w:r>
              <w:rPr>
                <w:rFonts w:ascii="宋体" w:hAnsi="宋体" w:cs="宋体" w:eastAsia="宋体" w:hint="default"/>
                <w:spacing w:val="-4"/>
                <w:sz w:val="18"/>
                <w:szCs w:val="18"/>
              </w:rPr>
              <w:t>则认定为重要缺陷；如果超过营业收入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，则认定为重大缺陷。内部控制 缺陷可能导致或导致的损失与资产管</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1390"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19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标衡量。如果该缺陷单独或连同其他缺陷 可能导致的财务报告错报金额小于资产总 额的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，则认定为一般缺陷；如果超过资</w:t>
            </w:r>
            <w:r>
              <w:rPr>
                <w:rFonts w:ascii="宋体" w:hAnsi="宋体" w:cs="宋体" w:eastAsia="宋体" w:hint="default"/>
                <w:sz w:val="18"/>
                <w:szCs w:val="18"/>
              </w:rPr>
              <w:t> 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则认定为重要缺 </w:t>
            </w:r>
            <w:r>
              <w:rPr>
                <w:rFonts w:ascii="宋体" w:hAnsi="宋体" w:cs="宋体" w:eastAsia="宋体" w:hint="default"/>
                <w:spacing w:val="-4"/>
                <w:sz w:val="18"/>
                <w:szCs w:val="18"/>
              </w:rPr>
              <w:t>陷；如果超过资产总额</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，则认定为重大</w:t>
            </w:r>
            <w:r>
              <w:rPr>
                <w:rFonts w:ascii="宋体" w:hAnsi="宋体" w:cs="宋体" w:eastAsia="宋体" w:hint="default"/>
                <w:sz w:val="18"/>
                <w:szCs w:val="18"/>
              </w:rPr>
              <w:t> 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6" w:right="20"/>
              <w:jc w:val="left"/>
              <w:rPr>
                <w:rFonts w:ascii="宋体" w:hAnsi="宋体" w:cs="宋体" w:eastAsia="宋体" w:hint="default"/>
                <w:sz w:val="18"/>
                <w:szCs w:val="18"/>
              </w:rPr>
            </w:pPr>
            <w:r>
              <w:rPr>
                <w:rFonts w:ascii="宋体" w:hAnsi="宋体" w:cs="宋体" w:eastAsia="宋体" w:hint="default"/>
                <w:spacing w:val="-4"/>
                <w:sz w:val="18"/>
                <w:szCs w:val="18"/>
              </w:rPr>
              <w:t>理相关的，以资产总额指标衡量。如果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该缺陷单独或连同其他缺陷可能导致 的损失小于资产总额的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 一般缺陷；如果超过资产总额的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 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则认定为重要缺陷；如果超过 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十、内部控制审计报告或鉴证报告" w:id="146"/>
      <w:bookmarkEnd w:id="146"/>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内部控制审计报告</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我们认为，银江公司于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日在所有重大方面保持了与财务报表相关的有效的内部控制。</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会计师事务所是否出具非标准意见的内部控制审计报告</w:t>
      </w:r>
    </w:p>
    <w:p>
      <w:pPr>
        <w:pStyle w:val="BodyText"/>
        <w:spacing w:line="340" w:lineRule="auto" w:before="115"/>
        <w:ind w:right="4634"/>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 会计师事务所出具的内部控制审计报告与董事会的自我评价报告意见是否一致</w:t>
      </w:r>
    </w:p>
    <w:p>
      <w:pPr>
        <w:pStyle w:val="BodyText"/>
        <w:spacing w:line="240" w:lineRule="auto" w:before="41"/>
        <w:ind w:right="1133"/>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第十一节公司债券相关情况" w:id="147"/>
      <w:bookmarkEnd w:id="147"/>
      <w:r>
        <w:rPr>
          <w:b w:val="0"/>
          <w:bCs w:val="0"/>
        </w:rPr>
      </w:r>
      <w:bookmarkStart w:name="_bookmark10" w:id="148"/>
      <w:bookmarkEnd w:id="148"/>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84"/>
        <w:jc w:val="center"/>
        <w:rPr>
          <w:b w:val="0"/>
          <w:bCs w:val="0"/>
        </w:rPr>
      </w:pPr>
      <w:bookmarkStart w:name="第十二节财务报告" w:id="149"/>
      <w:bookmarkEnd w:id="149"/>
      <w:r>
        <w:rPr>
          <w:b w:val="0"/>
          <w:bCs w:val="0"/>
        </w:rPr>
      </w:r>
      <w:bookmarkStart w:name="_bookmark11" w:id="150"/>
      <w:bookmarkEnd w:id="150"/>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审计报告" w:id="151"/>
      <w:bookmarkEnd w:id="151"/>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[2020]33080002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谭争、许旭光</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6"/>
          <w:szCs w:val="26"/>
        </w:rPr>
      </w:pPr>
    </w:p>
    <w:p>
      <w:pPr>
        <w:pStyle w:val="Heading2"/>
        <w:spacing w:line="240" w:lineRule="auto"/>
        <w:ind w:right="0"/>
        <w:jc w:val="left"/>
        <w:rPr>
          <w:b w:val="0"/>
          <w:bCs w:val="0"/>
        </w:rPr>
      </w:pPr>
      <w:r>
        <w:rPr>
          <w:w w:val="95"/>
        </w:rPr>
        <w:t>银江股份有限公司全体股东：</w:t>
      </w:r>
      <w:r>
        <w:rPr>
          <w:b w:val="0"/>
          <w:bCs w:val="0"/>
        </w:rPr>
      </w:r>
    </w:p>
    <w:p>
      <w:pPr>
        <w:pStyle w:val="BodyText"/>
        <w:spacing w:line="240" w:lineRule="auto" w:before="49"/>
        <w:ind w:left="133" w:right="5209"/>
        <w:jc w:val="center"/>
      </w:pPr>
      <w:r>
        <w:rPr/>
        <w:br w:type="column"/>
      </w:r>
      <w:r>
        <w:rPr/>
        <w:t>审计报告正文</w:t>
      </w:r>
    </w:p>
    <w:p>
      <w:pPr>
        <w:spacing w:before="128"/>
        <w:ind w:left="133" w:right="5209" w:firstLine="0"/>
        <w:jc w:val="center"/>
        <w:rPr>
          <w:rFonts w:ascii="宋体" w:hAnsi="宋体" w:cs="宋体" w:eastAsia="宋体" w:hint="default"/>
          <w:sz w:val="36"/>
          <w:szCs w:val="36"/>
        </w:rPr>
      </w:pPr>
      <w:r>
        <w:rPr>
          <w:rFonts w:ascii="宋体" w:hAnsi="宋体" w:cs="宋体" w:eastAsia="宋体" w:hint="default"/>
          <w:b/>
          <w:bCs/>
          <w:sz w:val="36"/>
          <w:szCs w:val="36"/>
        </w:rPr>
        <w:t>审计报告</w:t>
      </w:r>
      <w:r>
        <w:rPr>
          <w:rFonts w:ascii="宋体" w:hAnsi="宋体" w:cs="宋体" w:eastAsia="宋体" w:hint="default"/>
          <w:sz w:val="36"/>
          <w:szCs w:val="36"/>
        </w:rPr>
      </w:r>
    </w:p>
    <w:p>
      <w:pPr>
        <w:spacing w:after="0"/>
        <w:jc w:val="center"/>
        <w:rPr>
          <w:rFonts w:ascii="宋体" w:hAnsi="宋体" w:cs="宋体" w:eastAsia="宋体" w:hint="default"/>
          <w:sz w:val="36"/>
          <w:szCs w:val="36"/>
        </w:rPr>
        <w:sectPr>
          <w:type w:val="continuous"/>
          <w:pgSz w:w="11910" w:h="16840"/>
          <w:pgMar w:top="1060" w:bottom="1160" w:left="980" w:right="0"/>
          <w:cols w:num="2" w:equalWidth="0">
            <w:col w:w="3284" w:space="814"/>
            <w:col w:w="6832"/>
          </w:cols>
        </w:sectPr>
      </w:pPr>
    </w:p>
    <w:p>
      <w:pPr>
        <w:spacing w:line="240" w:lineRule="auto" w:before="1"/>
        <w:rPr>
          <w:rFonts w:ascii="宋体" w:hAnsi="宋体" w:cs="宋体" w:eastAsia="宋体" w:hint="default"/>
          <w:b/>
          <w:bCs/>
          <w:sz w:val="12"/>
          <w:szCs w:val="12"/>
        </w:rPr>
      </w:pPr>
    </w:p>
    <w:p>
      <w:pPr>
        <w:pStyle w:val="BodyText"/>
        <w:spacing w:line="316" w:lineRule="auto" w:before="44"/>
        <w:ind w:left="513" w:right="1119"/>
        <w:jc w:val="left"/>
        <w:rPr>
          <w:rFonts w:ascii="宋体" w:hAnsi="宋体" w:cs="宋体" w:eastAsia="宋体" w:hint="default"/>
        </w:rPr>
      </w:pPr>
      <w:r>
        <w:rPr>
          <w:rFonts w:ascii="宋体" w:hAnsi="宋体" w:cs="宋体" w:eastAsia="宋体" w:hint="default"/>
          <w:b/>
          <w:bCs/>
        </w:rPr>
        <w:t>一、审计意见</w:t>
      </w:r>
      <w:r>
        <w:rPr>
          <w:rFonts w:ascii="宋体" w:hAnsi="宋体" w:cs="宋体" w:eastAsia="宋体" w:hint="default"/>
          <w:b/>
          <w:bCs/>
          <w:w w:val="99"/>
        </w:rPr>
        <w:t> </w:t>
      </w:r>
      <w:r>
        <w:rPr>
          <w:spacing w:val="-5"/>
        </w:rPr>
        <w:t>我们审计了银江股份有限公司（以下简称“银江公司”）财务报表，包括</w:t>
      </w:r>
      <w:r>
        <w:rPr>
          <w:rFonts w:ascii="宋体" w:hAnsi="宋体" w:cs="宋体" w:eastAsia="宋体" w:hint="default"/>
          <w:spacing w:val="-5"/>
        </w:rPr>
        <w:t>2019</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日的合并及公司资产负债表，</w:t>
      </w:r>
      <w:r>
        <w:rPr>
          <w:rFonts w:ascii="宋体" w:hAnsi="宋体" w:cs="宋体" w:eastAsia="宋体" w:hint="default"/>
          <w:spacing w:val="-5"/>
        </w:rPr>
        <w:t>2019</w:t>
      </w:r>
    </w:p>
    <w:p>
      <w:pPr>
        <w:pStyle w:val="BodyText"/>
        <w:spacing w:line="316" w:lineRule="auto" w:before="19"/>
        <w:ind w:left="513" w:right="0" w:hanging="361"/>
        <w:jc w:val="left"/>
      </w:pPr>
      <w:r>
        <w:rPr/>
        <w:t>年度的合并及公司利润表、合并及公司现金流量表、合并及公司股东权益变动表以及相关财务报表附注。 </w:t>
      </w:r>
      <w:r>
        <w:rPr>
          <w:spacing w:val="-2"/>
        </w:rPr>
        <w:t>我们认为，后附的财务报表在所有重大方面按照企业会计准则的规定编制，公允反映了银江公司</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日合并及</w:t>
      </w:r>
    </w:p>
    <w:p>
      <w:pPr>
        <w:spacing w:line="316" w:lineRule="auto" w:before="19"/>
        <w:ind w:left="513" w:right="5534" w:hanging="361"/>
        <w:jc w:val="left"/>
        <w:rPr>
          <w:rFonts w:ascii="宋体" w:hAnsi="宋体" w:cs="宋体" w:eastAsia="宋体" w:hint="default"/>
          <w:sz w:val="18"/>
          <w:szCs w:val="18"/>
        </w:rPr>
      </w:pPr>
      <w:r>
        <w:rPr>
          <w:rFonts w:ascii="宋体" w:hAnsi="宋体" w:cs="宋体" w:eastAsia="宋体" w:hint="default"/>
          <w:sz w:val="18"/>
          <w:szCs w:val="18"/>
        </w:rPr>
        <w:t>公司的财务状况以及</w:t>
      </w:r>
      <w:r>
        <w:rPr>
          <w:rFonts w:ascii="宋体" w:hAnsi="宋体" w:cs="宋体" w:eastAsia="宋体" w:hint="default"/>
          <w:sz w:val="18"/>
          <w:szCs w:val="18"/>
        </w:rPr>
        <w:t>2019</w:t>
      </w:r>
      <w:r>
        <w:rPr>
          <w:rFonts w:ascii="宋体" w:hAnsi="宋体" w:cs="宋体" w:eastAsia="宋体" w:hint="default"/>
          <w:sz w:val="18"/>
          <w:szCs w:val="18"/>
        </w:rPr>
        <w:t>年度合并及公司的经营成果和现金流量。 </w:t>
      </w:r>
      <w:r>
        <w:rPr>
          <w:rFonts w:ascii="宋体" w:hAnsi="宋体" w:cs="宋体" w:eastAsia="宋体" w:hint="default"/>
          <w:b/>
          <w:bCs/>
          <w:sz w:val="18"/>
          <w:szCs w:val="18"/>
        </w:rPr>
        <w:t>二、形成审计意见的基础</w:t>
      </w:r>
      <w:r>
        <w:rPr>
          <w:rFonts w:ascii="宋体" w:hAnsi="宋体" w:cs="宋体" w:eastAsia="宋体" w:hint="default"/>
          <w:sz w:val="18"/>
          <w:szCs w:val="18"/>
        </w:rPr>
      </w:r>
    </w:p>
    <w:p>
      <w:pPr>
        <w:pStyle w:val="BodyText"/>
        <w:spacing w:line="316" w:lineRule="auto" w:before="19"/>
        <w:ind w:right="1128" w:firstLine="360"/>
        <w:jc w:val="both"/>
      </w:pPr>
      <w:r>
        <w:rPr>
          <w:spacing w:val="-2"/>
        </w:rPr>
        <w:t>我们按照中国注册会计师审计准则的规定执行了审计工作。审计报告的“注册会计师对财务报表审计的责任”部分进一</w:t>
      </w:r>
      <w:r>
        <w:rPr/>
        <w:t> </w:t>
      </w:r>
      <w:r>
        <w:rPr>
          <w:spacing w:val="-2"/>
        </w:rPr>
        <w:t>步阐述了我们在这些准则下的责任。按照中国注册会计师职业道德守则，我们独立于银江公司，并履行了职业道德方面的其</w:t>
      </w:r>
      <w:r>
        <w:rPr>
          <w:spacing w:val="-63"/>
        </w:rPr>
        <w:t> </w:t>
      </w:r>
      <w:r>
        <w:rPr>
          <w:spacing w:val="-63"/>
        </w:rPr>
      </w:r>
      <w:r>
        <w:rPr/>
        <w:t>他责任。我们相信，我们获取的审计证据是充分、适当的，为发表审计意见提供了基础。</w:t>
      </w:r>
    </w:p>
    <w:p>
      <w:pPr>
        <w:pStyle w:val="BodyText"/>
        <w:spacing w:line="316" w:lineRule="auto" w:before="19"/>
        <w:ind w:left="513" w:right="0"/>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19"/>
        <w:ind w:right="0"/>
        <w:jc w:val="left"/>
      </w:pPr>
      <w:r>
        <w:rPr/>
        <w:t>审计并形成审计意见为背景</w:t>
      </w:r>
      <w:r>
        <w:rPr>
          <w:spacing w:val="-87"/>
        </w:rPr>
        <w:t>，</w:t>
      </w:r>
      <w:r>
        <w:rPr/>
        <w:t>我们不对这些事项单独发表意见</w:t>
      </w:r>
      <w:r>
        <w:rPr>
          <w:spacing w:val="-87"/>
        </w:rPr>
        <w:t>。</w:t>
      </w:r>
      <w:r>
        <w:rPr/>
        <w:t>我们确定</w:t>
      </w:r>
      <w:r>
        <w:rPr>
          <w:spacing w:val="1"/>
        </w:rPr>
        <w:t>下</w:t>
      </w:r>
      <w:r>
        <w:rPr/>
        <w:t>列事项是需要在审计报告中沟通的关键审计事项。</w:t>
      </w:r>
    </w:p>
    <w:p>
      <w:pPr>
        <w:pStyle w:val="Heading4"/>
        <w:spacing w:line="316" w:lineRule="auto" w:before="76"/>
        <w:ind w:right="8405"/>
        <w:jc w:val="left"/>
        <w:rPr>
          <w:b w:val="0"/>
          <w:bCs w:val="0"/>
        </w:rPr>
      </w:pPr>
      <w:r>
        <w:rPr/>
        <w:t>（一）建造合同收入确认</w:t>
      </w:r>
      <w:r>
        <w:rPr>
          <w:w w:val="99"/>
        </w:rPr>
        <w:t> </w:t>
      </w:r>
      <w:r>
        <w:rPr>
          <w:rFonts w:ascii="宋体" w:hAnsi="宋体" w:cs="宋体" w:eastAsia="宋体" w:hint="default"/>
        </w:rPr>
        <w:t>1</w:t>
      </w:r>
      <w:r>
        <w:rPr/>
        <w:t>、事项描述</w:t>
      </w:r>
      <w:r>
        <w:rPr>
          <w:b w:val="0"/>
          <w:bCs w:val="0"/>
        </w:rPr>
      </w:r>
    </w:p>
    <w:p>
      <w:pPr>
        <w:pStyle w:val="BodyText"/>
        <w:spacing w:line="316" w:lineRule="auto" w:before="19"/>
        <w:ind w:right="1132" w:firstLine="360"/>
        <w:jc w:val="both"/>
      </w:pPr>
      <w:r>
        <w:rPr/>
        <w:t>如财务报表附注（四）、</w:t>
      </w:r>
      <w:r>
        <w:rPr>
          <w:rFonts w:ascii="宋体" w:hAnsi="宋体" w:cs="宋体" w:eastAsia="宋体" w:hint="default"/>
        </w:rPr>
        <w:t>24</w:t>
      </w:r>
      <w:r>
        <w:rPr/>
        <w:t>（</w:t>
      </w:r>
      <w:r>
        <w:rPr>
          <w:rFonts w:ascii="宋体" w:hAnsi="宋体" w:cs="宋体" w:eastAsia="宋体" w:hint="default"/>
        </w:rPr>
        <w:t>3</w:t>
      </w:r>
      <w:r>
        <w:rPr/>
        <w:t>）所示，银江公司对于所提供的建造服务，在建造合同的结果能够可靠估计时，按照完 </w:t>
      </w:r>
      <w:r>
        <w:rPr>
          <w:spacing w:val="-2"/>
        </w:rPr>
        <w:t>工百分比法确认收入。管理层需要对建造合同的预计总收入和预计总成本作出合理估计以确定完工进度，并应于合同执行过</w:t>
      </w:r>
      <w:r>
        <w:rPr>
          <w:spacing w:val="-64"/>
        </w:rPr>
        <w:t> </w:t>
      </w:r>
      <w:r>
        <w:rPr>
          <w:spacing w:val="-64"/>
        </w:rPr>
      </w:r>
      <w:r>
        <w:rPr>
          <w:spacing w:val="-2"/>
        </w:rPr>
        <w:t>程中持续评估和修订。上述建造合同收入确认过程中涉及管理层的重大会计估计，因此我们将建造合同收入确认认定为关键</w:t>
      </w:r>
      <w:r>
        <w:rPr>
          <w:spacing w:val="-64"/>
        </w:rPr>
        <w:t> </w:t>
      </w:r>
      <w:r>
        <w:rPr>
          <w:spacing w:val="-64"/>
        </w:rPr>
      </w:r>
      <w:r>
        <w:rPr/>
        <w:t>审计事项。</w:t>
      </w:r>
    </w:p>
    <w:p>
      <w:pPr>
        <w:spacing w:line="316" w:lineRule="auto" w:before="19"/>
        <w:ind w:left="513" w:right="5893"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、审计应对</w:t>
      </w:r>
      <w:r>
        <w:rPr>
          <w:rFonts w:ascii="宋体" w:hAnsi="宋体" w:cs="宋体" w:eastAsia="宋体" w:hint="default"/>
          <w:b/>
          <w:bCs/>
          <w:w w:val="99"/>
          <w:sz w:val="18"/>
          <w:szCs w:val="18"/>
        </w:rPr>
        <w:t> </w:t>
      </w:r>
      <w:r>
        <w:rPr>
          <w:rFonts w:ascii="宋体" w:hAnsi="宋体" w:cs="宋体" w:eastAsia="宋体" w:hint="default"/>
          <w:sz w:val="18"/>
          <w:szCs w:val="18"/>
        </w:rPr>
        <w:t>针对建造合同收入确认，我们执行的审计程序主要包括：</w:t>
      </w:r>
    </w:p>
    <w:p>
      <w:pPr>
        <w:pStyle w:val="BodyText"/>
        <w:spacing w:line="240" w:lineRule="auto" w:before="19"/>
        <w:ind w:left="513" w:right="1133"/>
        <w:jc w:val="left"/>
      </w:pPr>
      <w:r>
        <w:rPr/>
        <w:t>（</w:t>
      </w:r>
      <w:r>
        <w:rPr>
          <w:rFonts w:ascii="宋体" w:hAnsi="宋体" w:cs="宋体" w:eastAsia="宋体" w:hint="default"/>
        </w:rPr>
        <w:t>1</w:t>
      </w:r>
      <w:r>
        <w:rPr/>
        <w:t>）评价、测试与建造合同预算编制和收入确认相关的内部控制的设计和运行的有效性；</w:t>
      </w:r>
    </w:p>
    <w:p>
      <w:pPr>
        <w:pStyle w:val="BodyText"/>
        <w:spacing w:line="240" w:lineRule="auto" w:before="76"/>
        <w:ind w:left="513" w:right="1133"/>
        <w:jc w:val="left"/>
      </w:pPr>
      <w:r>
        <w:rPr/>
        <w:t>（</w:t>
      </w:r>
      <w:r>
        <w:rPr>
          <w:rFonts w:ascii="宋体" w:hAnsi="宋体" w:cs="宋体" w:eastAsia="宋体" w:hint="default"/>
        </w:rPr>
        <w:t>2</w:t>
      </w:r>
      <w:r>
        <w:rPr/>
        <w:t>）获取建造合同信息表，重新计算建造合同完工百分比的准确性；</w:t>
      </w:r>
    </w:p>
    <w:p>
      <w:pPr>
        <w:pStyle w:val="BodyText"/>
        <w:spacing w:line="316" w:lineRule="auto" w:before="76"/>
        <w:ind w:right="1133" w:firstLine="360"/>
        <w:jc w:val="both"/>
      </w:pPr>
      <w:r>
        <w:rPr/>
        <w:t>（</w:t>
      </w:r>
      <w:r>
        <w:rPr>
          <w:rFonts w:ascii="宋体" w:hAnsi="宋体" w:cs="宋体" w:eastAsia="宋体" w:hint="default"/>
        </w:rPr>
        <w:t>3</w:t>
      </w:r>
      <w:r>
        <w:rPr/>
        <w:t>）选取建造合同样本，检查预计总收入、预计总成本所依据的建造合同和成本预算资料，评价管理层对预计总收入 和预计总成本的估计是否充分；</w:t>
      </w:r>
    </w:p>
    <w:p>
      <w:pPr>
        <w:pStyle w:val="BodyText"/>
        <w:spacing w:line="240" w:lineRule="auto" w:before="19"/>
        <w:ind w:left="513" w:right="1133"/>
        <w:jc w:val="left"/>
      </w:pPr>
      <w:r>
        <w:rPr/>
        <w:t>（</w:t>
      </w:r>
      <w:r>
        <w:rPr>
          <w:rFonts w:ascii="宋体" w:hAnsi="宋体" w:cs="宋体" w:eastAsia="宋体" w:hint="default"/>
        </w:rPr>
        <w:t>4</w:t>
      </w:r>
      <w:r>
        <w:rPr/>
        <w:t>）选取样本对本年度发生的工程施工成本进行测试；</w:t>
      </w:r>
    </w:p>
    <w:p>
      <w:pPr>
        <w:pStyle w:val="BodyText"/>
        <w:spacing w:line="316" w:lineRule="auto" w:before="76"/>
        <w:ind w:right="1133" w:firstLine="360"/>
        <w:jc w:val="both"/>
      </w:pPr>
      <w:r>
        <w:rPr/>
        <w:t>（</w:t>
      </w:r>
      <w:r>
        <w:rPr>
          <w:rFonts w:ascii="宋体" w:hAnsi="宋体" w:cs="宋体" w:eastAsia="宋体" w:hint="default"/>
        </w:rPr>
        <w:t>5</w:t>
      </w:r>
      <w:r>
        <w:rPr/>
        <w:t>）选取建造合同样本，对工程进度进行现场查看，与工程管理部门讨论确认工程的完工进度，并与账面记录进行比 较，对异常偏差执行进一步的检查程序。</w:t>
      </w:r>
    </w:p>
    <w:p>
      <w:pPr>
        <w:spacing w:after="0" w:line="316" w:lineRule="auto"/>
        <w:jc w:val="both"/>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Heading4"/>
        <w:spacing w:line="319" w:lineRule="auto" w:before="44"/>
        <w:ind w:right="8405"/>
        <w:jc w:val="left"/>
        <w:rPr>
          <w:b w:val="0"/>
          <w:bCs w:val="0"/>
        </w:rPr>
      </w:pPr>
      <w:r>
        <w:rPr/>
        <w:t>（二）应收账款坏账准备</w:t>
      </w:r>
      <w:r>
        <w:rPr>
          <w:w w:val="99"/>
        </w:rPr>
        <w:t> </w:t>
      </w:r>
      <w:r>
        <w:rPr>
          <w:rFonts w:ascii="宋体" w:hAnsi="宋体" w:cs="宋体" w:eastAsia="宋体" w:hint="default"/>
        </w:rPr>
        <w:t>1</w:t>
      </w:r>
      <w:r>
        <w:rPr/>
        <w:t>、事项描述</w:t>
      </w:r>
      <w:r>
        <w:rPr>
          <w:b w:val="0"/>
          <w:bCs w:val="0"/>
        </w:rPr>
      </w:r>
    </w:p>
    <w:p>
      <w:pPr>
        <w:pStyle w:val="BodyText"/>
        <w:spacing w:line="316" w:lineRule="auto" w:before="17"/>
        <w:ind w:right="1127" w:firstLine="360"/>
        <w:jc w:val="both"/>
      </w:pPr>
      <w:r>
        <w:rPr>
          <w:spacing w:val="11"/>
        </w:rPr>
        <w:t>如财务报表附注六、</w:t>
      </w:r>
      <w:r>
        <w:rPr>
          <w:spacing w:val="-59"/>
        </w:rPr>
        <w:t> </w:t>
      </w:r>
      <w:r>
        <w:rPr>
          <w:rFonts w:ascii="宋体" w:hAnsi="宋体" w:cs="宋体" w:eastAsia="宋体" w:hint="default"/>
          <w:spacing w:val="7"/>
        </w:rPr>
        <w:t>3</w:t>
      </w:r>
      <w:r>
        <w:rPr>
          <w:spacing w:val="7"/>
        </w:rPr>
        <w:t>所述，截至</w:t>
      </w:r>
      <w:r>
        <w:rPr>
          <w:rFonts w:ascii="宋体" w:hAnsi="宋体" w:cs="宋体" w:eastAsia="宋体" w:hint="default"/>
          <w:spacing w:val="7"/>
        </w:rPr>
        <w:t>2019</w:t>
      </w:r>
      <w:r>
        <w:rPr>
          <w:spacing w:val="7"/>
        </w:rPr>
        <w:t>年</w:t>
      </w:r>
      <w:r>
        <w:rPr>
          <w:rFonts w:ascii="宋体" w:hAnsi="宋体" w:cs="宋体" w:eastAsia="宋体" w:hint="default"/>
          <w:spacing w:val="7"/>
        </w:rPr>
        <w:t>12</w:t>
      </w:r>
      <w:r>
        <w:rPr>
          <w:spacing w:val="7"/>
        </w:rPr>
        <w:t>月</w:t>
      </w:r>
      <w:r>
        <w:rPr>
          <w:rFonts w:ascii="宋体" w:hAnsi="宋体" w:cs="宋体" w:eastAsia="宋体" w:hint="default"/>
          <w:spacing w:val="7"/>
        </w:rPr>
        <w:t>31</w:t>
      </w:r>
      <w:r>
        <w:rPr>
          <w:spacing w:val="7"/>
        </w:rPr>
        <w:t>日，银江公司应收账款余额</w:t>
      </w:r>
      <w:r>
        <w:rPr>
          <w:rFonts w:ascii="宋体" w:hAnsi="宋体" w:cs="宋体" w:eastAsia="宋体" w:hint="default"/>
          <w:spacing w:val="7"/>
        </w:rPr>
        <w:t>1,758,868,334.27</w:t>
      </w:r>
      <w:r>
        <w:rPr>
          <w:spacing w:val="7"/>
        </w:rPr>
        <w:t>元，坏账准备金额</w:t>
      </w:r>
      <w:r>
        <w:rPr/>
        <w:t> </w:t>
      </w:r>
      <w:r>
        <w:rPr>
          <w:rFonts w:ascii="宋体" w:hAnsi="宋体" w:cs="宋体" w:eastAsia="宋体" w:hint="default"/>
          <w:spacing w:val="-2"/>
        </w:rPr>
        <w:t>292,445,667.66</w:t>
      </w:r>
      <w:r>
        <w:rPr>
          <w:spacing w:val="-2"/>
        </w:rPr>
        <w:t>元，账面价值</w:t>
      </w:r>
      <w:r>
        <w:rPr>
          <w:rFonts w:ascii="宋体" w:hAnsi="宋体" w:cs="宋体" w:eastAsia="宋体" w:hint="default"/>
          <w:spacing w:val="-2"/>
        </w:rPr>
        <w:t>1,466,422,666.61</w:t>
      </w:r>
      <w:r>
        <w:rPr>
          <w:spacing w:val="-2"/>
        </w:rPr>
        <w:t>元。关于应收账款坏账准备会计政策见附注四、</w:t>
      </w:r>
      <w:r>
        <w:rPr>
          <w:rFonts w:ascii="宋体" w:hAnsi="宋体" w:cs="宋体" w:eastAsia="宋体" w:hint="default"/>
          <w:spacing w:val="-2"/>
        </w:rPr>
        <w:t>10</w:t>
      </w:r>
      <w:r>
        <w:rPr>
          <w:spacing w:val="-2"/>
        </w:rPr>
        <w:t>。应收账款期末价值的确</w:t>
      </w:r>
      <w:r>
        <w:rPr>
          <w:spacing w:val="-45"/>
        </w:rPr>
        <w:t> </w:t>
      </w:r>
      <w:r>
        <w:rPr>
          <w:spacing w:val="-45"/>
        </w:rPr>
      </w:r>
      <w:r>
        <w:rPr>
          <w:spacing w:val="-2"/>
        </w:rPr>
        <w:t>定需要管理识别已发生减值的项目和客观证据、评估预期未来可获取的现金流量并确定其现值，涉及管理层运用重大会计估</w:t>
      </w:r>
      <w:r>
        <w:rPr>
          <w:spacing w:val="-64"/>
        </w:rPr>
        <w:t> </w:t>
      </w:r>
      <w:r>
        <w:rPr>
          <w:spacing w:val="-64"/>
        </w:rPr>
      </w:r>
      <w:r>
        <w:rPr/>
        <w:t>计和判断，且应收账款坏账准备对财务报表具有重要性，因此我们将应收账款坏账准备确定为关键审计事项。</w:t>
      </w:r>
    </w:p>
    <w:p>
      <w:pPr>
        <w:spacing w:line="316" w:lineRule="auto" w:before="19"/>
        <w:ind w:left="513" w:right="5893"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、审计应对</w:t>
      </w:r>
      <w:r>
        <w:rPr>
          <w:rFonts w:ascii="宋体" w:hAnsi="宋体" w:cs="宋体" w:eastAsia="宋体" w:hint="default"/>
          <w:b/>
          <w:bCs/>
          <w:w w:val="99"/>
          <w:sz w:val="18"/>
          <w:szCs w:val="18"/>
        </w:rPr>
        <w:t> </w:t>
      </w:r>
      <w:r>
        <w:rPr>
          <w:rFonts w:ascii="宋体" w:hAnsi="宋体" w:cs="宋体" w:eastAsia="宋体" w:hint="default"/>
          <w:sz w:val="18"/>
          <w:szCs w:val="18"/>
        </w:rPr>
        <w:t>针对应收账款坏账准备，我们执行的主要审计程序如下：</w:t>
      </w:r>
    </w:p>
    <w:p>
      <w:pPr>
        <w:pStyle w:val="BodyText"/>
        <w:spacing w:line="240" w:lineRule="auto" w:before="19"/>
        <w:ind w:left="513" w:right="1133"/>
        <w:jc w:val="left"/>
      </w:pPr>
      <w:r>
        <w:rPr/>
        <w:t>（</w:t>
      </w:r>
      <w:r>
        <w:rPr>
          <w:rFonts w:ascii="宋体" w:hAnsi="宋体" w:cs="宋体" w:eastAsia="宋体" w:hint="default"/>
        </w:rPr>
        <w:t>1</w:t>
      </w:r>
      <w:r>
        <w:rPr/>
        <w:t>）评价、测试管理层对应收账款日常管理及可回收性评估相关的内部控制制度的设计和运行的有效性；</w:t>
      </w:r>
    </w:p>
    <w:p>
      <w:pPr>
        <w:pStyle w:val="BodyText"/>
        <w:spacing w:line="240" w:lineRule="auto" w:before="76"/>
        <w:ind w:left="513" w:right="1133"/>
        <w:jc w:val="left"/>
      </w:pPr>
      <w:r>
        <w:rPr/>
        <w:t>（</w:t>
      </w:r>
      <w:r>
        <w:rPr>
          <w:rFonts w:ascii="宋体" w:hAnsi="宋体" w:cs="宋体" w:eastAsia="宋体" w:hint="default"/>
        </w:rPr>
        <w:t>2</w:t>
      </w:r>
      <w:r>
        <w:rPr/>
        <w:t>）复核管理层对应收账款可回收性进行评估的相关考虑及客观证据；</w:t>
      </w:r>
    </w:p>
    <w:p>
      <w:pPr>
        <w:pStyle w:val="BodyText"/>
        <w:spacing w:line="240" w:lineRule="auto" w:before="76"/>
        <w:ind w:left="513" w:right="1133"/>
        <w:jc w:val="left"/>
      </w:pPr>
      <w:r>
        <w:rPr/>
        <w:t>（</w:t>
      </w:r>
      <w:r>
        <w:rPr>
          <w:rFonts w:ascii="宋体" w:hAnsi="宋体" w:cs="宋体" w:eastAsia="宋体" w:hint="default"/>
        </w:rPr>
        <w:t>3</w:t>
      </w:r>
      <w:r>
        <w:rPr/>
        <w:t>）检查客户资料、历史收款及期后收款情况，并结合应收账款函证程序，核实交易的付款安排及真实性；</w:t>
      </w:r>
    </w:p>
    <w:p>
      <w:pPr>
        <w:pStyle w:val="BodyText"/>
        <w:spacing w:line="319" w:lineRule="auto" w:before="76"/>
        <w:ind w:right="1133" w:firstLine="360"/>
        <w:jc w:val="both"/>
      </w:pPr>
      <w:r>
        <w:rPr/>
        <w:t>（</w:t>
      </w:r>
      <w:r>
        <w:rPr>
          <w:rFonts w:ascii="宋体" w:hAnsi="宋体" w:cs="宋体" w:eastAsia="宋体" w:hint="default"/>
        </w:rPr>
        <w:t>4</w:t>
      </w:r>
      <w:r>
        <w:rPr/>
        <w:t>）对于管理层按照信用风险特征组合计提坏账准备的应收账款，结合信用风险特征及账龄分析，评价管理层应收账 款坏账准备计提的合理性。</w:t>
      </w:r>
    </w:p>
    <w:p>
      <w:pPr>
        <w:pStyle w:val="BodyText"/>
        <w:spacing w:line="316" w:lineRule="auto" w:before="17"/>
        <w:ind w:left="513" w:right="1033"/>
        <w:jc w:val="left"/>
      </w:pPr>
      <w:r>
        <w:rPr>
          <w:rFonts w:ascii="宋体" w:hAnsi="宋体" w:cs="宋体" w:eastAsia="宋体" w:hint="default"/>
          <w:b/>
          <w:bCs/>
        </w:rPr>
        <w:t>四、其他信息</w:t>
      </w:r>
      <w:r>
        <w:rPr>
          <w:rFonts w:ascii="宋体" w:hAnsi="宋体" w:cs="宋体" w:eastAsia="宋体" w:hint="default"/>
          <w:b/>
          <w:bCs/>
          <w:w w:val="99"/>
        </w:rPr>
        <w:t> </w:t>
      </w:r>
      <w:r>
        <w:rPr/>
        <w:t>银江公司管理层对其他信息负责。其他信息包括</w:t>
      </w:r>
      <w:r>
        <w:rPr>
          <w:rFonts w:ascii="宋体" w:hAnsi="宋体" w:cs="宋体" w:eastAsia="宋体" w:hint="default"/>
        </w:rPr>
        <w:t>2019</w:t>
      </w:r>
      <w:r>
        <w:rPr/>
        <w:t>年年度报告中涵盖的信息，但不包括财务报表和我们的审计报告。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513" w:right="0"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1133"/>
        <w:jc w:val="left"/>
      </w:pPr>
      <w:r>
        <w:rPr/>
        <w:t>报告。</w:t>
      </w:r>
    </w:p>
    <w:p>
      <w:pPr>
        <w:spacing w:line="316" w:lineRule="auto" w:before="76"/>
        <w:ind w:left="513" w:right="1133"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银江公司管理层（以下简称管理层）负责按照企业会计准则的规定编制财务报表，使其实现公允反映，并设计、执行和</w:t>
      </w:r>
    </w:p>
    <w:p>
      <w:pPr>
        <w:pStyle w:val="BodyText"/>
        <w:spacing w:line="316" w:lineRule="auto" w:before="19"/>
        <w:ind w:left="513" w:right="1133" w:hanging="361"/>
        <w:jc w:val="left"/>
      </w:pPr>
      <w:r>
        <w:rPr/>
        <w:t>维护必要的内部控制，以使财务报表不存在由于舞弊或错误导致的重大错报。 </w:t>
      </w:r>
      <w:r>
        <w:rPr>
          <w:spacing w:val="-2"/>
        </w:rPr>
        <w:t>在编制财务报表时，管理层负责评估银江公司的持续经营能力，披露与持续经营相关的事项（如适用），并运用持续经</w:t>
      </w:r>
    </w:p>
    <w:p>
      <w:pPr>
        <w:spacing w:line="316" w:lineRule="auto" w:before="19"/>
        <w:ind w:left="513" w:right="4814" w:hanging="361"/>
        <w:jc w:val="left"/>
        <w:rPr>
          <w:rFonts w:ascii="宋体" w:hAnsi="宋体" w:cs="宋体" w:eastAsia="宋体" w:hint="default"/>
          <w:sz w:val="18"/>
          <w:szCs w:val="18"/>
        </w:rPr>
      </w:pPr>
      <w:r>
        <w:rPr>
          <w:rFonts w:ascii="宋体" w:hAnsi="宋体" w:cs="宋体" w:eastAsia="宋体" w:hint="default"/>
          <w:sz w:val="18"/>
          <w:szCs w:val="18"/>
        </w:rPr>
        <w:t>营假设，除非管理层计划清算银江公司、终止运营或别无其他现实的选择。 治理层负责监督银江公司的财务报告过程。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19"/>
        <w:ind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513" w:right="1133"/>
        <w:jc w:val="left"/>
      </w:pPr>
      <w:r>
        <w:rPr/>
        <w:t>在按照审计准则执行审计工作的过程中，我们运用职业判断，并保持职业怀疑。同时，我们也执行以下工作：</w:t>
      </w:r>
    </w:p>
    <w:p>
      <w:pPr>
        <w:pStyle w:val="BodyText"/>
        <w:spacing w:line="316" w:lineRule="auto" w:before="76"/>
        <w:ind w:right="1051" w:firstLine="360"/>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9"/>
        <w:ind w:left="513" w:right="1133"/>
        <w:jc w:val="left"/>
      </w:pPr>
      <w:r>
        <w:rPr/>
        <w:t>（二）了解与审计相关的内部控制，以设计恰当的审计程序，但目的并非对内部控制的有效性发表意见。</w:t>
      </w:r>
    </w:p>
    <w:p>
      <w:pPr>
        <w:pStyle w:val="BodyText"/>
        <w:spacing w:line="240" w:lineRule="auto" w:before="76"/>
        <w:ind w:left="513" w:right="1133"/>
        <w:jc w:val="left"/>
      </w:pPr>
      <w:r>
        <w:rPr/>
        <w:t>（三）评价管理层选用会计政策的恰当性和作出会计估计及相关披露的合理性。</w:t>
      </w:r>
    </w:p>
    <w:p>
      <w:pPr>
        <w:pStyle w:val="BodyText"/>
        <w:spacing w:line="316" w:lineRule="auto" w:before="76"/>
        <w:ind w:right="1131" w:firstLine="360"/>
        <w:jc w:val="both"/>
      </w:pPr>
      <w:r>
        <w:rPr>
          <w:spacing w:val="-2"/>
        </w:rPr>
        <w:t>（四）对管理层使用持续经营假设的恰当性得出结论。同时，根据获取的审计证据，就可能导致对银江公司持续经营能</w:t>
      </w:r>
      <w:r>
        <w:rPr/>
        <w:t>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于截至审计报告日可获得的信息。然而，未来的事项或情况可能导致银江公司不能持续经营。</w:t>
      </w:r>
    </w:p>
    <w:p>
      <w:pPr>
        <w:pStyle w:val="BodyText"/>
        <w:spacing w:line="240" w:lineRule="auto" w:before="19"/>
        <w:ind w:left="513" w:right="1133"/>
        <w:jc w:val="left"/>
      </w:pPr>
      <w:r>
        <w:rPr/>
        <w:t>（五）评价财务报表的总体列报、结构和内容，并评价财务报表是否公允反映相关交易和事项。</w:t>
      </w:r>
    </w:p>
    <w:p>
      <w:pPr>
        <w:pStyle w:val="BodyText"/>
        <w:spacing w:line="316" w:lineRule="auto" w:before="76"/>
        <w:ind w:right="1051" w:firstLine="360"/>
        <w:jc w:val="both"/>
      </w:pPr>
      <w:r>
        <w:rPr/>
        <w:t>（六）就银江公司中实体或业务活动的财务信息获取充分、适当的审计证据，以对财务报表发表意见。我们负责指导、 监督和执行集团审计。我们对审计意见承担全部责任。</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7"/>
        <w:ind w:right="113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19"/>
        <w:ind w:right="113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781" w:type="dxa"/>
        <w:tblLayout w:type="fixed"/>
        <w:tblCellMar>
          <w:top w:w="0" w:type="dxa"/>
          <w:left w:w="0" w:type="dxa"/>
          <w:bottom w:w="0" w:type="dxa"/>
          <w:right w:w="0" w:type="dxa"/>
        </w:tblCellMar>
        <w:tblLook w:val="01E0"/>
      </w:tblPr>
      <w:tblGrid>
        <w:gridCol w:w="3847"/>
        <w:gridCol w:w="3341"/>
      </w:tblGrid>
      <w:tr>
        <w:trPr>
          <w:trHeight w:val="724" w:hRule="exact"/>
        </w:trPr>
        <w:tc>
          <w:tcPr>
            <w:tcW w:w="3847" w:type="dxa"/>
            <w:tcBorders>
              <w:top w:val="nil" w:sz="6" w:space="0" w:color="auto"/>
              <w:left w:val="nil" w:sz="6" w:space="0" w:color="auto"/>
              <w:bottom w:val="nil" w:sz="6" w:space="0" w:color="auto"/>
              <w:right w:val="nil" w:sz="6" w:space="0" w:color="auto"/>
            </w:tcBorders>
          </w:tcPr>
          <w:p>
            <w:pPr>
              <w:pStyle w:val="TableParagraph"/>
              <w:spacing w:line="180" w:lineRule="exact"/>
              <w:ind w:right="565"/>
              <w:jc w:val="center"/>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c>
          <w:tcPr>
            <w:tcW w:w="3341" w:type="dxa"/>
            <w:tcBorders>
              <w:top w:val="nil" w:sz="6" w:space="0" w:color="auto"/>
              <w:left w:val="nil" w:sz="6" w:space="0" w:color="auto"/>
              <w:bottom w:val="nil" w:sz="6" w:space="0" w:color="auto"/>
              <w:right w:val="nil" w:sz="6" w:space="0" w:color="auto"/>
            </w:tcBorders>
          </w:tcPr>
          <w:p>
            <w:pPr>
              <w:pStyle w:val="TableParagraph"/>
              <w:spacing w:line="180" w:lineRule="exact"/>
              <w:ind w:left="767" w:right="0"/>
              <w:jc w:val="left"/>
              <w:rPr>
                <w:rFonts w:ascii="宋体" w:hAnsi="宋体" w:cs="宋体" w:eastAsia="宋体" w:hint="default"/>
                <w:sz w:val="18"/>
                <w:szCs w:val="18"/>
              </w:rPr>
            </w:pPr>
            <w:r>
              <w:rPr>
                <w:rFonts w:ascii="宋体" w:hAnsi="宋体" w:cs="宋体" w:eastAsia="宋体" w:hint="default"/>
                <w:sz w:val="18"/>
                <w:szCs w:val="18"/>
              </w:rPr>
              <w:t>中国注册会计师</w:t>
            </w:r>
          </w:p>
          <w:p>
            <w:pPr>
              <w:pStyle w:val="TableParagraph"/>
              <w:spacing w:line="240" w:lineRule="auto" w:before="76"/>
              <w:ind w:left="767" w:right="0"/>
              <w:jc w:val="left"/>
              <w:rPr>
                <w:rFonts w:ascii="宋体" w:hAnsi="宋体" w:cs="宋体" w:eastAsia="宋体" w:hint="default"/>
                <w:sz w:val="18"/>
                <w:szCs w:val="18"/>
              </w:rPr>
            </w:pPr>
            <w:r>
              <w:rPr>
                <w:rFonts w:ascii="宋体" w:hAnsi="宋体" w:cs="宋体" w:eastAsia="宋体" w:hint="default"/>
                <w:sz w:val="18"/>
                <w:szCs w:val="18"/>
              </w:rPr>
              <w:t>（项目合伙人）：谭争</w:t>
            </w:r>
          </w:p>
        </w:tc>
      </w:tr>
      <w:tr>
        <w:trPr>
          <w:trHeight w:val="645" w:hRule="exact"/>
        </w:trPr>
        <w:tc>
          <w:tcPr>
            <w:tcW w:w="38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563"/>
              <w:jc w:val="center"/>
              <w:rPr>
                <w:rFonts w:ascii="宋体" w:hAnsi="宋体" w:cs="宋体" w:eastAsia="宋体" w:hint="default"/>
                <w:sz w:val="18"/>
                <w:szCs w:val="18"/>
              </w:rPr>
            </w:pPr>
            <w:r>
              <w:rPr>
                <w:rFonts w:ascii="宋体" w:hAnsi="宋体" w:cs="宋体" w:eastAsia="宋体" w:hint="default"/>
                <w:sz w:val="18"/>
                <w:szCs w:val="18"/>
              </w:rPr>
              <w:t>中国·北京</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67" w:right="0"/>
              <w:jc w:val="left"/>
              <w:rPr>
                <w:rFonts w:ascii="宋体" w:hAnsi="宋体" w:cs="宋体" w:eastAsia="宋体" w:hint="default"/>
                <w:sz w:val="18"/>
                <w:szCs w:val="18"/>
              </w:rPr>
            </w:pPr>
            <w:r>
              <w:rPr>
                <w:rFonts w:ascii="宋体" w:hAnsi="宋体" w:cs="宋体" w:eastAsia="宋体" w:hint="default"/>
                <w:sz w:val="18"/>
                <w:szCs w:val="18"/>
              </w:rPr>
              <w:t>中国注册会计师：许旭光</w:t>
            </w:r>
          </w:p>
        </w:tc>
      </w:tr>
      <w:tr>
        <w:trPr>
          <w:trHeight w:val="413" w:hRule="exact"/>
        </w:trPr>
        <w:tc>
          <w:tcPr>
            <w:tcW w:w="3847" w:type="dxa"/>
            <w:tcBorders>
              <w:top w:val="nil" w:sz="6" w:space="0" w:color="auto"/>
              <w:left w:val="nil" w:sz="6" w:space="0" w:color="auto"/>
              <w:bottom w:val="nil" w:sz="6" w:space="0" w:color="auto"/>
              <w:right w:val="nil" w:sz="6" w:space="0" w:color="auto"/>
            </w:tcBorders>
          </w:tcPr>
          <w:p>
            <w:pP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967"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r>
    </w:tbl>
    <w:p>
      <w:pPr>
        <w:spacing w:line="240" w:lineRule="auto" w:before="13"/>
        <w:rPr>
          <w:rFonts w:ascii="宋体" w:hAnsi="宋体" w:cs="宋体" w:eastAsia="宋体" w:hint="default"/>
          <w:sz w:val="23"/>
          <w:szCs w:val="23"/>
        </w:rPr>
      </w:pPr>
    </w:p>
    <w:p>
      <w:pPr>
        <w:pStyle w:val="Heading2"/>
        <w:spacing w:line="240" w:lineRule="auto" w:before="26"/>
        <w:ind w:right="1133"/>
        <w:jc w:val="left"/>
        <w:rPr>
          <w:b w:val="0"/>
          <w:bCs w:val="0"/>
        </w:rPr>
      </w:pPr>
      <w:bookmarkStart w:name="二、财务报表" w:id="152"/>
      <w:bookmarkEnd w:id="152"/>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1、合并资产负债表" w:id="153"/>
      <w:bookmarkEnd w:id="153"/>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编制单位：银江股份有限公司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2493" w:space="158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634,221,957.43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679,042,807.14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00"/>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11,244,658.81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1,466,422,666.61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1,323,138,742.09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182,215,725.75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183,363,889.45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148,710,357.76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261,318,822.39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273,829.17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1,761,337,689.38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1,688,730,482.70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2,458,420.63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2,038,806.65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4,195,926,817.56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4,148,878,209.23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423,132,293.76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58,517,803.86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88,428,034.89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649,996,499.81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613,507,346.20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207,548,167.24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282,775,638.98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274,140,352.36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523,299,079.57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200,763,828.47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39,893,577.98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198,384,279.86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92,500,941.01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24,750,961.58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27,181,754.90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3,940,032.27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3,692,719.21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65,880,261.37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103,908,366.59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63,074,268.25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102,311,764.59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2,118,060,570.77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1,929,567,401.98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6,313,987,388.33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6,078,445,611.21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1,634,650,000.00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1,150,950,000.00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61,522,868.51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121,789,951.88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802,757,911.70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876,023,221.48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169,476,750.24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165,498,034.72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19,283,950.69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24,838,628.66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136,463,148.18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235,015,691.54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153,475,082.59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215,574,523.23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2,553,461.79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1,717,650.25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8,269,767.15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2,954,772.00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2,977,629,711.91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2,789,690,051.51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1,830,119.90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11,025,166.91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3,490,119.90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12,985,166.91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2,981,119,831.81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2,802,675,218.42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655,789,086.00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655,789,086.00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1,598,693,684.91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1,592,129,636.41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52,106,148.01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137,848,864.61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122,224,842.91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901,573,317.76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810,019,862.40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3,293,905,834.88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3,232,269,575.73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38,961,721.64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43,500,817.06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3,332,867,556.52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3,275,770,392.79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6,313,987,388.33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6,078,445,611.21</w:t>
            </w:r>
          </w:p>
        </w:tc>
      </w:tr>
    </w:tbl>
    <w:p>
      <w:pPr>
        <w:spacing w:line="240" w:lineRule="auto" w:before="11"/>
        <w:rPr>
          <w:rFonts w:ascii="Times New Roman" w:hAnsi="Times New Roman" w:cs="Times New Roman" w:eastAsia="Times New Roman" w:hint="default"/>
          <w:sz w:val="22"/>
          <w:szCs w:val="22"/>
        </w:rPr>
      </w:pPr>
    </w:p>
    <w:p>
      <w:pPr>
        <w:pStyle w:val="BodyText"/>
        <w:spacing w:line="240" w:lineRule="auto" w:before="44"/>
        <w:ind w:right="1133"/>
        <w:jc w:val="left"/>
      </w:pPr>
      <w:r>
        <w:rPr/>
        <w:t>法定代表人：王腾主管会计工作负责人：任刚要会计机构负责人：欧阳文根</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母公司资产负债表" w:id="154"/>
      <w:bookmarkEnd w:id="154"/>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7"/>
        <w:gridCol w:w="3299"/>
        <w:gridCol w:w="3303"/>
      </w:tblGrid>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34" w:right="0"/>
              <w:jc w:val="left"/>
              <w:rPr>
                <w:rFonts w:ascii="Times New Roman" w:hAnsi="Times New Roman" w:cs="Times New Roman" w:eastAsia="Times New Roman" w:hint="default"/>
                <w:sz w:val="18"/>
                <w:szCs w:val="18"/>
              </w:rPr>
            </w:pPr>
            <w:r>
              <w:rPr>
                <w:rFonts w:ascii="Times New Roman"/>
                <w:sz w:val="18"/>
              </w:rPr>
              <w:t>572,074,384.57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597,191,759.44</w:t>
            </w:r>
          </w:p>
        </w:tc>
      </w:tr>
      <w:tr>
        <w:trPr>
          <w:trHeight w:val="403"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99"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299"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10,821,606.81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1,460,993,497.36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1,305,578,798.62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179,871,996.24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178,231,121.74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347,374,918.38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665,913,614.36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1,708,940,242.79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1,630,017,674.92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323,168.07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452,205.58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4,270,138,207.41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4,388,206,781.47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325,697,350.60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46,230,898.25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72,858,496.72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959,444,012.31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926,659,541.03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110,128,224.08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282,775,638.98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275,004,689.18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518,871,721.12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191,142,909.40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39,449,541.28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101,228,139.73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86,084,403.64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22,788,569.42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23,186,845.43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1,251,256.91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319,995.55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64,009,856.63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101,221,392.57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63,074,268.25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15,238,095.24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2,209,252,126.96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2,017,413,719.36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6,479,390,334.37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6,405,620,500.83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1,634,450,000.00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61,722,868.51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171,714,501.88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847,368,057.03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890,093,505.87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147,275,504.68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137,136,636.41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12,500,593.12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14,557,960.04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131,184,144.74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225,959,423.93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214,255,897.20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517,055,483.14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2,553,461.79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1,717,650.25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8,269,767.15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2,954,772.00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3,048,757,065.28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3,056,517,511.27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9,195,202.59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1,500,155.58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10,995,202.59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3,050,257,220.86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3,067,512,713.86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655,789,086.00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655,789,086.00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1,598,732,626.07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1,592,168,577.57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52,106,148.01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137,848,864.61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122,224,842.91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1,036,761,655.23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915,819,132.48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3,429,133,113.51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3,338,107,786.97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6,479,390,334.37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6,405,620,500.83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3、合并利润表" w:id="155"/>
      <w:bookmarkEnd w:id="155"/>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81"/>
        <w:gridCol w:w="2421"/>
        <w:gridCol w:w="2055"/>
      </w:tblGrid>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2,079,504,434.71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2,413,277,806.75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2,079,504,434.71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2,413,277,806.75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1,955,862,662.53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2,195,386,547.45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1,596,541,427.28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1,826,570,741.26</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1"/>
        <w:gridCol w:w="2421"/>
        <w:gridCol w:w="2055"/>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8,642,831.78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16,047,582.63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45,839,747.88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56,229,028.07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145,469,015.80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160,842,931.73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90,176,735.40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83,470,067.15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69,192,904.39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52,226,196.61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77,614,112.82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62,331,951.92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9,273,368.94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11,194,318.98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1,847,135.26</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20,446,308.78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93,196,542.45</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96"/>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14,740,268.22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-22,614,988.49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97"/>
              <w:jc w:val="righ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117"/>
              <w:jc w:val="right"/>
              <w:rPr>
                <w:rFonts w:ascii="宋体" w:hAnsi="宋体" w:cs="宋体" w:eastAsia="宋体" w:hint="default"/>
                <w:sz w:val="18"/>
                <w:szCs w:val="18"/>
              </w:rPr>
            </w:pPr>
            <w:r>
              <w:rPr>
                <w:rFonts w:ascii="宋体" w:hAnsi="宋体" w:cs="宋体" w:eastAsia="宋体" w:hint="default"/>
                <w:spacing w:val="-1"/>
                <w:sz w:val="18"/>
                <w:szCs w:val="18"/>
              </w:rPr>
              <w:t>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10,667,007.39</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-4,239,935.05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-268,839,680.37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5,009,984.13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-4,696.21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157,372,272.69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42,243,425.17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9,600,213.32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2,811,389.44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712,842.61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291,090.33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166,259,643.40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44,763,724.28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21,358,080.48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21,692,110.08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144,901,562.92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23,071,614.20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144,901,562.92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23,071,614.20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148,813,913.73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26,444,095.70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-3,912,350.81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-3,372,481.50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-74,053,030.50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-94,239,847.55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-74,053,030.50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-94,239,847.55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-74,053,030.50</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1"/>
        <w:gridCol w:w="2421"/>
        <w:gridCol w:w="2055"/>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-74,053,030.50</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-94,239,847.55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-94,239,847.55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70,848,532.42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-71,168,233.35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74,760,883.23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-67,795,751.85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-3,912,350.81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-3,372,481.50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0.04</w:t>
            </w:r>
          </w:p>
        </w:tc>
      </w:tr>
    </w:tbl>
    <w:p>
      <w:pPr>
        <w:pStyle w:val="BodyText"/>
        <w:spacing w:line="621" w:lineRule="auto" w:before="49"/>
        <w:ind w:right="1934"/>
        <w:jc w:val="left"/>
      </w:pPr>
      <w:r>
        <w:rPr/>
        <w:t>本期发生同一控制下企业合并的，被合并方在合并前实现的净利润为：元，上期被合并方实现的净利润为：元。 法定代表人：王腾主管会计工作负责人：任刚要会计机构负责人：欧阳文根</w:t>
      </w:r>
    </w:p>
    <w:p>
      <w:pPr>
        <w:pStyle w:val="Heading3"/>
        <w:spacing w:line="240" w:lineRule="auto" w:before="69"/>
        <w:ind w:right="1133"/>
        <w:jc w:val="left"/>
        <w:rPr>
          <w:b w:val="0"/>
          <w:bCs w:val="0"/>
        </w:rPr>
      </w:pPr>
      <w:bookmarkStart w:name="4、母公司利润表" w:id="156"/>
      <w:bookmarkEnd w:id="156"/>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2,027,374,451.92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2,382,213,055.06</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1,542,673,556.12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1,784,581,653.10</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8,176,680.92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14,939,186.96</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41,766,226.48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51,575,656.96</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85,496,262.58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95,155,396.15</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117,000,337.33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103,084,670.05</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68,716,427.36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51,588,189.57</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76,174,361.32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60,831,647.33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8,222,723.54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10,312,293.61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1,538,945.70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15,974,427.01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76,447,973.44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14,024,406.33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-24,562,031.02</w:t>
            </w: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11,698,623.64</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-4,239,935.05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-229,039,032.42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2,675,407.31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-4,696.21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191,192,429.74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128,692,547.08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7,320,979.40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1,905,810.19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272,149.90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84,919.63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198,241,259.24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130,513,437.64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20,053,278.12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24,859,740.40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178,187,981.12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105,653,697.24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178,187,981.12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105,653,697.24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-74,053,030.50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-94,239,847.55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-74,053,030.50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-74,053,030.50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-94,239,847.55</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-94,239,847.55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94" w:right="0"/>
              <w:jc w:val="left"/>
              <w:rPr>
                <w:rFonts w:ascii="Times New Roman" w:hAnsi="Times New Roman" w:cs="Times New Roman" w:eastAsia="Times New Roman" w:hint="default"/>
                <w:sz w:val="18"/>
                <w:szCs w:val="18"/>
              </w:rPr>
            </w:pPr>
            <w:r>
              <w:rPr>
                <w:rFonts w:ascii="Times New Roman"/>
                <w:sz w:val="18"/>
              </w:rPr>
              <w:t>104,134,950.62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8" w:right="0"/>
              <w:jc w:val="left"/>
              <w:rPr>
                <w:rFonts w:ascii="Times New Roman" w:hAnsi="Times New Roman" w:cs="Times New Roman" w:eastAsia="Times New Roman" w:hint="default"/>
                <w:sz w:val="18"/>
                <w:szCs w:val="18"/>
              </w:rPr>
            </w:pPr>
            <w:r>
              <w:rPr>
                <w:rFonts w:ascii="Times New Roman"/>
                <w:sz w:val="18"/>
              </w:rPr>
              <w:t>11,413,849.69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5、合并现金流量表" w:id="157"/>
      <w:bookmarkEnd w:id="157"/>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48"/>
        <w:gridCol w:w="2987"/>
        <w:gridCol w:w="2624"/>
      </w:tblGrid>
      <w:tr>
        <w:trPr>
          <w:trHeight w:val="404"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2,057,355,664.78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2,318,108,837.40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63"/>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63"/>
              <w:jc w:val="right"/>
              <w:rPr>
                <w:rFonts w:ascii="宋体" w:hAnsi="宋体" w:cs="宋体" w:eastAsia="宋体" w:hint="default"/>
                <w:sz w:val="18"/>
                <w:szCs w:val="18"/>
              </w:rPr>
            </w:pPr>
            <w:r>
              <w:rPr>
                <w:rFonts w:ascii="宋体" w:hAnsi="宋体" w:cs="宋体" w:eastAsia="宋体" w:hint="default"/>
                <w:spacing w:val="-1"/>
                <w:sz w:val="18"/>
                <w:szCs w:val="18"/>
              </w:rPr>
              <w:t>向其他金融机构拆入资金净增加额</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1,007,135.26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278,482.53</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267,297,493.22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333,857,111.19</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2,325,660,293.26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2,652,244,431.12</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1,938,154,772.16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2,027,226,106.41</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63"/>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63"/>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110,254,067.38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123,168,416.01</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56,487,120.00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69,503,624.63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948"/>
        <w:gridCol w:w="2987"/>
        <w:gridCol w:w="2624"/>
      </w:tblGrid>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340,846,581.71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419,053,187.71</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2,445,742,541.25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2,638,951,334.76</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-120,082,247.99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13,293,096.36</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133,457,806.11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1,940,128.74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586,615.92</w:t>
            </w:r>
          </w:p>
        </w:tc>
      </w:tr>
      <w:tr>
        <w:trPr>
          <w:trHeight w:val="714"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w:t>
            </w:r>
            <w:r>
              <w:rPr>
                <w:rFonts w:ascii="宋体" w:hAnsi="宋体" w:cs="宋体" w:eastAsia="宋体" w:hint="default"/>
                <w:sz w:val="18"/>
                <w:szCs w:val="18"/>
              </w:rPr>
              <w:t> 的现金净额</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5,259,381.98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3,600.00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3"/>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38,333,463.82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178,998,050.29</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6,562,861.86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3,830,576.75</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185,553,642.51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233,418,842.96</w:t>
            </w:r>
          </w:p>
        </w:tc>
      </w:tr>
      <w:tr>
        <w:trPr>
          <w:trHeight w:val="714"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w:t>
            </w:r>
            <w:r>
              <w:rPr>
                <w:rFonts w:ascii="宋体" w:hAnsi="宋体" w:cs="宋体" w:eastAsia="宋体" w:hint="default"/>
                <w:sz w:val="18"/>
                <w:szCs w:val="18"/>
              </w:rPr>
              <w:t> 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456,075,908.08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402,999,940.93</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23,000,000.00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278,291,700.00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3"/>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479,075,908.08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681,291,640.93</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-293,522,265.57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-447,872,797.97</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3"/>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2,174,650,000.00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1,285,950,000.00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63,558,151.54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78,752,162.21</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2,238,208,151.54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1,364,902,162.21</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1,690,950,000.00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1,282,000,000.00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91,136,978.71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101,088,310.21</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3"/>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85,787,767.77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71,636,524.58</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1,867,874,746.48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1,454,724,834.79</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370,333,405.06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-89,822,672.58</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1,438.45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59,861.05</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-43,269,670.05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-524,342,513.14</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604,309,223.92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1,128,651,737.06</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561,039,553.87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604,309,223.92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1133"/>
        <w:jc w:val="left"/>
        <w:rPr>
          <w:b w:val="0"/>
          <w:bCs w:val="0"/>
        </w:rPr>
      </w:pPr>
      <w:bookmarkStart w:name="6、母公司现金流量表" w:id="158"/>
      <w:bookmarkEnd w:id="158"/>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48"/>
        <w:gridCol w:w="2987"/>
        <w:gridCol w:w="2624"/>
      </w:tblGrid>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1,999,093,692.88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2,300,381,110.86</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698,945.70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278,482.53</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219,221,049.18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302,677,342.01</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2,219,013,687.76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2,603,336,935.40</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1,906,039,667.61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2,043,149,280.56</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64,029,013.93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64,974,161.30</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52,789,808.05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58,095,700.65</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302,553,545.17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399,221,193.49</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2,325,412,034.76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2,565,440,336.00</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-106,398,347.00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37,896,599.40</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169,457,806.11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230,530,000.00</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1,940,128.74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586,615.92</w:t>
            </w:r>
          </w:p>
        </w:tc>
      </w:tr>
      <w:tr>
        <w:trPr>
          <w:trHeight w:val="71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1"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w:t>
            </w:r>
            <w:r>
              <w:rPr>
                <w:rFonts w:ascii="宋体" w:hAnsi="宋体" w:cs="宋体" w:eastAsia="宋体" w:hint="default"/>
                <w:sz w:val="18"/>
                <w:szCs w:val="18"/>
              </w:rPr>
              <w:t> 的现金净额</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2,678,718.56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3,600.00</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3"/>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6,562,861.86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3,830,576.75</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180,639,515.27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234,950,792.67</w:t>
            </w:r>
          </w:p>
        </w:tc>
      </w:tr>
      <w:tr>
        <w:trPr>
          <w:trHeight w:val="71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w:t>
            </w:r>
            <w:r>
              <w:rPr>
                <w:rFonts w:ascii="宋体" w:hAnsi="宋体" w:cs="宋体" w:eastAsia="宋体" w:hint="default"/>
                <w:sz w:val="18"/>
                <w:szCs w:val="18"/>
              </w:rPr>
              <w:t> 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446,615,220.10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351,993,063.40</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334,444,849.32</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3"/>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469,615,220.10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686,437,912.72</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-288,975,704.83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-451,487,120.05</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987"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2,174,450,000.00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1,235,000,000.00</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329,363,267.29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441,840,320.02</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9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2,503,813,267.29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1,676,840,320.02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969"/>
        <w:gridCol w:w="2976"/>
        <w:gridCol w:w="2624"/>
      </w:tblGrid>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1,640,000,000.00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1,282,000,000.00</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89,697,227.21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99,588,005.62</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380,386,125.29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266,459,606.12</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2,110,083,352.50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1,648,047,611.74</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393,729,914.79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28,792,708.28</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976"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-1,644,137.04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-384,797,812.37</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531,592,368.10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916,390,180.47</w:t>
            </w:r>
          </w:p>
        </w:tc>
      </w:tr>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529,948,231.06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531,592,368.10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7、合并所有者权益变动表" w:id="159"/>
      <w:bookmarkEnd w:id="159"/>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7"/>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41" w:type="dxa"/>
            <w:vMerge/>
            <w:tcBorders>
              <w:left w:val="single" w:sz="4" w:space="0" w:color="000000"/>
              <w:bottom w:val="single" w:sz="4" w:space="0" w:color="FFFFFF"/>
              <w:right w:val="single" w:sz="4" w:space="0" w:color="000000"/>
            </w:tcBorders>
            <w:shd w:val="clear" w:color="auto" w:fill="D2D2D2"/>
          </w:tcPr>
          <w:p>
            <w:pPr/>
          </w:p>
        </w:tc>
        <w:tc>
          <w:tcPr>
            <w:tcW w:w="7149" w:type="dxa"/>
            <w:gridSpan w:val="13"/>
            <w:vMerge/>
            <w:tcBorders>
              <w:left w:val="single" w:sz="4" w:space="0" w:color="000000"/>
              <w:bottom w:val="single" w:sz="4" w:space="0" w:color="FFFFFF"/>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4" w:hRule="exact"/>
        </w:trPr>
        <w:tc>
          <w:tcPr>
            <w:tcW w:w="124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FFFFFF"/>
              <w:left w:val="single" w:sz="4" w:space="0" w:color="000000"/>
              <w:right w:val="single" w:sz="4" w:space="0" w:color="000000"/>
            </w:tcBorders>
            <w:shd w:val="clear" w:color="auto" w:fill="D2D2D2"/>
          </w:tcPr>
          <w:p>
            <w:pPr/>
          </w:p>
        </w:tc>
        <w:tc>
          <w:tcPr>
            <w:tcW w:w="140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6"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FFFFFF"/>
              <w:left w:val="single" w:sz="4" w:space="0" w:color="000000"/>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3"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655,7</w:t>
            </w:r>
          </w:p>
          <w:p>
            <w:pPr>
              <w:pStyle w:val="TableParagraph"/>
              <w:spacing w:line="240" w:lineRule="auto" w:before="103"/>
              <w:ind w:left="49" w:right="0"/>
              <w:jc w:val="left"/>
              <w:rPr>
                <w:rFonts w:ascii="Times New Roman" w:hAnsi="Times New Roman" w:cs="Times New Roman" w:eastAsia="Times New Roman" w:hint="default"/>
                <w:sz w:val="18"/>
                <w:szCs w:val="18"/>
              </w:rPr>
            </w:pPr>
            <w:r>
              <w:rPr>
                <w:rFonts w:ascii="Times New Roman"/>
                <w:sz w:val="18"/>
              </w:rPr>
              <w:t>89,08</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6.00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1,592,</w:t>
            </w:r>
          </w:p>
          <w:p>
            <w:pPr>
              <w:pStyle w:val="TableParagraph"/>
              <w:spacing w:line="240" w:lineRule="auto" w:before="103"/>
              <w:ind w:left="36" w:right="0"/>
              <w:jc w:val="center"/>
              <w:rPr>
                <w:rFonts w:ascii="Times New Roman" w:hAnsi="Times New Roman" w:cs="Times New Roman" w:eastAsia="Times New Roman" w:hint="default"/>
                <w:sz w:val="18"/>
                <w:szCs w:val="18"/>
              </w:rPr>
            </w:pPr>
            <w:r>
              <w:rPr>
                <w:rFonts w:ascii="Times New Roman"/>
                <w:sz w:val="18"/>
              </w:rPr>
              <w:t>129,63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6.41</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22" w:space="0" w:color="D2D2D2"/>
              <w:left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8"/>
                <w:szCs w:val="18"/>
              </w:rPr>
            </w:pPr>
            <w:r>
              <w:rPr>
                <w:rFonts w:ascii="Times New Roman"/>
                <w:spacing w:val="-1"/>
                <w:sz w:val="18"/>
              </w:rPr>
              <w:t>52,106</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,148.0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122,22</w:t>
            </w:r>
          </w:p>
          <w:p>
            <w:pPr>
              <w:pStyle w:val="TableParagraph"/>
              <w:spacing w:line="240" w:lineRule="auto" w:before="103"/>
              <w:ind w:left="100" w:right="0"/>
              <w:jc w:val="left"/>
              <w:rPr>
                <w:rFonts w:ascii="Times New Roman" w:hAnsi="Times New Roman" w:cs="Times New Roman" w:eastAsia="Times New Roman" w:hint="default"/>
                <w:sz w:val="18"/>
                <w:szCs w:val="18"/>
              </w:rPr>
            </w:pPr>
            <w:r>
              <w:rPr>
                <w:rFonts w:ascii="Times New Roman"/>
                <w:sz w:val="18"/>
              </w:rPr>
              <w:t>4,842.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91</w:t>
            </w:r>
          </w:p>
        </w:tc>
        <w:tc>
          <w:tcPr>
            <w:tcW w:w="583" w:type="dxa"/>
            <w:vMerge w:val="restart"/>
            <w:tcBorders>
              <w:top w:val="single" w:sz="22" w:space="0" w:color="D2D2D2"/>
              <w:left w:val="single" w:sz="4" w:space="0" w:color="000000"/>
              <w:right w:val="single" w:sz="4" w:space="0" w:color="000000"/>
            </w:tcBorders>
          </w:tcPr>
          <w:p>
            <w:pPr/>
          </w:p>
        </w:tc>
        <w:tc>
          <w:tcPr>
            <w:tcW w:w="586" w:type="dxa"/>
            <w:vMerge w:val="restart"/>
            <w:tcBorders>
              <w:top w:val="single" w:sz="22" w:space="0" w:color="D2D2D2"/>
              <w:left w:val="single" w:sz="4" w:space="0" w:color="000000"/>
              <w:right w:val="single" w:sz="4" w:space="0" w:color="000000"/>
            </w:tcBorders>
          </w:tcPr>
          <w:p>
            <w:pPr>
              <w:pStyle w:val="TableParagraph"/>
              <w:spacing w:line="240" w:lineRule="auto" w:before="68"/>
              <w:ind w:left="60" w:right="0"/>
              <w:jc w:val="left"/>
              <w:rPr>
                <w:rFonts w:ascii="Times New Roman" w:hAnsi="Times New Roman" w:cs="Times New Roman" w:eastAsia="Times New Roman" w:hint="default"/>
                <w:sz w:val="18"/>
                <w:szCs w:val="18"/>
              </w:rPr>
            </w:pPr>
            <w:r>
              <w:rPr>
                <w:rFonts w:ascii="Times New Roman"/>
                <w:sz w:val="18"/>
              </w:rPr>
              <w:t>810,01</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9,862.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40</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3,232,</w:t>
            </w:r>
          </w:p>
          <w:p>
            <w:pPr>
              <w:pStyle w:val="TableParagraph"/>
              <w:spacing w:line="240" w:lineRule="auto" w:before="103"/>
              <w:ind w:left="36" w:right="0"/>
              <w:jc w:val="center"/>
              <w:rPr>
                <w:rFonts w:ascii="Times New Roman" w:hAnsi="Times New Roman" w:cs="Times New Roman" w:eastAsia="Times New Roman" w:hint="default"/>
                <w:sz w:val="18"/>
                <w:szCs w:val="18"/>
              </w:rPr>
            </w:pPr>
            <w:r>
              <w:rPr>
                <w:rFonts w:ascii="Times New Roman"/>
                <w:sz w:val="18"/>
              </w:rPr>
              <w:t>269,57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5.73</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43,500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,817.0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78" w:type="dxa"/>
            <w:vMerge w:val="restart"/>
            <w:tcBorders>
              <w:top w:val="single" w:sz="40" w:space="0" w:color="D2D2D2"/>
              <w:left w:val="single" w:sz="4" w:space="0" w:color="000000"/>
              <w:right w:val="single" w:sz="4" w:space="0" w:color="000000"/>
            </w:tcBorders>
          </w:tcPr>
          <w:p>
            <w:pPr>
              <w:pStyle w:val="TableParagraph"/>
              <w:spacing w:line="240" w:lineRule="auto" w:before="45"/>
              <w:ind w:left="75" w:right="0"/>
              <w:jc w:val="center"/>
              <w:rPr>
                <w:rFonts w:ascii="Times New Roman" w:hAnsi="Times New Roman" w:cs="Times New Roman" w:eastAsia="Times New Roman" w:hint="default"/>
                <w:sz w:val="18"/>
                <w:szCs w:val="18"/>
              </w:rPr>
            </w:pPr>
            <w:r>
              <w:rPr>
                <w:rFonts w:ascii="Times New Roman"/>
                <w:sz w:val="18"/>
              </w:rPr>
              <w:t>3,275,</w:t>
            </w:r>
          </w:p>
          <w:p>
            <w:pPr>
              <w:pStyle w:val="TableParagraph"/>
              <w:spacing w:line="240" w:lineRule="auto" w:before="103"/>
              <w:ind w:left="31" w:right="0"/>
              <w:jc w:val="center"/>
              <w:rPr>
                <w:rFonts w:ascii="Times New Roman" w:hAnsi="Times New Roman" w:cs="Times New Roman" w:eastAsia="Times New Roman" w:hint="default"/>
                <w:sz w:val="18"/>
                <w:szCs w:val="18"/>
              </w:rPr>
            </w:pPr>
            <w:r>
              <w:rPr>
                <w:rFonts w:ascii="Times New Roman"/>
                <w:sz w:val="18"/>
              </w:rPr>
              <w:t>770,39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2.79</w:t>
            </w:r>
          </w:p>
        </w:tc>
      </w:tr>
      <w:tr>
        <w:trPr>
          <w:trHeight w:val="704"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655,7</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89,08</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6.00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1,592,</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129,63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6.41</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52,091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122,22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4,842.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91</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810,01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9,862.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40</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3,232,</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254,57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5.73</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3,275,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755,39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2.79</w:t>
            </w:r>
          </w:p>
        </w:tc>
      </w:tr>
      <w:tr>
        <w:trPr>
          <w:trHeight w:val="706"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6,564,</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048.50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-52,09</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0,266.</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41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15,624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,021.7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91,553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,455.3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61,651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,259.1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-4,539,</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095.42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57,112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,163.7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-74,05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3,030.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0" w:right="0"/>
              <w:jc w:val="left"/>
              <w:rPr>
                <w:rFonts w:ascii="Times New Roman" w:hAnsi="Times New Roman" w:cs="Times New Roman" w:eastAsia="Times New Roman" w:hint="default"/>
                <w:sz w:val="18"/>
                <w:szCs w:val="18"/>
              </w:rPr>
            </w:pPr>
            <w:r>
              <w:rPr>
                <w:rFonts w:ascii="Times New Roman"/>
                <w:sz w:val="18"/>
              </w:rPr>
              <w:t>148,81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3,913.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74,760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,883.2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-3,912,</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350.81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70,848</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,532.4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36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2" w:right="0"/>
              <w:jc w:val="left"/>
              <w:rPr>
                <w:rFonts w:ascii="Times New Roman" w:hAnsi="Times New Roman" w:cs="Times New Roman" w:eastAsia="Times New Roman" w:hint="default"/>
                <w:sz w:val="18"/>
                <w:szCs w:val="18"/>
              </w:rPr>
            </w:pPr>
            <w:r>
              <w:rPr>
                <w:rFonts w:ascii="Times New Roman"/>
                <w:sz w:val="18"/>
              </w:rPr>
              <w:t>50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4" w:right="0"/>
              <w:jc w:val="left"/>
              <w:rPr>
                <w:rFonts w:ascii="Times New Roman" w:hAnsi="Times New Roman" w:cs="Times New Roman" w:eastAsia="Times New Roman" w:hint="default"/>
                <w:sz w:val="18"/>
                <w:szCs w:val="18"/>
              </w:rPr>
            </w:pPr>
            <w:r>
              <w:rPr>
                <w:rFonts w:ascii="Times New Roman"/>
                <w:sz w:val="18"/>
              </w:rPr>
              <w:t>73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6,564,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048.50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6,564,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048.50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-626,7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44.61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5,937,</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303.89</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6,564,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048.50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6,564,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048.50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6,564,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048.50</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-626,7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44.61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-626,7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44.61</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17,818</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,798.1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-37,49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2,470.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-19,67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3,672.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58</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-19,67</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3,672.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58</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17,818</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,798.1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-17,81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8,798.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-19,67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3,672.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-19,67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3,672.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58</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-19,67</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3,672.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58</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21,962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-2,194,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776.41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-19,76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7,987.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21,962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-2,194,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776.41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-19,76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7,987.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655,7</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89,08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1,598,</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693,68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4.91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881.60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137,84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8,864.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901,57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3,317.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3,293,</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905,83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4.88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38,961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3,332,</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867,55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6.52</w:t>
            </w:r>
          </w:p>
        </w:tc>
      </w:tr>
    </w:tbl>
    <w:p>
      <w:pPr>
        <w:pStyle w:val="BodyText"/>
        <w:spacing w:line="240" w:lineRule="auto" w:before="49"/>
        <w:ind w:right="1133"/>
        <w:jc w:val="left"/>
      </w:pPr>
      <w:r>
        <w:rPr/>
        <w:t>上期金额</w:t>
      </w:r>
    </w:p>
    <w:p>
      <w:pPr>
        <w:pStyle w:val="BodyText"/>
        <w:spacing w:line="240" w:lineRule="auto" w:before="115"/>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0"/>
        <w:gridCol w:w="490"/>
        <w:gridCol w:w="449"/>
        <w:gridCol w:w="449"/>
        <w:gridCol w:w="493"/>
        <w:gridCol w:w="576"/>
        <w:gridCol w:w="576"/>
        <w:gridCol w:w="578"/>
        <w:gridCol w:w="576"/>
        <w:gridCol w:w="576"/>
        <w:gridCol w:w="578"/>
        <w:gridCol w:w="588"/>
        <w:gridCol w:w="567"/>
        <w:gridCol w:w="569"/>
        <w:gridCol w:w="641"/>
        <w:gridCol w:w="653"/>
      </w:tblGrid>
      <w:tr>
        <w:trPr>
          <w:trHeight w:val="401"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2" w:hRule="exact"/>
        </w:trPr>
        <w:tc>
          <w:tcPr>
            <w:tcW w:w="1200" w:type="dxa"/>
            <w:vMerge/>
            <w:tcBorders>
              <w:left w:val="single" w:sz="4" w:space="0" w:color="000000"/>
              <w:right w:val="single" w:sz="4" w:space="0" w:color="000000"/>
            </w:tcBorders>
            <w:shd w:val="clear" w:color="auto" w:fill="D2D2D2"/>
          </w:tcPr>
          <w:p>
            <w:pPr/>
          </w:p>
        </w:tc>
        <w:tc>
          <w:tcPr>
            <w:tcW w:w="706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7065" w:type="dxa"/>
            <w:gridSpan w:val="13"/>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90"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4"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1"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2" w:hRule="exact"/>
        </w:trPr>
        <w:tc>
          <w:tcPr>
            <w:tcW w:w="1200"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3" w:hRule="exact"/>
        </w:trPr>
        <w:tc>
          <w:tcPr>
            <w:tcW w:w="1200"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655,7</w:t>
            </w:r>
          </w:p>
          <w:p>
            <w:pPr>
              <w:pStyle w:val="TableParagraph"/>
              <w:spacing w:line="240" w:lineRule="auto" w:before="102"/>
              <w:ind w:left="46" w:right="0"/>
              <w:jc w:val="left"/>
              <w:rPr>
                <w:rFonts w:ascii="Times New Roman" w:hAnsi="Times New Roman" w:cs="Times New Roman" w:eastAsia="Times New Roman" w:hint="default"/>
                <w:sz w:val="18"/>
                <w:szCs w:val="18"/>
              </w:rPr>
            </w:pPr>
            <w:r>
              <w:rPr>
                <w:rFonts w:ascii="Times New Roman"/>
                <w:sz w:val="18"/>
              </w:rPr>
              <w:t>89,08</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6.00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1,575,</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140,33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4.41</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18" w:space="0" w:color="D2D2D2"/>
              <w:left w:val="single" w:sz="4" w:space="0" w:color="000000"/>
              <w:right w:val="single" w:sz="4" w:space="0" w:color="000000"/>
            </w:tcBorders>
          </w:tcPr>
          <w:p>
            <w:pPr>
              <w:pStyle w:val="TableParagraph"/>
              <w:spacing w:line="240" w:lineRule="auto" w:before="73"/>
              <w:ind w:left="50" w:right="0"/>
              <w:jc w:val="left"/>
              <w:rPr>
                <w:rFonts w:ascii="Times New Roman" w:hAnsi="Times New Roman" w:cs="Times New Roman" w:eastAsia="Times New Roman" w:hint="default"/>
                <w:sz w:val="18"/>
                <w:szCs w:val="18"/>
              </w:rPr>
            </w:pPr>
            <w:r>
              <w:rPr>
                <w:rFonts w:ascii="Times New Roman"/>
                <w:sz w:val="18"/>
              </w:rPr>
              <w:t>146,34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5,995.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56</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111,65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9,473.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19</w:t>
            </w:r>
          </w:p>
        </w:tc>
        <w:tc>
          <w:tcPr>
            <w:tcW w:w="578" w:type="dxa"/>
            <w:vMerge w:val="restart"/>
            <w:tcBorders>
              <w:top w:val="single" w:sz="18" w:space="0" w:color="D2D2D2"/>
              <w:left w:val="single" w:sz="4" w:space="0" w:color="000000"/>
              <w:right w:val="single" w:sz="4" w:space="0" w:color="000000"/>
            </w:tcBorders>
          </w:tcPr>
          <w:p>
            <w:pPr/>
          </w:p>
        </w:tc>
        <w:tc>
          <w:tcPr>
            <w:tcW w:w="588" w:type="dxa"/>
            <w:vMerge w:val="restart"/>
            <w:tcBorders>
              <w:top w:val="single" w:sz="18" w:space="0" w:color="D2D2D2"/>
              <w:left w:val="single" w:sz="4" w:space="0" w:color="000000"/>
              <w:right w:val="single" w:sz="4" w:space="0" w:color="000000"/>
            </w:tcBorders>
          </w:tcPr>
          <w:p>
            <w:pPr>
              <w:pStyle w:val="TableParagraph"/>
              <w:spacing w:line="240" w:lineRule="auto" w:before="73"/>
              <w:ind w:left="62" w:right="0"/>
              <w:jc w:val="left"/>
              <w:rPr>
                <w:rFonts w:ascii="Times New Roman" w:hAnsi="Times New Roman" w:cs="Times New Roman" w:eastAsia="Times New Roman" w:hint="default"/>
                <w:sz w:val="18"/>
                <w:szCs w:val="18"/>
              </w:rPr>
            </w:pPr>
            <w:r>
              <w:rPr>
                <w:rFonts w:ascii="Times New Roman"/>
                <w:sz w:val="18"/>
              </w:rPr>
              <w:t>825,66</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8,583.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07</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3,314,</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603,47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2.23</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46,673,</w:t>
            </w:r>
          </w:p>
          <w:p>
            <w:pPr>
              <w:pStyle w:val="TableParagraph"/>
              <w:spacing w:line="240" w:lineRule="auto" w:before="103"/>
              <w:ind w:left="117" w:right="0"/>
              <w:jc w:val="left"/>
              <w:rPr>
                <w:rFonts w:ascii="Times New Roman" w:hAnsi="Times New Roman" w:cs="Times New Roman" w:eastAsia="Times New Roman" w:hint="default"/>
                <w:sz w:val="18"/>
                <w:szCs w:val="18"/>
              </w:rPr>
            </w:pPr>
            <w:r>
              <w:rPr>
                <w:rFonts w:ascii="Times New Roman"/>
                <w:sz w:val="18"/>
              </w:rPr>
              <w:t>298.56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3,361,2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76,770.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r>
      <w:tr>
        <w:trPr>
          <w:trHeight w:val="704"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655,7</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89,08</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6.00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1,575,</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140,33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4.41</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146,34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5,995.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56</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111,65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9,473.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19</w:t>
            </w: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825,66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8,583.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07</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3,314,</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603,47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2.23</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46,673,</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298.56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76,770.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r>
      <w:tr>
        <w:trPr>
          <w:trHeight w:val="706"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33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16,989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,302.0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-94,23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9,847.</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10,565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,369.7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-15,64</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8,720.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-82,33</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3,896.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50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-3,172,</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481.50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-85,506</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,378.00</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9" w:right="0"/>
              <w:jc w:val="left"/>
              <w:rPr>
                <w:rFonts w:ascii="Times New Roman" w:hAnsi="Times New Roman" w:cs="Times New Roman" w:eastAsia="Times New Roman" w:hint="default"/>
                <w:sz w:val="18"/>
                <w:szCs w:val="18"/>
              </w:rPr>
            </w:pPr>
            <w:r>
              <w:rPr>
                <w:rFonts w:ascii="Times New Roman"/>
                <w:sz w:val="18"/>
              </w:rPr>
              <w:t>-94,23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9,847.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2" w:right="0"/>
              <w:jc w:val="left"/>
              <w:rPr>
                <w:rFonts w:ascii="Times New Roman" w:hAnsi="Times New Roman" w:cs="Times New Roman" w:eastAsia="Times New Roman" w:hint="default"/>
                <w:sz w:val="18"/>
                <w:szCs w:val="18"/>
              </w:rPr>
            </w:pPr>
            <w:r>
              <w:rPr>
                <w:rFonts w:ascii="Times New Roman"/>
                <w:sz w:val="18"/>
              </w:rPr>
              <w:t>26,444</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,095.7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9" w:right="0"/>
              <w:jc w:val="left"/>
              <w:rPr>
                <w:rFonts w:ascii="Times New Roman" w:hAnsi="Times New Roman" w:cs="Times New Roman" w:eastAsia="Times New Roman" w:hint="default"/>
                <w:sz w:val="18"/>
                <w:szCs w:val="18"/>
              </w:rPr>
            </w:pPr>
            <w:r>
              <w:rPr>
                <w:rFonts w:ascii="Times New Roman"/>
                <w:sz w:val="18"/>
              </w:rPr>
              <w:t>-67,79</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5,751.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-3,372,</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481.50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-71,168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,233.35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36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4" w:right="0"/>
              <w:jc w:val="left"/>
              <w:rPr>
                <w:rFonts w:ascii="Times New Roman" w:hAnsi="Times New Roman" w:cs="Times New Roman" w:eastAsia="Times New Roman" w:hint="default"/>
                <w:sz w:val="18"/>
                <w:szCs w:val="18"/>
              </w:rPr>
            </w:pPr>
            <w:r>
              <w:rPr>
                <w:rFonts w:ascii="Times New Roman"/>
                <w:sz w:val="18"/>
              </w:rPr>
              <w:t>55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5" w:right="0"/>
              <w:jc w:val="left"/>
              <w:rPr>
                <w:rFonts w:ascii="Times New Roman" w:hAnsi="Times New Roman" w:cs="Times New Roman" w:eastAsia="Times New Roman" w:hint="default"/>
                <w:sz w:val="18"/>
                <w:szCs w:val="18"/>
              </w:rPr>
            </w:pPr>
            <w:r>
              <w:rPr>
                <w:rFonts w:ascii="Times New Roman"/>
                <w:sz w:val="18"/>
              </w:rPr>
              <w:t>85</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17,189,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302.00</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.00</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16,989,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302.00</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-42,09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2,816.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37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-31,52</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7,446.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65</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-31,527</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,446.65</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-10,56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5,369.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-31,52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7,446.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-31,52</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7,446.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65</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-31,527</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,446.65</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36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655,7</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89,08</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6.00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1,592,</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129,63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6.41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122,22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4,842.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91</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810,01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9,862.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3,232,</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269,57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5.73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43,500,</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817.06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70,392.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8、母公司所有者权益变动表" w:id="160"/>
      <w:bookmarkEnd w:id="160"/>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5"/>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83"/>
        <w:gridCol w:w="640"/>
        <w:gridCol w:w="605"/>
        <w:gridCol w:w="603"/>
        <w:gridCol w:w="605"/>
        <w:gridCol w:w="727"/>
        <w:gridCol w:w="728"/>
        <w:gridCol w:w="725"/>
        <w:gridCol w:w="727"/>
        <w:gridCol w:w="727"/>
        <w:gridCol w:w="615"/>
        <w:gridCol w:w="710"/>
        <w:gridCol w:w="862"/>
      </w:tblGrid>
      <w:tr>
        <w:trPr>
          <w:trHeight w:val="401"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6" w:hRule="exact"/>
        </w:trPr>
        <w:tc>
          <w:tcPr>
            <w:tcW w:w="12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83" w:type="dxa"/>
            <w:vMerge/>
            <w:tcBorders>
              <w:left w:val="single" w:sz="4" w:space="0" w:color="000000"/>
              <w:bottom w:val="nil" w:sz="6" w:space="0" w:color="auto"/>
              <w:right w:val="single" w:sz="4" w:space="0" w:color="000000"/>
            </w:tcBorders>
            <w:shd w:val="clear" w:color="auto" w:fill="D2D2D2"/>
          </w:tcPr>
          <w:p>
            <w:pPr/>
          </w:p>
        </w:tc>
        <w:tc>
          <w:tcPr>
            <w:tcW w:w="6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202" w:hRule="exact"/>
        </w:trPr>
        <w:tc>
          <w:tcPr>
            <w:tcW w:w="1283" w:type="dxa"/>
            <w:vMerge w:val="restart"/>
            <w:tcBorders>
              <w:top w:val="nil" w:sz="6" w:space="0" w:color="auto"/>
              <w:left w:val="single" w:sz="4" w:space="0" w:color="000000"/>
              <w:right w:val="single" w:sz="4" w:space="0" w:color="000000"/>
            </w:tcBorders>
            <w:shd w:val="clear" w:color="auto" w:fill="D2D2D2"/>
          </w:tcPr>
          <w:p>
            <w:pPr/>
          </w:p>
        </w:tc>
        <w:tc>
          <w:tcPr>
            <w:tcW w:w="640"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2" w:hRule="exact"/>
        </w:trPr>
        <w:tc>
          <w:tcPr>
            <w:tcW w:w="1283" w:type="dxa"/>
            <w:vMerge/>
            <w:tcBorders>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655,78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9,086.0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1,592,16</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8,577.57</w:t>
            </w:r>
          </w:p>
        </w:tc>
        <w:tc>
          <w:tcPr>
            <w:tcW w:w="728" w:type="dxa"/>
            <w:vMerge w:val="restart"/>
            <w:tcBorders>
              <w:top w:val="single" w:sz="17" w:space="0" w:color="D2D2D2"/>
              <w:left w:val="single" w:sz="4" w:space="0" w:color="000000"/>
              <w:right w:val="single" w:sz="4" w:space="0" w:color="000000"/>
            </w:tcBorders>
          </w:tcPr>
          <w:p>
            <w:pPr/>
          </w:p>
        </w:tc>
        <w:tc>
          <w:tcPr>
            <w:tcW w:w="725"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52,106,1</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48.01</w:t>
            </w:r>
          </w:p>
        </w:tc>
        <w:tc>
          <w:tcPr>
            <w:tcW w:w="727" w:type="dxa"/>
            <w:vMerge w:val="restart"/>
            <w:tcBorders>
              <w:top w:val="single" w:sz="17" w:space="0" w:color="D2D2D2"/>
              <w:left w:val="single" w:sz="4" w:space="0" w:color="000000"/>
              <w:right w:val="single" w:sz="4" w:space="0" w:color="000000"/>
            </w:tcBorders>
          </w:tcPr>
          <w:p>
            <w:pPr/>
          </w:p>
        </w:tc>
        <w:tc>
          <w:tcPr>
            <w:tcW w:w="727"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122,224,</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842.91</w:t>
            </w:r>
          </w:p>
        </w:tc>
        <w:tc>
          <w:tcPr>
            <w:tcW w:w="615" w:type="dxa"/>
            <w:vMerge w:val="restart"/>
            <w:tcBorders>
              <w:top w:val="single" w:sz="17" w:space="0" w:color="D2D2D2"/>
              <w:left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915,81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9,132.4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3,338,107,</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786.97</w:t>
            </w:r>
          </w:p>
        </w:tc>
      </w:tr>
      <w:tr>
        <w:trPr>
          <w:trHeight w:val="703"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655,78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9,086.0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1,592,16</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8,577.57</w:t>
            </w: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52,106,1</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48.01</w:t>
            </w: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122,224,</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842.91</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915,81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9,132.4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3,338,107,</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786.97</w:t>
            </w:r>
          </w:p>
        </w:tc>
      </w:tr>
      <w:tr>
        <w:trPr>
          <w:trHeight w:val="703"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025"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6,564,04</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8.50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-52,105,</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266.41</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15,624,0</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21.70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2,522.7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91,025,32</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6.54</w:t>
            </w:r>
          </w:p>
        </w:tc>
      </w:tr>
      <w:tr>
        <w:trPr>
          <w:trHeight w:val="163"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-74,053,</w:t>
            </w:r>
          </w:p>
          <w:p>
            <w:pPr>
              <w:pStyle w:val="TableParagraph"/>
              <w:spacing w:line="240" w:lineRule="auto" w:before="102"/>
              <w:ind w:left="178" w:right="0"/>
              <w:jc w:val="center"/>
              <w:rPr>
                <w:rFonts w:ascii="Times New Roman" w:hAnsi="Times New Roman" w:cs="Times New Roman" w:eastAsia="Times New Roman" w:hint="default"/>
                <w:sz w:val="18"/>
                <w:szCs w:val="18"/>
              </w:rPr>
            </w:pPr>
            <w:r>
              <w:rPr>
                <w:rFonts w:ascii="Times New Roman"/>
                <w:sz w:val="18"/>
              </w:rPr>
              <w:t>030.50</w:t>
            </w: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178,18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7,981.1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104,134,9</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50.62</w:t>
            </w:r>
          </w:p>
        </w:tc>
      </w:tr>
      <w:tr>
        <w:trPr>
          <w:trHeight w:val="703"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6,564,04</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8.50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6,564,048.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r>
      <w:tr>
        <w:trPr>
          <w:trHeight w:val="715"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6,564,04</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8.50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6,564,048.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50</w:t>
            </w: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17,818,7</w:t>
            </w:r>
          </w:p>
          <w:p>
            <w:pPr>
              <w:pStyle w:val="TableParagraph"/>
              <w:spacing w:line="240" w:lineRule="auto" w:before="102"/>
              <w:ind w:left="295" w:right="0"/>
              <w:jc w:val="left"/>
              <w:rPr>
                <w:rFonts w:ascii="Times New Roman" w:hAnsi="Times New Roman" w:cs="Times New Roman" w:eastAsia="Times New Roman" w:hint="default"/>
                <w:sz w:val="18"/>
                <w:szCs w:val="18"/>
              </w:rPr>
            </w:pPr>
            <w:r>
              <w:rPr>
                <w:rFonts w:ascii="Times New Roman"/>
                <w:sz w:val="18"/>
              </w:rPr>
              <w:t>98.11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-37,492</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,470.69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-19,673,67</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2.58</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17,818,7</w:t>
            </w:r>
          </w:p>
          <w:p>
            <w:pPr>
              <w:pStyle w:val="TableParagraph"/>
              <w:spacing w:line="240" w:lineRule="auto" w:before="105"/>
              <w:ind w:left="295" w:right="0"/>
              <w:jc w:val="left"/>
              <w:rPr>
                <w:rFonts w:ascii="Times New Roman" w:hAnsi="Times New Roman" w:cs="Times New Roman" w:eastAsia="Times New Roman" w:hint="default"/>
                <w:sz w:val="18"/>
                <w:szCs w:val="18"/>
              </w:rPr>
            </w:pPr>
            <w:r>
              <w:rPr>
                <w:rFonts w:ascii="Times New Roman"/>
                <w:sz w:val="18"/>
              </w:rPr>
              <w:t>98.11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-17,818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,798.11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left"/>
              <w:rPr>
                <w:rFonts w:ascii="Times New Roman" w:hAnsi="Times New Roman" w:cs="Times New Roman" w:eastAsia="Times New Roman" w:hint="default"/>
                <w:sz w:val="18"/>
                <w:szCs w:val="18"/>
              </w:rPr>
            </w:pPr>
            <w:r>
              <w:rPr>
                <w:rFonts w:ascii="Times New Roman"/>
                <w:sz w:val="18"/>
              </w:rPr>
              <w:t>-19,673</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,672.58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0" w:right="0"/>
              <w:jc w:val="left"/>
              <w:rPr>
                <w:rFonts w:ascii="Times New Roman" w:hAnsi="Times New Roman" w:cs="Times New Roman" w:eastAsia="Times New Roman" w:hint="default"/>
                <w:sz w:val="18"/>
                <w:szCs w:val="18"/>
              </w:rPr>
            </w:pPr>
            <w:r>
              <w:rPr>
                <w:rFonts w:ascii="Times New Roman"/>
                <w:sz w:val="18"/>
              </w:rPr>
              <w:t>-19,673,67</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2.58</w:t>
            </w: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21,947,7</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64.09</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-2,194,7</w:t>
            </w:r>
          </w:p>
          <w:p>
            <w:pPr>
              <w:pStyle w:val="TableParagraph"/>
              <w:spacing w:line="240" w:lineRule="auto" w:before="102"/>
              <w:ind w:left="264" w:right="0"/>
              <w:jc w:val="center"/>
              <w:rPr>
                <w:rFonts w:ascii="Times New Roman" w:hAnsi="Times New Roman" w:cs="Times New Roman" w:eastAsia="Times New Roman" w:hint="default"/>
                <w:sz w:val="18"/>
                <w:szCs w:val="18"/>
              </w:rPr>
            </w:pPr>
            <w:r>
              <w:rPr>
                <w:rFonts w:ascii="Times New Roman"/>
                <w:sz w:val="18"/>
              </w:rPr>
              <w:t>76.41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-19,752</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,987.68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21,947,7</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64.09</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-2,194,7</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76.41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-19,752</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,987.68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9,086.0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1,598,73</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2,626.07</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881.60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137,848,</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864.61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61,655.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3,429,133,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113.51</w:t>
            </w:r>
          </w:p>
        </w:tc>
      </w:tr>
    </w:tbl>
    <w:p>
      <w:pPr>
        <w:pStyle w:val="BodyText"/>
        <w:spacing w:line="240" w:lineRule="auto" w:before="49"/>
        <w:ind w:right="1133"/>
        <w:jc w:val="left"/>
      </w:pPr>
      <w:r>
        <w:rPr/>
        <w:t>上期金额</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7208"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20"/>
        <w:gridCol w:w="593"/>
        <w:gridCol w:w="574"/>
        <w:gridCol w:w="572"/>
        <w:gridCol w:w="571"/>
        <w:gridCol w:w="686"/>
        <w:gridCol w:w="686"/>
        <w:gridCol w:w="684"/>
        <w:gridCol w:w="782"/>
        <w:gridCol w:w="665"/>
        <w:gridCol w:w="797"/>
        <w:gridCol w:w="797"/>
        <w:gridCol w:w="931"/>
      </w:tblGrid>
      <w:tr>
        <w:trPr>
          <w:trHeight w:val="396" w:hRule="exact"/>
        </w:trPr>
        <w:tc>
          <w:tcPr>
            <w:tcW w:w="1220" w:type="dxa"/>
            <w:vMerge w:val="restart"/>
            <w:tcBorders>
              <w:top w:val="single" w:sz="4" w:space="0" w:color="000000"/>
              <w:left w:val="single" w:sz="4" w:space="0" w:color="000000"/>
              <w:right w:val="single" w:sz="4" w:space="0" w:color="000000"/>
            </w:tcBorders>
            <w:shd w:val="clear" w:color="auto" w:fill="D2D2D2"/>
          </w:tcPr>
          <w:p>
            <w:pP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0" w:hRule="exact"/>
        </w:trPr>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93"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8"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4" w:hRule="exact"/>
        </w:trPr>
        <w:tc>
          <w:tcPr>
            <w:tcW w:w="1220" w:type="dxa"/>
            <w:vMerge w:val="restart"/>
            <w:tcBorders>
              <w:top w:val="nil" w:sz="6" w:space="0" w:color="auto"/>
              <w:left w:val="single" w:sz="4" w:space="0" w:color="000000"/>
              <w:right w:val="single" w:sz="4" w:space="0" w:color="000000"/>
            </w:tcBorders>
            <w:shd w:val="clear" w:color="auto" w:fill="D2D2D2"/>
          </w:tcPr>
          <w:p>
            <w:pPr/>
          </w:p>
        </w:tc>
        <w:tc>
          <w:tcPr>
            <w:tcW w:w="593"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20" w:type="dxa"/>
            <w:vMerge/>
            <w:tcBorders>
              <w:left w:val="single" w:sz="4" w:space="0" w:color="000000"/>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20"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655,78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9,086.</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79,275.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146,345</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,995.56</w:t>
            </w: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111,659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,473.19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852,547,7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87.47</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3,341,521,6</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17.79</w:t>
            </w:r>
          </w:p>
        </w:tc>
      </w:tr>
      <w:tr>
        <w:trPr>
          <w:trHeight w:val="706"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655,78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9,086.</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79,275.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146,345</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,995.56</w:t>
            </w: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111,659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,473.19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852,547,7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87.47</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3,341,521,6</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17.79</w:t>
            </w:r>
          </w:p>
        </w:tc>
      </w:tr>
      <w:tr>
        <w:trPr>
          <w:trHeight w:val="706"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02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16,989,</w:t>
            </w:r>
          </w:p>
          <w:p>
            <w:pPr>
              <w:pStyle w:val="TableParagraph"/>
              <w:spacing w:line="240" w:lineRule="auto" w:before="102"/>
              <w:ind w:left="160" w:right="0"/>
              <w:jc w:val="left"/>
              <w:rPr>
                <w:rFonts w:ascii="Times New Roman" w:hAnsi="Times New Roman" w:cs="Times New Roman" w:eastAsia="Times New Roman" w:hint="default"/>
                <w:sz w:val="18"/>
                <w:szCs w:val="18"/>
              </w:rPr>
            </w:pPr>
            <w:r>
              <w:rPr>
                <w:rFonts w:ascii="Times New Roman"/>
                <w:sz w:val="18"/>
              </w:rPr>
              <w:t>302.00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-94,239,</w:t>
            </w:r>
          </w:p>
          <w:p>
            <w:pPr>
              <w:pStyle w:val="TableParagraph"/>
              <w:spacing w:line="240" w:lineRule="auto" w:before="102"/>
              <w:ind w:left="137" w:right="0"/>
              <w:jc w:val="center"/>
              <w:rPr>
                <w:rFonts w:ascii="Times New Roman" w:hAnsi="Times New Roman" w:cs="Times New Roman" w:eastAsia="Times New Roman" w:hint="default"/>
                <w:sz w:val="18"/>
                <w:szCs w:val="18"/>
              </w:rPr>
            </w:pPr>
            <w:r>
              <w:rPr>
                <w:rFonts w:ascii="Times New Roman"/>
                <w:sz w:val="18"/>
              </w:rPr>
              <w:t>847.55</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10,565,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369.72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63,271,34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5.01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-3,413,830.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82</w:t>
            </w:r>
          </w:p>
        </w:tc>
      </w:tr>
      <w:tr>
        <w:trPr>
          <w:trHeight w:val="716"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-94,239,</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847.55</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105,653,6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97.24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11,413,849.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16,989,</w:t>
            </w:r>
          </w:p>
          <w:p>
            <w:pPr>
              <w:pStyle w:val="TableParagraph"/>
              <w:spacing w:line="240" w:lineRule="auto" w:before="102"/>
              <w:ind w:left="160" w:right="0"/>
              <w:jc w:val="left"/>
              <w:rPr>
                <w:rFonts w:ascii="Times New Roman" w:hAnsi="Times New Roman" w:cs="Times New Roman" w:eastAsia="Times New Roman" w:hint="default"/>
                <w:sz w:val="18"/>
                <w:szCs w:val="18"/>
              </w:rPr>
            </w:pPr>
            <w:r>
              <w:rPr>
                <w:rFonts w:ascii="Times New Roman"/>
                <w:sz w:val="18"/>
              </w:rPr>
              <w:t>302.00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16,989,302.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16,989,</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302.00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16,989,302.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10,565,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369.72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-42,092,8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16.37</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-31,527,446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r>
      <w:tr>
        <w:trPr>
          <w:trHeight w:val="394"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10,565,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369.72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-10,565,3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69.72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-31,527,4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46.65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-31,527,446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r>
      <w:tr>
        <w:trPr>
          <w:trHeight w:val="401"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-289,535.86</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655,78</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9,086.</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1,592,1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68,577.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52,106,</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148.01</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122,224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,842.91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915,819,1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32.48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3,338,107,7</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86.97</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三、公司基本情况" w:id="161"/>
      <w:bookmarkEnd w:id="161"/>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4"/>
        <w:jc w:val="left"/>
      </w:pPr>
      <w:r>
        <w:rPr/>
        <w:t>银江股份有限公司（以下简称“公司”或“本公司”）系在原杭州银江电子有限公司基础上整体变更设立的股份有限公司， </w:t>
      </w:r>
      <w:r>
        <w:rPr>
          <w:spacing w:val="-4"/>
        </w:rPr>
        <w:t>由银江科技集团有限公司和自然人张岩、柴志涛、王毅、杨富金、钱小鸿、樊锦祥、刘健、钱英、柳展、王剑伟作为发起人，</w:t>
      </w:r>
      <w:r>
        <w:rPr>
          <w:spacing w:val="-50"/>
        </w:rPr>
        <w:t> </w:t>
      </w:r>
      <w:r>
        <w:rPr>
          <w:spacing w:val="-50"/>
        </w:rPr>
      </w:r>
      <w:r>
        <w:rPr>
          <w:spacing w:val="16"/>
        </w:rPr>
        <w:t>注册资本为人民币</w:t>
      </w:r>
      <w:r>
        <w:rPr>
          <w:spacing w:val="-69"/>
        </w:rPr>
        <w:t> </w:t>
      </w:r>
      <w:r>
        <w:rPr>
          <w:rFonts w:ascii="宋体" w:hAnsi="宋体" w:cs="宋体" w:eastAsia="宋体" w:hint="default"/>
        </w:rPr>
        <w:t>4,000</w:t>
      </w:r>
      <w:r>
        <w:rPr>
          <w:rFonts w:ascii="宋体" w:hAnsi="宋体" w:cs="宋体" w:eastAsia="宋体" w:hint="default"/>
          <w:spacing w:val="-69"/>
        </w:rPr>
        <w:t> </w:t>
      </w:r>
      <w:r>
        <w:rPr>
          <w:spacing w:val="11"/>
        </w:rPr>
        <w:t>万元（</w:t>
      </w:r>
      <w:r>
        <w:rPr>
          <w:spacing w:val="-70"/>
        </w:rPr>
        <w:t> </w:t>
      </w:r>
      <w:r>
        <w:rPr>
          <w:spacing w:val="16"/>
        </w:rPr>
        <w:t>每股面值人民币</w:t>
      </w:r>
      <w:r>
        <w:rPr>
          <w:spacing w:val="-68"/>
        </w:rPr>
        <w:t> </w:t>
      </w:r>
      <w:r>
        <w:rPr>
          <w:rFonts w:ascii="宋体" w:hAnsi="宋体" w:cs="宋体" w:eastAsia="宋体" w:hint="default"/>
        </w:rPr>
        <w:t>1</w:t>
      </w:r>
      <w:r>
        <w:rPr>
          <w:rFonts w:ascii="宋体" w:hAnsi="宋体" w:cs="宋体" w:eastAsia="宋体" w:hint="default"/>
          <w:spacing w:val="-69"/>
        </w:rPr>
        <w:t> </w:t>
      </w:r>
      <w:r>
        <w:rPr>
          <w:spacing w:val="13"/>
        </w:rPr>
        <w:t>元）。</w:t>
      </w:r>
      <w:r>
        <w:rPr>
          <w:spacing w:val="-70"/>
        </w:rPr>
        <w:t> </w:t>
      </w:r>
      <w:r>
        <w:rPr>
          <w:spacing w:val="12"/>
        </w:rPr>
        <w:t>公司于</w:t>
      </w:r>
      <w:r>
        <w:rPr>
          <w:spacing w:val="-69"/>
        </w:rPr>
        <w:t> </w:t>
      </w:r>
      <w:r>
        <w:rPr>
          <w:rFonts w:ascii="宋体" w:hAnsi="宋体" w:cs="宋体" w:eastAsia="宋体" w:hint="default"/>
        </w:rPr>
        <w:t>2007</w:t>
      </w:r>
      <w:r>
        <w:rPr>
          <w:rFonts w:ascii="宋体" w:hAnsi="宋体" w:cs="宋体" w:eastAsia="宋体" w:hint="default"/>
          <w:spacing w:val="-69"/>
        </w:rPr>
        <w:t> </w:t>
      </w:r>
      <w:r>
        <w:rPr/>
        <w:t>年</w:t>
      </w:r>
      <w:r>
        <w:rPr>
          <w:spacing w:val="-70"/>
        </w:rPr>
        <w:t> </w:t>
      </w:r>
      <w:r>
        <w:rPr>
          <w:rFonts w:ascii="宋体" w:hAnsi="宋体" w:cs="宋体" w:eastAsia="宋体" w:hint="default"/>
        </w:rPr>
        <w:t>9</w:t>
      </w:r>
      <w:r>
        <w:rPr>
          <w:rFonts w:ascii="宋体" w:hAnsi="宋体" w:cs="宋体" w:eastAsia="宋体" w:hint="default"/>
          <w:spacing w:val="-69"/>
        </w:rPr>
        <w:t> </w:t>
      </w:r>
      <w:r>
        <w:rPr/>
        <w:t>月</w:t>
      </w:r>
      <w:r>
        <w:rPr>
          <w:spacing w:val="-70"/>
        </w:rPr>
        <w:t> </w:t>
      </w:r>
      <w:r>
        <w:rPr>
          <w:rFonts w:ascii="宋体" w:hAnsi="宋体" w:cs="宋体" w:eastAsia="宋体" w:hint="default"/>
        </w:rPr>
        <w:t>30</w:t>
      </w:r>
      <w:r>
        <w:rPr>
          <w:rFonts w:ascii="宋体" w:hAnsi="宋体" w:cs="宋体" w:eastAsia="宋体" w:hint="default"/>
          <w:spacing w:val="-69"/>
        </w:rPr>
        <w:t> </w:t>
      </w:r>
      <w:r>
        <w:rPr>
          <w:spacing w:val="18"/>
        </w:rPr>
        <w:t>日取得杭州市工商行政管理局核发的</w:t>
      </w:r>
      <w:r>
        <w:rPr>
          <w:spacing w:val="-83"/>
        </w:rPr>
        <w:t> </w:t>
      </w:r>
      <w:r>
        <w:rPr>
          <w:spacing w:val="-83"/>
        </w:rPr>
      </w:r>
      <w:r>
        <w:rPr>
          <w:rFonts w:ascii="宋体" w:hAnsi="宋体" w:cs="宋体" w:eastAsia="宋体" w:hint="default"/>
        </w:rPr>
        <w:t>330100000003403</w:t>
      </w:r>
      <w:r>
        <w:rPr/>
        <w:t>号《企业法人营业执照》。</w:t>
      </w:r>
    </w:p>
    <w:p>
      <w:pPr>
        <w:pStyle w:val="BodyText"/>
        <w:spacing w:line="316" w:lineRule="auto" w:before="19"/>
        <w:ind w:right="1034"/>
        <w:jc w:val="left"/>
      </w:pPr>
      <w:r>
        <w:rPr>
          <w:rFonts w:ascii="宋体" w:hAnsi="宋体" w:cs="宋体" w:eastAsia="宋体" w:hint="default"/>
          <w:spacing w:val="-2"/>
        </w:rPr>
        <w:t>2007</w:t>
      </w:r>
      <w:r>
        <w:rPr>
          <w:spacing w:val="-2"/>
        </w:rPr>
        <w:t>年</w:t>
      </w:r>
      <w:r>
        <w:rPr>
          <w:rFonts w:ascii="宋体" w:hAnsi="宋体" w:cs="宋体" w:eastAsia="宋体" w:hint="default"/>
          <w:spacing w:val="-2"/>
        </w:rPr>
        <w:t>12</w:t>
      </w:r>
      <w:r>
        <w:rPr>
          <w:spacing w:val="-2"/>
        </w:rPr>
        <w:t>月，公司申请新增注册资本</w:t>
      </w:r>
      <w:r>
        <w:rPr>
          <w:rFonts w:ascii="宋体" w:hAnsi="宋体" w:cs="宋体" w:eastAsia="宋体" w:hint="default"/>
          <w:spacing w:val="-2"/>
        </w:rPr>
        <w:t>1,200</w:t>
      </w:r>
      <w:r>
        <w:rPr>
          <w:spacing w:val="-2"/>
        </w:rPr>
        <w:t>万元，由新增法人股东浙江蓝山投资有限公司出资</w:t>
      </w:r>
      <w:r>
        <w:rPr>
          <w:rFonts w:ascii="宋体" w:hAnsi="宋体" w:cs="宋体" w:eastAsia="宋体" w:hint="default"/>
          <w:spacing w:val="-2"/>
        </w:rPr>
        <w:t>500</w:t>
      </w:r>
      <w:r>
        <w:rPr>
          <w:spacing w:val="-2"/>
        </w:rPr>
        <w:t>万元，新增自然人股东杨增</w:t>
      </w:r>
      <w:r>
        <w:rPr>
          <w:spacing w:val="-59"/>
        </w:rPr>
        <w:t> </w:t>
      </w:r>
      <w:r>
        <w:rPr>
          <w:spacing w:val="-59"/>
        </w:rPr>
      </w:r>
      <w:r>
        <w:rPr>
          <w:spacing w:val="-3"/>
        </w:rPr>
        <w:t>荣出资</w:t>
      </w:r>
      <w:r>
        <w:rPr>
          <w:rFonts w:ascii="宋体" w:hAnsi="宋体" w:cs="宋体" w:eastAsia="宋体" w:hint="default"/>
          <w:spacing w:val="-3"/>
        </w:rPr>
        <w:t>282</w:t>
      </w:r>
      <w:r>
        <w:rPr>
          <w:spacing w:val="-3"/>
        </w:rPr>
        <w:t>万元，新增自然人股东李涛出资</w:t>
      </w:r>
      <w:r>
        <w:rPr>
          <w:rFonts w:ascii="宋体" w:hAnsi="宋体" w:cs="宋体" w:eastAsia="宋体" w:hint="default"/>
          <w:spacing w:val="-3"/>
        </w:rPr>
        <w:t>278</w:t>
      </w:r>
      <w:r>
        <w:rPr>
          <w:spacing w:val="-3"/>
        </w:rPr>
        <w:t>万元，新增自然人股东章笠中出资</w:t>
      </w:r>
      <w:r>
        <w:rPr>
          <w:rFonts w:ascii="宋体" w:hAnsi="宋体" w:cs="宋体" w:eastAsia="宋体" w:hint="default"/>
          <w:spacing w:val="-3"/>
        </w:rPr>
        <w:t>60</w:t>
      </w:r>
      <w:r>
        <w:rPr>
          <w:spacing w:val="-3"/>
        </w:rPr>
        <w:t>万元，新增自然人股东乐秀夫出资</w:t>
      </w:r>
      <w:r>
        <w:rPr>
          <w:rFonts w:ascii="宋体" w:hAnsi="宋体" w:cs="宋体" w:eastAsia="宋体" w:hint="default"/>
          <w:spacing w:val="-3"/>
        </w:rPr>
        <w:t>80</w:t>
      </w:r>
      <w:r>
        <w:rPr>
          <w:spacing w:val="-3"/>
        </w:rPr>
        <w:t>万元，</w:t>
      </w:r>
      <w:r>
        <w:rPr>
          <w:spacing w:val="-86"/>
        </w:rPr>
        <w:t> </w:t>
      </w:r>
      <w:r>
        <w:rPr>
          <w:spacing w:val="-86"/>
        </w:rPr>
      </w:r>
      <w:r>
        <w:rPr/>
        <w:t>变更后的注册资本为</w:t>
      </w:r>
      <w:r>
        <w:rPr>
          <w:rFonts w:ascii="宋体" w:hAnsi="宋体" w:cs="宋体" w:eastAsia="宋体" w:hint="default"/>
        </w:rPr>
        <w:t>5,200</w:t>
      </w:r>
      <w:r>
        <w:rPr/>
        <w:t>万元。 </w:t>
      </w:r>
      <w:r>
        <w:rPr>
          <w:rFonts w:ascii="宋体" w:hAnsi="宋体" w:cs="宋体" w:eastAsia="宋体" w:hint="default"/>
          <w:spacing w:val="-2"/>
        </w:rPr>
        <w:t>2008</w:t>
      </w:r>
      <w:r>
        <w:rPr>
          <w:spacing w:val="-2"/>
        </w:rPr>
        <w:t>年</w:t>
      </w:r>
      <w:r>
        <w:rPr>
          <w:rFonts w:ascii="宋体" w:hAnsi="宋体" w:cs="宋体" w:eastAsia="宋体" w:hint="default"/>
          <w:spacing w:val="-2"/>
        </w:rPr>
        <w:t>12</w:t>
      </w:r>
      <w:r>
        <w:rPr>
          <w:spacing w:val="-2"/>
        </w:rPr>
        <w:t>月，钱英将其所持公司股份中的</w:t>
      </w:r>
      <w:r>
        <w:rPr>
          <w:rFonts w:ascii="宋体" w:hAnsi="宋体" w:cs="宋体" w:eastAsia="宋体" w:hint="default"/>
          <w:spacing w:val="-2"/>
        </w:rPr>
        <w:t>10</w:t>
      </w:r>
      <w:r>
        <w:rPr>
          <w:spacing w:val="-2"/>
        </w:rPr>
        <w:t>万股转让给李正大、</w:t>
      </w:r>
      <w:r>
        <w:rPr>
          <w:rFonts w:ascii="宋体" w:hAnsi="宋体" w:cs="宋体" w:eastAsia="宋体" w:hint="default"/>
          <w:spacing w:val="-2"/>
        </w:rPr>
        <w:t>10</w:t>
      </w:r>
      <w:r>
        <w:rPr>
          <w:spacing w:val="-2"/>
        </w:rPr>
        <w:t>万股转让给胡志宏，杨富金将其所持公司股份中的</w:t>
      </w:r>
      <w:r>
        <w:rPr>
          <w:rFonts w:ascii="宋体" w:hAnsi="宋体" w:cs="宋体" w:eastAsia="宋体" w:hint="default"/>
          <w:spacing w:val="-2"/>
        </w:rPr>
        <w:t>20</w:t>
      </w:r>
      <w:r>
        <w:rPr>
          <w:spacing w:val="-2"/>
        </w:rPr>
        <w:t>万股</w:t>
      </w:r>
      <w:r>
        <w:rPr>
          <w:spacing w:val="-60"/>
        </w:rPr>
        <w:t> </w:t>
      </w:r>
      <w:r>
        <w:rPr/>
        <w:t>转让给胡志宏；另外公司申请新增注册资本</w:t>
      </w:r>
      <w:r>
        <w:rPr>
          <w:rFonts w:ascii="宋体" w:hAnsi="宋体" w:cs="宋体" w:eastAsia="宋体" w:hint="default"/>
        </w:rPr>
        <w:t>800</w:t>
      </w:r>
      <w:r>
        <w:rPr/>
        <w:t>万元，其中银江科技集团有限公司增资</w:t>
      </w:r>
      <w:r>
        <w:rPr>
          <w:rFonts w:ascii="宋体" w:hAnsi="宋体" w:cs="宋体" w:eastAsia="宋体" w:hint="default"/>
        </w:rPr>
        <w:t>50</w:t>
      </w:r>
      <w:r>
        <w:rPr/>
        <w:t>万元，英特尔产品（成都）有限公</w:t>
      </w:r>
      <w:r>
        <w:rPr>
          <w:spacing w:val="-84"/>
        </w:rPr>
        <w:t> </w:t>
      </w:r>
      <w:r>
        <w:rPr>
          <w:spacing w:val="-84"/>
        </w:rPr>
      </w:r>
      <w:r>
        <w:rPr/>
        <w:t>司投资</w:t>
      </w:r>
      <w:r>
        <w:rPr>
          <w:rFonts w:ascii="宋体" w:hAnsi="宋体" w:cs="宋体" w:eastAsia="宋体" w:hint="default"/>
        </w:rPr>
        <w:t>500</w:t>
      </w:r>
      <w:r>
        <w:rPr/>
        <w:t>万元，浙江省科技风险投资有限公司投资</w:t>
      </w:r>
      <w:r>
        <w:rPr>
          <w:rFonts w:ascii="宋体" w:hAnsi="宋体" w:cs="宋体" w:eastAsia="宋体" w:hint="default"/>
        </w:rPr>
        <w:t>150</w:t>
      </w:r>
      <w:r>
        <w:rPr/>
        <w:t>万元，杭州青岛实业投资有限公司投资</w:t>
      </w:r>
      <w:r>
        <w:rPr>
          <w:rFonts w:ascii="宋体" w:hAnsi="宋体" w:cs="宋体" w:eastAsia="宋体" w:hint="default"/>
        </w:rPr>
        <w:t>100</w:t>
      </w:r>
      <w:r>
        <w:rPr/>
        <w:t>万元，变更后的注册资本</w:t>
      </w:r>
      <w:r>
        <w:rPr>
          <w:spacing w:val="-85"/>
        </w:rPr>
        <w:t> </w:t>
      </w:r>
      <w:r>
        <w:rPr/>
        <w:t>为</w:t>
      </w:r>
      <w:r>
        <w:rPr>
          <w:rFonts w:ascii="宋体" w:hAnsi="宋体" w:cs="宋体" w:eastAsia="宋体" w:hint="default"/>
        </w:rPr>
        <w:t>6,000</w:t>
      </w:r>
      <w:r>
        <w:rPr/>
        <w:t>万元。</w:t>
      </w:r>
    </w:p>
    <w:p>
      <w:pPr>
        <w:pStyle w:val="BodyText"/>
        <w:spacing w:line="316" w:lineRule="auto" w:before="18"/>
        <w:ind w:right="1133"/>
        <w:jc w:val="left"/>
      </w:pPr>
      <w:r>
        <w:rPr>
          <w:rFonts w:ascii="宋体" w:hAnsi="宋体" w:cs="宋体" w:eastAsia="宋体" w:hint="default"/>
        </w:rPr>
        <w:t>2009</w:t>
      </w:r>
      <w:r>
        <w:rPr/>
        <w:t>年</w:t>
      </w:r>
      <w:r>
        <w:rPr>
          <w:rFonts w:ascii="宋体" w:hAnsi="宋体" w:cs="宋体" w:eastAsia="宋体" w:hint="default"/>
        </w:rPr>
        <w:t>3</w:t>
      </w:r>
      <w:r>
        <w:rPr/>
        <w:t>月，杨增荣、张岩分别将其持有的</w:t>
      </w:r>
      <w:r>
        <w:rPr>
          <w:rFonts w:ascii="宋体" w:hAnsi="宋体" w:cs="宋体" w:eastAsia="宋体" w:hint="default"/>
        </w:rPr>
        <w:t>75</w:t>
      </w:r>
      <w:r>
        <w:rPr/>
        <w:t>万股股份转让给海通开元投资有限公司。 </w:t>
      </w:r>
      <w:r>
        <w:rPr>
          <w:spacing w:val="-2"/>
        </w:rPr>
        <w:t>根据</w:t>
      </w:r>
      <w:r>
        <w:rPr>
          <w:rFonts w:ascii="宋体" w:hAnsi="宋体" w:cs="宋体" w:eastAsia="宋体" w:hint="default"/>
          <w:spacing w:val="-2"/>
        </w:rPr>
        <w:t>2009</w:t>
      </w:r>
      <w:r>
        <w:rPr>
          <w:spacing w:val="-2"/>
        </w:rPr>
        <w:t>年度第一次临时股东大会决议，并经中国证券监督管理委员会证监许可【</w:t>
      </w:r>
      <w:r>
        <w:rPr>
          <w:rFonts w:ascii="宋体" w:hAnsi="宋体" w:cs="宋体" w:eastAsia="宋体" w:hint="default"/>
          <w:spacing w:val="-2"/>
        </w:rPr>
        <w:t>2009</w:t>
      </w:r>
      <w:r>
        <w:rPr>
          <w:spacing w:val="-2"/>
        </w:rPr>
        <w:t>】</w:t>
      </w:r>
      <w:r>
        <w:rPr>
          <w:rFonts w:ascii="宋体" w:hAnsi="宋体" w:cs="宋体" w:eastAsia="宋体" w:hint="default"/>
          <w:spacing w:val="-2"/>
        </w:rPr>
        <w:t>1032</w:t>
      </w:r>
      <w:r>
        <w:rPr>
          <w:spacing w:val="-2"/>
        </w:rPr>
        <w:t>号文核准，公司向社会公开发</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0"/>
        <w:jc w:val="left"/>
      </w:pPr>
      <w:r>
        <w:rPr>
          <w:spacing w:val="-2"/>
        </w:rPr>
        <w:t>行人民币普通股（</w:t>
      </w:r>
      <w:r>
        <w:rPr>
          <w:rFonts w:ascii="宋体" w:hAnsi="宋体" w:cs="宋体" w:eastAsia="宋体" w:hint="default"/>
          <w:spacing w:val="-2"/>
        </w:rPr>
        <w:t>A</w:t>
      </w:r>
      <w:r>
        <w:rPr>
          <w:spacing w:val="-2"/>
        </w:rPr>
        <w:t>股）</w:t>
      </w:r>
      <w:r>
        <w:rPr>
          <w:rFonts w:ascii="宋体" w:hAnsi="宋体" w:cs="宋体" w:eastAsia="宋体" w:hint="default"/>
          <w:spacing w:val="-2"/>
        </w:rPr>
        <w:t>2,000</w:t>
      </w:r>
      <w:r>
        <w:rPr>
          <w:spacing w:val="-2"/>
        </w:rPr>
        <w:t>万股（每股面值人民币</w:t>
      </w:r>
      <w:r>
        <w:rPr>
          <w:rFonts w:ascii="宋体" w:hAnsi="宋体" w:cs="宋体" w:eastAsia="宋体" w:hint="default"/>
          <w:spacing w:val="-2"/>
        </w:rPr>
        <w:t>1</w:t>
      </w:r>
      <w:r>
        <w:rPr>
          <w:spacing w:val="-2"/>
        </w:rPr>
        <w:t>元），变更后的注册资本为人民币</w:t>
      </w:r>
      <w:r>
        <w:rPr>
          <w:rFonts w:ascii="宋体" w:hAnsi="宋体" w:cs="宋体" w:eastAsia="宋体" w:hint="default"/>
          <w:spacing w:val="-2"/>
        </w:rPr>
        <w:t>8,000</w:t>
      </w:r>
      <w:r>
        <w:rPr>
          <w:spacing w:val="-2"/>
        </w:rPr>
        <w:t>万元，已于</w:t>
      </w:r>
      <w:r>
        <w:rPr>
          <w:rFonts w:ascii="宋体" w:hAnsi="宋体" w:cs="宋体" w:eastAsia="宋体" w:hint="default"/>
          <w:spacing w:val="-2"/>
        </w:rPr>
        <w:t>2009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30</w:t>
      </w:r>
      <w:r>
        <w:rPr>
          <w:spacing w:val="-2"/>
        </w:rPr>
        <w:t>日在</w:t>
      </w:r>
      <w:r>
        <w:rPr>
          <w:spacing w:val="-58"/>
        </w:rPr>
        <w:t> </w:t>
      </w:r>
      <w:r>
        <w:rPr/>
        <w:t>深圳证券交易所创业板上市。</w:t>
      </w:r>
      <w:r>
        <w:rPr/>
        <w:t> </w:t>
      </w:r>
      <w:r>
        <w:rPr>
          <w:spacing w:val="-2"/>
        </w:rPr>
        <w:t>根据</w:t>
      </w:r>
      <w:r>
        <w:rPr>
          <w:rFonts w:ascii="宋体" w:hAnsi="宋体" w:cs="宋体" w:eastAsia="宋体" w:hint="default"/>
          <w:spacing w:val="-2"/>
        </w:rPr>
        <w:t>2009</w:t>
      </w:r>
      <w:r>
        <w:rPr>
          <w:spacing w:val="-2"/>
        </w:rPr>
        <w:t>年度股东大会决议，公司以首次公开发行股票并上市后的总股本</w:t>
      </w:r>
      <w:r>
        <w:rPr>
          <w:rFonts w:ascii="宋体" w:hAnsi="宋体" w:cs="宋体" w:eastAsia="宋体" w:hint="default"/>
          <w:spacing w:val="-2"/>
        </w:rPr>
        <w:t>8,000</w:t>
      </w:r>
      <w:r>
        <w:rPr>
          <w:spacing w:val="-2"/>
        </w:rPr>
        <w:t>万股为基数，按每</w:t>
      </w:r>
      <w:r>
        <w:rPr>
          <w:rFonts w:ascii="宋体" w:hAnsi="宋体" w:cs="宋体" w:eastAsia="宋体" w:hint="default"/>
          <w:spacing w:val="-2"/>
        </w:rPr>
        <w:t>10</w:t>
      </w:r>
      <w:r>
        <w:rPr>
          <w:spacing w:val="-2"/>
        </w:rPr>
        <w:t>股由资本公积转增</w:t>
      </w:r>
      <w:r>
        <w:rPr>
          <w:rFonts w:ascii="宋体" w:hAnsi="宋体" w:cs="宋体" w:eastAsia="宋体" w:hint="default"/>
          <w:spacing w:val="-2"/>
        </w:rPr>
        <w:t>10</w:t>
      </w:r>
      <w:r>
        <w:rPr>
          <w:spacing w:val="-2"/>
        </w:rPr>
        <w:t>股，</w:t>
      </w:r>
      <w:r>
        <w:rPr>
          <w:spacing w:val="-55"/>
        </w:rPr>
        <w:t> </w:t>
      </w:r>
      <w:r>
        <w:rPr/>
        <w:t>共计转增</w:t>
      </w:r>
      <w:r>
        <w:rPr>
          <w:rFonts w:ascii="宋体" w:hAnsi="宋体" w:cs="宋体" w:eastAsia="宋体" w:hint="default"/>
        </w:rPr>
        <w:t>8,000</w:t>
      </w:r>
      <w:r>
        <w:rPr/>
        <w:t>万股。变更后的注册资本为</w:t>
      </w:r>
      <w:r>
        <w:rPr>
          <w:rFonts w:ascii="宋体" w:hAnsi="宋体" w:cs="宋体" w:eastAsia="宋体" w:hint="default"/>
        </w:rPr>
        <w:t>1.6</w:t>
      </w:r>
      <w:r>
        <w:rPr/>
        <w:t>亿元。 根据</w:t>
      </w:r>
      <w:r>
        <w:rPr>
          <w:rFonts w:ascii="宋体" w:hAnsi="宋体" w:cs="宋体" w:eastAsia="宋体" w:hint="default"/>
        </w:rPr>
        <w:t>2010</w:t>
      </w:r>
      <w:r>
        <w:rPr/>
        <w:t>年度股东大会决议，公司以总股本数</w:t>
      </w:r>
      <w:r>
        <w:rPr>
          <w:rFonts w:ascii="宋体" w:hAnsi="宋体" w:cs="宋体" w:eastAsia="宋体" w:hint="default"/>
        </w:rPr>
        <w:t>1.6</w:t>
      </w:r>
      <w:r>
        <w:rPr/>
        <w:t>亿股为基数，按每</w:t>
      </w:r>
      <w:r>
        <w:rPr>
          <w:rFonts w:ascii="宋体" w:hAnsi="宋体" w:cs="宋体" w:eastAsia="宋体" w:hint="default"/>
        </w:rPr>
        <w:t>10</w:t>
      </w:r>
      <w:r>
        <w:rPr/>
        <w:t>股由资本公积转增</w:t>
      </w:r>
      <w:r>
        <w:rPr>
          <w:rFonts w:ascii="宋体" w:hAnsi="宋体" w:cs="宋体" w:eastAsia="宋体" w:hint="default"/>
        </w:rPr>
        <w:t>5</w:t>
      </w:r>
      <w:r>
        <w:rPr/>
        <w:t>股，共计转增</w:t>
      </w:r>
      <w:r>
        <w:rPr>
          <w:rFonts w:ascii="宋体" w:hAnsi="宋体" w:cs="宋体" w:eastAsia="宋体" w:hint="default"/>
        </w:rPr>
        <w:t>8,000</w:t>
      </w:r>
      <w:r>
        <w:rPr/>
        <w:t>万股，变更后</w:t>
      </w:r>
      <w:r>
        <w:rPr>
          <w:spacing w:val="-85"/>
        </w:rPr>
        <w:t> </w:t>
      </w:r>
      <w:r>
        <w:rPr/>
        <w:t>的注册资本</w:t>
      </w:r>
      <w:r>
        <w:rPr>
          <w:rFonts w:ascii="宋体" w:hAnsi="宋体" w:cs="宋体" w:eastAsia="宋体" w:hint="default"/>
        </w:rPr>
        <w:t>2.4</w:t>
      </w:r>
      <w:r>
        <w:rPr/>
        <w:t>亿元。</w:t>
      </w:r>
      <w:r>
        <w:rPr>
          <w:spacing w:val="-87"/>
        </w:rPr>
        <w:t> </w:t>
      </w:r>
      <w:r>
        <w:rPr/>
        <w:t>根据</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10</w:t>
      </w:r>
      <w:r>
        <w:rPr/>
        <w:t>日召开的</w:t>
      </w:r>
      <w:r>
        <w:rPr>
          <w:rFonts w:ascii="宋体" w:hAnsi="宋体" w:cs="宋体" w:eastAsia="宋体" w:hint="default"/>
        </w:rPr>
        <w:t>2012</w:t>
      </w:r>
      <w:r>
        <w:rPr/>
        <w:t>年第一次临时股东大会决议审议通过的《公司股票期权激励计划（草案修订稿）》，公司向 股票期权激励对象定向发行股票。截止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日，公司累计已向股票激励对象发行股票</w:t>
      </w:r>
      <w:r>
        <w:rPr>
          <w:rFonts w:ascii="宋体" w:hAnsi="宋体" w:cs="宋体" w:eastAsia="宋体" w:hint="default"/>
        </w:rPr>
        <w:t>5,113,600</w:t>
      </w:r>
      <w:r>
        <w:rPr/>
        <w:t>股。 根据公司</w:t>
      </w:r>
      <w:r>
        <w:rPr>
          <w:rFonts w:ascii="宋体" w:hAnsi="宋体" w:cs="宋体" w:eastAsia="宋体" w:hint="default"/>
        </w:rPr>
        <w:t>2013</w:t>
      </w:r>
      <w:r>
        <w:rPr/>
        <w:t>年第一次临时股东大会决议、第二届董事会第二十八次会议决议，并经中国证券监督管理委员会“证监许可</w:t>
      </w:r>
      <w:r>
        <w:rPr>
          <w:spacing w:val="-4"/>
        </w:rPr>
        <w:t> </w:t>
      </w:r>
      <w:r>
        <w:rPr>
          <w:spacing w:val="-4"/>
        </w:rPr>
      </w:r>
      <w:r>
        <w:rPr>
          <w:rFonts w:ascii="宋体" w:hAnsi="宋体" w:cs="宋体" w:eastAsia="宋体" w:hint="default"/>
        </w:rPr>
        <w:t>[2013]1633</w:t>
      </w:r>
      <w:r>
        <w:rPr/>
        <w:t>号”核准，公司向李欣发行</w:t>
      </w:r>
      <w:r>
        <w:rPr>
          <w:rFonts w:ascii="宋体" w:hAnsi="宋体" w:cs="宋体" w:eastAsia="宋体" w:hint="default"/>
        </w:rPr>
        <w:t>17,587,245</w:t>
      </w:r>
      <w:r>
        <w:rPr/>
        <w:t>股股份、向昆山中科昆开创业投资有限公司发行</w:t>
      </w:r>
      <w:r>
        <w:rPr>
          <w:rFonts w:ascii="宋体" w:hAnsi="宋体" w:cs="宋体" w:eastAsia="宋体" w:hint="default"/>
        </w:rPr>
        <w:t>1,362,518</w:t>
      </w:r>
      <w:r>
        <w:rPr/>
        <w:t>股股份、向兰 馨成长（天津）股权投资基金合伙企业（有限合伙）发行</w:t>
      </w:r>
      <w:r>
        <w:rPr>
          <w:rFonts w:ascii="宋体" w:hAnsi="宋体" w:cs="宋体" w:eastAsia="宋体" w:hint="default"/>
        </w:rPr>
        <w:t>1,362,518</w:t>
      </w:r>
      <w:r>
        <w:rPr/>
        <w:t>股股份、向杭州众赢成长投资合伙企业（有限合伙）发</w:t>
      </w:r>
      <w:r>
        <w:rPr>
          <w:spacing w:val="-85"/>
        </w:rPr>
        <w:t> </w:t>
      </w:r>
      <w:r>
        <w:rPr>
          <w:spacing w:val="-85"/>
        </w:rPr>
      </w:r>
      <w:r>
        <w:rPr/>
        <w:t>行</w:t>
      </w:r>
      <w:r>
        <w:rPr>
          <w:rFonts w:ascii="宋体" w:hAnsi="宋体" w:cs="宋体" w:eastAsia="宋体" w:hint="default"/>
        </w:rPr>
        <w:t>1,167,792</w:t>
      </w:r>
      <w:r>
        <w:rPr/>
        <w:t>股股份、向江阴长泾中科长赢创业投资有限公司发行</w:t>
      </w:r>
      <w:r>
        <w:rPr>
          <w:rFonts w:ascii="宋体" w:hAnsi="宋体" w:cs="宋体" w:eastAsia="宋体" w:hint="default"/>
        </w:rPr>
        <w:t>973,254</w:t>
      </w:r>
      <w:r>
        <w:rPr/>
        <w:t>股股份、向陈兴华发行</w:t>
      </w:r>
      <w:r>
        <w:rPr>
          <w:rFonts w:ascii="宋体" w:hAnsi="宋体" w:cs="宋体" w:eastAsia="宋体" w:hint="default"/>
        </w:rPr>
        <w:t>762,143</w:t>
      </w:r>
      <w:r>
        <w:rPr/>
        <w:t>股股份、向颜廷健 </w:t>
      </w:r>
      <w:r>
        <w:rPr>
          <w:spacing w:val="-4"/>
        </w:rPr>
        <w:t>发行</w:t>
      </w:r>
      <w:r>
        <w:rPr>
          <w:rFonts w:ascii="宋体" w:hAnsi="宋体" w:cs="宋体" w:eastAsia="宋体" w:hint="default"/>
          <w:spacing w:val="-4"/>
        </w:rPr>
        <w:t>58,626</w:t>
      </w:r>
      <w:r>
        <w:rPr>
          <w:spacing w:val="-4"/>
        </w:rPr>
        <w:t>股股份、向于海燕发行</w:t>
      </w:r>
      <w:r>
        <w:rPr>
          <w:rFonts w:ascii="宋体" w:hAnsi="宋体" w:cs="宋体" w:eastAsia="宋体" w:hint="default"/>
          <w:spacing w:val="-4"/>
        </w:rPr>
        <w:t>49,836</w:t>
      </w:r>
      <w:r>
        <w:rPr>
          <w:spacing w:val="-4"/>
        </w:rPr>
        <w:t>股股份、向罗明发行</w:t>
      </w:r>
      <w:r>
        <w:rPr>
          <w:rFonts w:ascii="宋体" w:hAnsi="宋体" w:cs="宋体" w:eastAsia="宋体" w:hint="default"/>
          <w:spacing w:val="-4"/>
        </w:rPr>
        <w:t>43,976</w:t>
      </w:r>
      <w:r>
        <w:rPr>
          <w:spacing w:val="-4"/>
        </w:rPr>
        <w:t>股股份、向张晔发行</w:t>
      </w:r>
      <w:r>
        <w:rPr>
          <w:rFonts w:ascii="宋体" w:hAnsi="宋体" w:cs="宋体" w:eastAsia="宋体" w:hint="default"/>
          <w:spacing w:val="-4"/>
        </w:rPr>
        <w:t>29,301</w:t>
      </w:r>
      <w:r>
        <w:rPr>
          <w:spacing w:val="-4"/>
        </w:rPr>
        <w:t>股股份、向侯世勇发行</w:t>
      </w:r>
      <w:r>
        <w:rPr>
          <w:rFonts w:ascii="宋体" w:hAnsi="宋体" w:cs="宋体" w:eastAsia="宋体" w:hint="default"/>
          <w:spacing w:val="-4"/>
        </w:rPr>
        <w:t>14,651</w:t>
      </w:r>
      <w:r>
        <w:rPr>
          <w:rFonts w:ascii="宋体" w:hAnsi="宋体" w:cs="宋体" w:eastAsia="宋体" w:hint="default"/>
          <w:spacing w:val="-81"/>
        </w:rPr>
        <w:t> </w:t>
      </w:r>
      <w:r>
        <w:rPr>
          <w:rFonts w:ascii="宋体" w:hAnsi="宋体" w:cs="宋体" w:eastAsia="宋体" w:hint="default"/>
          <w:spacing w:val="-81"/>
        </w:rPr>
      </w:r>
      <w:r>
        <w:rPr>
          <w:spacing w:val="-2"/>
        </w:rPr>
        <w:t>股股份、向金鑫发行</w:t>
      </w:r>
      <w:r>
        <w:rPr>
          <w:rFonts w:ascii="宋体" w:hAnsi="宋体" w:cs="宋体" w:eastAsia="宋体" w:hint="default"/>
          <w:spacing w:val="-2"/>
        </w:rPr>
        <w:t>14,651</w:t>
      </w:r>
      <w:r>
        <w:rPr>
          <w:spacing w:val="-2"/>
        </w:rPr>
        <w:t>股股份、向张蓓发行</w:t>
      </w:r>
      <w:r>
        <w:rPr>
          <w:rFonts w:ascii="宋体" w:hAnsi="宋体" w:cs="宋体" w:eastAsia="宋体" w:hint="default"/>
          <w:spacing w:val="-2"/>
        </w:rPr>
        <w:t>14,651</w:t>
      </w:r>
      <w:r>
        <w:rPr>
          <w:spacing w:val="-2"/>
        </w:rPr>
        <w:t>股股份，以购买北京亚太安讯科技股份有限公司</w:t>
      </w:r>
      <w:r>
        <w:rPr>
          <w:rFonts w:ascii="宋体" w:hAnsi="宋体" w:cs="宋体" w:eastAsia="宋体" w:hint="default"/>
          <w:spacing w:val="-2"/>
        </w:rPr>
        <w:t>83.3333%</w:t>
      </w:r>
      <w:r>
        <w:rPr>
          <w:spacing w:val="-2"/>
        </w:rPr>
        <w:t>的股权；同</w:t>
      </w:r>
      <w:r>
        <w:rPr>
          <w:spacing w:val="-51"/>
        </w:rPr>
        <w:t> </w:t>
      </w:r>
      <w:r>
        <w:rPr>
          <w:spacing w:val="-51"/>
        </w:rPr>
      </w:r>
      <w:r>
        <w:rPr/>
        <w:t>时向华安基金管理有限公司、常州投资集团有限公司和国泰基金管理有限公司以</w:t>
      </w:r>
      <w:r>
        <w:rPr>
          <w:rFonts w:ascii="宋体" w:hAnsi="宋体" w:cs="宋体" w:eastAsia="宋体" w:hint="default"/>
        </w:rPr>
        <w:t>24</w:t>
      </w:r>
      <w:r>
        <w:rPr/>
        <w:t>元</w:t>
      </w:r>
      <w:r>
        <w:rPr>
          <w:rFonts w:ascii="宋体" w:hAnsi="宋体" w:cs="宋体" w:eastAsia="宋体" w:hint="default"/>
        </w:rPr>
        <w:t>/</w:t>
      </w:r>
      <w:r>
        <w:rPr/>
        <w:t>股的发行价格非公开发行</w:t>
      </w:r>
      <w:r>
        <w:rPr>
          <w:rFonts w:ascii="宋体" w:hAnsi="宋体" w:cs="宋体" w:eastAsia="宋体" w:hint="default"/>
        </w:rPr>
        <w:t>8,333,333</w:t>
      </w:r>
      <w:r>
        <w:rPr>
          <w:rFonts w:ascii="宋体" w:hAnsi="宋体" w:cs="宋体" w:eastAsia="宋体" w:hint="default"/>
          <w:spacing w:val="-10"/>
        </w:rPr>
        <w:t> </w:t>
      </w:r>
      <w:r>
        <w:rPr>
          <w:rFonts w:ascii="宋体" w:hAnsi="宋体" w:cs="宋体" w:eastAsia="宋体" w:hint="default"/>
          <w:spacing w:val="-10"/>
        </w:rPr>
      </w:r>
      <w:r>
        <w:rPr/>
        <w:t>股（每股面值</w:t>
      </w:r>
      <w:r>
        <w:rPr>
          <w:rFonts w:ascii="宋体" w:hAnsi="宋体" w:cs="宋体" w:eastAsia="宋体" w:hint="default"/>
        </w:rPr>
        <w:t>1</w:t>
      </w:r>
      <w:r>
        <w:rPr/>
        <w:t>元）人民币普通股，本次定向增发股份共计新增公司股本</w:t>
      </w:r>
      <w:r>
        <w:rPr>
          <w:rFonts w:ascii="宋体" w:hAnsi="宋体" w:cs="宋体" w:eastAsia="宋体" w:hint="default"/>
        </w:rPr>
        <w:t>31,774,495</w:t>
      </w:r>
      <w:r>
        <w:rPr/>
        <w:t>股（每股面值</w:t>
      </w:r>
      <w:r>
        <w:rPr>
          <w:rFonts w:ascii="宋体" w:hAnsi="宋体" w:cs="宋体" w:eastAsia="宋体" w:hint="default"/>
        </w:rPr>
        <w:t>1</w:t>
      </w:r>
      <w:r>
        <w:rPr/>
        <w:t>元）。 </w:t>
      </w:r>
      <w:r>
        <w:rPr>
          <w:spacing w:val="-2"/>
        </w:rPr>
        <w:t>公司首期股权激励计划第二个行权期采用自主行权模式，行权期限为</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22</w:t>
      </w:r>
      <w:r>
        <w:rPr>
          <w:spacing w:val="-2"/>
        </w:rPr>
        <w:t>日至</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17</w:t>
      </w:r>
      <w:r>
        <w:rPr>
          <w:spacing w:val="-2"/>
        </w:rPr>
        <w:t>日，行权期内公司股票期</w:t>
      </w:r>
      <w:r>
        <w:rPr>
          <w:spacing w:val="-55"/>
        </w:rPr>
        <w:t> </w:t>
      </w:r>
      <w:r>
        <w:rPr>
          <w:spacing w:val="-55"/>
        </w:rPr>
      </w:r>
      <w:r>
        <w:rPr/>
        <w:t>权激励计划首次授予股票期权第二个行权期累计共行权</w:t>
      </w:r>
      <w:r>
        <w:rPr>
          <w:rFonts w:ascii="宋体" w:hAnsi="宋体" w:cs="宋体" w:eastAsia="宋体" w:hint="default"/>
        </w:rPr>
        <w:t>2,655,000</w:t>
      </w:r>
      <w:r>
        <w:rPr/>
        <w:t>股。 </w:t>
      </w:r>
      <w:r>
        <w:rPr>
          <w:rFonts w:ascii="宋体" w:hAnsi="宋体" w:cs="宋体" w:eastAsia="宋体" w:hint="default"/>
          <w:spacing w:val="6"/>
        </w:rPr>
        <w:t>2015</w:t>
      </w:r>
      <w:r>
        <w:rPr>
          <w:spacing w:val="6"/>
        </w:rPr>
        <w:t>年</w:t>
      </w:r>
      <w:r>
        <w:rPr>
          <w:rFonts w:ascii="宋体" w:hAnsi="宋体" w:cs="宋体" w:eastAsia="宋体" w:hint="default"/>
          <w:spacing w:val="6"/>
        </w:rPr>
        <w:t>5</w:t>
      </w:r>
      <w:r>
        <w:rPr>
          <w:spacing w:val="6"/>
        </w:rPr>
        <w:t>月</w:t>
      </w:r>
      <w:r>
        <w:rPr>
          <w:rFonts w:ascii="宋体" w:hAnsi="宋体" w:cs="宋体" w:eastAsia="宋体" w:hint="default"/>
          <w:spacing w:val="6"/>
        </w:rPr>
        <w:t>15</w:t>
      </w:r>
      <w:r>
        <w:rPr>
          <w:spacing w:val="6"/>
        </w:rPr>
        <w:t>日，公司召开的</w:t>
      </w:r>
      <w:r>
        <w:rPr>
          <w:rFonts w:ascii="宋体" w:hAnsi="宋体" w:cs="宋体" w:eastAsia="宋体" w:hint="default"/>
          <w:spacing w:val="6"/>
        </w:rPr>
        <w:t>2014</w:t>
      </w:r>
      <w:r>
        <w:rPr>
          <w:spacing w:val="6"/>
        </w:rPr>
        <w:t>年度股东大会审议通过《</w:t>
      </w:r>
      <w:r>
        <w:rPr>
          <w:rFonts w:ascii="宋体" w:hAnsi="宋体" w:cs="宋体" w:eastAsia="宋体" w:hint="default"/>
          <w:spacing w:val="6"/>
        </w:rPr>
        <w:t>2014</w:t>
      </w:r>
      <w:r>
        <w:rPr>
          <w:spacing w:val="6"/>
        </w:rPr>
        <w:t>年度利润分配预案》，以</w:t>
      </w:r>
      <w:r>
        <w:rPr>
          <w:rFonts w:ascii="宋体" w:hAnsi="宋体" w:cs="宋体" w:eastAsia="宋体" w:hint="default"/>
          <w:spacing w:val="6"/>
        </w:rPr>
        <w:t>2015</w:t>
      </w:r>
      <w:r>
        <w:rPr>
          <w:spacing w:val="6"/>
        </w:rPr>
        <w:t>年</w:t>
      </w:r>
      <w:r>
        <w:rPr>
          <w:rFonts w:ascii="宋体" w:hAnsi="宋体" w:cs="宋体" w:eastAsia="宋体" w:hint="default"/>
          <w:spacing w:val="6"/>
        </w:rPr>
        <w:t>2</w:t>
      </w:r>
      <w:r>
        <w:rPr>
          <w:spacing w:val="6"/>
        </w:rPr>
        <w:t>月</w:t>
      </w:r>
      <w:r>
        <w:rPr>
          <w:rFonts w:ascii="宋体" w:hAnsi="宋体" w:cs="宋体" w:eastAsia="宋体" w:hint="default"/>
          <w:spacing w:val="6"/>
        </w:rPr>
        <w:t>28</w:t>
      </w:r>
      <w:r>
        <w:rPr>
          <w:spacing w:val="6"/>
        </w:rPr>
        <w:t>日的公司总股本</w:t>
      </w:r>
    </w:p>
    <w:p>
      <w:pPr>
        <w:pStyle w:val="BodyText"/>
        <w:spacing w:line="316" w:lineRule="auto" w:before="19"/>
        <w:ind w:right="1034"/>
        <w:jc w:val="left"/>
      </w:pPr>
      <w:r>
        <w:rPr>
          <w:rFonts w:ascii="宋体" w:hAnsi="宋体" w:cs="宋体" w:eastAsia="宋体" w:hint="default"/>
        </w:rPr>
        <w:t>277,243,495</w:t>
      </w:r>
      <w:r>
        <w:rPr/>
        <w:t>股为基数，向全体股东每</w:t>
      </w:r>
      <w:r>
        <w:rPr>
          <w:rFonts w:ascii="宋体" w:hAnsi="宋体" w:cs="宋体" w:eastAsia="宋体" w:hint="default"/>
        </w:rPr>
        <w:t>10</w:t>
      </w:r>
      <w:r>
        <w:rPr/>
        <w:t>股派</w:t>
      </w:r>
      <w:r>
        <w:rPr>
          <w:rFonts w:ascii="宋体" w:hAnsi="宋体" w:cs="宋体" w:eastAsia="宋体" w:hint="default"/>
        </w:rPr>
        <w:t>1.00</w:t>
      </w:r>
      <w:r>
        <w:rPr/>
        <w:t>元现金；同时，以资本公积向全体股东每</w:t>
      </w:r>
      <w:r>
        <w:rPr>
          <w:rFonts w:ascii="宋体" w:hAnsi="宋体" w:cs="宋体" w:eastAsia="宋体" w:hint="default"/>
        </w:rPr>
        <w:t>10</w:t>
      </w:r>
      <w:r>
        <w:rPr/>
        <w:t>股转增</w:t>
      </w:r>
      <w:r>
        <w:rPr>
          <w:rFonts w:ascii="宋体" w:hAnsi="宋体" w:cs="宋体" w:eastAsia="宋体" w:hint="default"/>
        </w:rPr>
        <w:t>12</w:t>
      </w:r>
      <w:r>
        <w:rPr/>
        <w:t>股。公司分红前总股</w:t>
      </w:r>
      <w:r>
        <w:rPr>
          <w:spacing w:val="-87"/>
        </w:rPr>
        <w:t> </w:t>
      </w:r>
      <w:r>
        <w:rPr/>
        <w:t>本为</w:t>
      </w:r>
      <w:r>
        <w:rPr>
          <w:rFonts w:ascii="宋体" w:hAnsi="宋体" w:cs="宋体" w:eastAsia="宋体" w:hint="default"/>
        </w:rPr>
        <w:t>277,243,495</w:t>
      </w:r>
      <w:r>
        <w:rPr/>
        <w:t>股，分红后总股本增至</w:t>
      </w:r>
      <w:r>
        <w:rPr>
          <w:rFonts w:ascii="宋体" w:hAnsi="宋体" w:cs="宋体" w:eastAsia="宋体" w:hint="default"/>
        </w:rPr>
        <w:t>609,935,689</w:t>
      </w:r>
      <w:r>
        <w:rPr/>
        <w:t>股。 </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15</w:t>
      </w:r>
      <w:r>
        <w:rPr>
          <w:spacing w:val="-2"/>
        </w:rPr>
        <w:t>日，公司取得中国证监会《关于核准银江股份有限公司非公开发行股票的批复》（证监许可</w:t>
      </w:r>
      <w:r>
        <w:rPr>
          <w:rFonts w:ascii="宋体" w:hAnsi="宋体" w:cs="宋体" w:eastAsia="宋体" w:hint="default"/>
          <w:spacing w:val="-2"/>
        </w:rPr>
        <w:t>[2015]845</w:t>
      </w:r>
      <w:r>
        <w:rPr>
          <w:spacing w:val="-2"/>
        </w:rPr>
        <w:t>号），核</w:t>
      </w:r>
      <w:r>
        <w:rPr>
          <w:spacing w:val="-56"/>
        </w:rPr>
        <w:t> </w:t>
      </w:r>
      <w:r>
        <w:rPr>
          <w:spacing w:val="-56"/>
        </w:rPr>
      </w:r>
      <w:r>
        <w:rPr/>
        <w:t>准公司非公开发行不超过</w:t>
      </w:r>
      <w:r>
        <w:rPr>
          <w:rFonts w:ascii="宋体" w:hAnsi="宋体" w:cs="宋体" w:eastAsia="宋体" w:hint="default"/>
        </w:rPr>
        <w:t>5,000</w:t>
      </w:r>
      <w:r>
        <w:rPr/>
        <w:t>万股股票。由于公司于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2</w:t>
      </w:r>
      <w:r>
        <w:rPr/>
        <w:t>日实施了以资本公积每</w:t>
      </w:r>
      <w:r>
        <w:rPr>
          <w:rFonts w:ascii="宋体" w:hAnsi="宋体" w:cs="宋体" w:eastAsia="宋体" w:hint="default"/>
        </w:rPr>
        <w:t>10</w:t>
      </w:r>
      <w:r>
        <w:rPr/>
        <w:t>股转增</w:t>
      </w:r>
      <w:r>
        <w:rPr>
          <w:rFonts w:ascii="宋体" w:hAnsi="宋体" w:cs="宋体" w:eastAsia="宋体" w:hint="default"/>
        </w:rPr>
        <w:t>12</w:t>
      </w:r>
      <w:r>
        <w:rPr/>
        <w:t>股的利润分配方案，本 </w:t>
      </w:r>
      <w:r>
        <w:rPr>
          <w:spacing w:val="-4"/>
        </w:rPr>
        <w:t>次非公开发行股票数量调整为不超过</w:t>
      </w:r>
      <w:r>
        <w:rPr>
          <w:rFonts w:ascii="宋体" w:hAnsi="宋体" w:cs="宋体" w:eastAsia="宋体" w:hint="default"/>
          <w:spacing w:val="-4"/>
        </w:rPr>
        <w:t>11,000</w:t>
      </w:r>
      <w:r>
        <w:rPr>
          <w:spacing w:val="-4"/>
        </w:rPr>
        <w:t>万股（含）。该调整事项已经履行了会后事项程序。根据发行对象申购报价情况，</w:t>
      </w:r>
      <w:r>
        <w:rPr>
          <w:spacing w:val="-36"/>
        </w:rPr>
        <w:t> </w:t>
      </w:r>
      <w:r>
        <w:rPr>
          <w:spacing w:val="-36"/>
        </w:rPr>
      </w:r>
      <w:r>
        <w:rPr>
          <w:spacing w:val="-2"/>
        </w:rPr>
        <w:t>本次非公开发行向财通基金管理有限公司、华安未来资产管理（上海）有限公司、上海基金管理有限公司和云南惠潮投资合</w:t>
      </w:r>
      <w:r>
        <w:rPr>
          <w:spacing w:val="-66"/>
        </w:rPr>
        <w:t> </w:t>
      </w:r>
      <w:r>
        <w:rPr>
          <w:spacing w:val="-66"/>
        </w:rPr>
      </w:r>
      <w:r>
        <w:rPr>
          <w:spacing w:val="-2"/>
        </w:rPr>
        <w:t>伙企业（有限合伙）以</w:t>
      </w:r>
      <w:r>
        <w:rPr>
          <w:rFonts w:ascii="宋体" w:hAnsi="宋体" w:cs="宋体" w:eastAsia="宋体" w:hint="default"/>
          <w:spacing w:val="-2"/>
        </w:rPr>
        <w:t>23</w:t>
      </w:r>
      <w:r>
        <w:rPr>
          <w:spacing w:val="-2"/>
        </w:rPr>
        <w:t>元</w:t>
      </w:r>
      <w:r>
        <w:rPr>
          <w:rFonts w:ascii="宋体" w:hAnsi="宋体" w:cs="宋体" w:eastAsia="宋体" w:hint="default"/>
          <w:spacing w:val="-2"/>
        </w:rPr>
        <w:t>/</w:t>
      </w:r>
      <w:r>
        <w:rPr>
          <w:spacing w:val="-2"/>
        </w:rPr>
        <w:t>股的的发行价格非公开发行</w:t>
      </w:r>
      <w:r>
        <w:rPr>
          <w:rFonts w:ascii="宋体" w:hAnsi="宋体" w:cs="宋体" w:eastAsia="宋体" w:hint="default"/>
          <w:spacing w:val="-2"/>
        </w:rPr>
        <w:t>43,391,304</w:t>
      </w:r>
      <w:r>
        <w:rPr>
          <w:spacing w:val="-2"/>
        </w:rPr>
        <w:t>股（每股面值</w:t>
      </w:r>
      <w:r>
        <w:rPr>
          <w:rFonts w:ascii="宋体" w:hAnsi="宋体" w:cs="宋体" w:eastAsia="宋体" w:hint="default"/>
          <w:spacing w:val="-2"/>
        </w:rPr>
        <w:t>1</w:t>
      </w:r>
      <w:r>
        <w:rPr>
          <w:spacing w:val="-2"/>
        </w:rPr>
        <w:t>元）人民币普通股，本次定向增发股份共</w:t>
      </w:r>
      <w:r>
        <w:rPr>
          <w:spacing w:val="-56"/>
        </w:rPr>
        <w:t> </w:t>
      </w:r>
      <w:r>
        <w:rPr>
          <w:spacing w:val="-56"/>
        </w:rPr>
      </w:r>
      <w:r>
        <w:rPr/>
        <w:t>计新增公司股本</w:t>
      </w:r>
      <w:r>
        <w:rPr>
          <w:rFonts w:ascii="宋体" w:hAnsi="宋体" w:cs="宋体" w:eastAsia="宋体" w:hint="default"/>
        </w:rPr>
        <w:t>43,391,304</w:t>
      </w:r>
      <w:r>
        <w:rPr/>
        <w:t>股（每股面值</w:t>
      </w:r>
      <w:r>
        <w:rPr>
          <w:rFonts w:ascii="宋体" w:hAnsi="宋体" w:cs="宋体" w:eastAsia="宋体" w:hint="default"/>
        </w:rPr>
        <w:t>1</w:t>
      </w:r>
      <w:r>
        <w:rPr/>
        <w:t>元）。 由于亚太安讯未能完成</w:t>
      </w:r>
      <w:r>
        <w:rPr>
          <w:rFonts w:ascii="宋体" w:hAnsi="宋体" w:cs="宋体" w:eastAsia="宋体" w:hint="default"/>
        </w:rPr>
        <w:t>2014</w:t>
      </w:r>
      <w:r>
        <w:rPr/>
        <w:t>年度的承诺业绩，根据公司与其签订的《盈利预测补偿协议》，公司于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17</w:t>
      </w:r>
      <w:r>
        <w:rPr/>
        <w:t>日在中国证</w:t>
      </w:r>
      <w:r>
        <w:rPr>
          <w:spacing w:val="-86"/>
        </w:rPr>
        <w:t> </w:t>
      </w:r>
      <w:r>
        <w:rPr>
          <w:spacing w:val="-86"/>
        </w:rPr>
      </w:r>
      <w:r>
        <w:rPr>
          <w:spacing w:val="2"/>
        </w:rPr>
        <w:t>券登记结算有限责任公司深圳分公司办理完毕原亚太安讯实际控制人李欣所持有的银江股份</w:t>
      </w:r>
      <w:r>
        <w:rPr>
          <w:rFonts w:ascii="宋体" w:hAnsi="宋体" w:cs="宋体" w:eastAsia="宋体" w:hint="default"/>
          <w:spacing w:val="2"/>
        </w:rPr>
        <w:t>5,074,307</w:t>
      </w:r>
      <w:r>
        <w:rPr>
          <w:spacing w:val="2"/>
        </w:rPr>
        <w:t>股回购股份注销手</w:t>
      </w:r>
      <w:r>
        <w:rPr>
          <w:spacing w:val="-45"/>
        </w:rPr>
        <w:t> </w:t>
      </w:r>
      <w:r>
        <w:rPr>
          <w:spacing w:val="-45"/>
        </w:rPr>
      </w:r>
      <w:r>
        <w:rPr/>
        <w:t>续。 </w:t>
      </w:r>
      <w:r>
        <w:rPr>
          <w:spacing w:val="-2"/>
        </w:rPr>
        <w:t>公司首期股权激励计划第三个行权期采用自主行权模式，行权期限为</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26</w:t>
      </w:r>
      <w:r>
        <w:rPr>
          <w:spacing w:val="-2"/>
        </w:rPr>
        <w:t>日起至</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17</w:t>
      </w:r>
      <w:r>
        <w:rPr>
          <w:spacing w:val="-2"/>
        </w:rPr>
        <w:t>日，行权期内公司股票</w:t>
      </w:r>
      <w:r>
        <w:rPr>
          <w:spacing w:val="-55"/>
        </w:rPr>
        <w:t> </w:t>
      </w:r>
      <w:r>
        <w:rPr>
          <w:spacing w:val="-55"/>
        </w:rPr>
      </w:r>
      <w:r>
        <w:rPr/>
        <w:t>期权激励计划首次授予股票期权第二个行权期累计共行权</w:t>
      </w:r>
      <w:r>
        <w:rPr>
          <w:rFonts w:ascii="宋体" w:hAnsi="宋体" w:cs="宋体" w:eastAsia="宋体" w:hint="default"/>
        </w:rPr>
        <w:t>7,536,400</w:t>
      </w:r>
      <w:r>
        <w:rPr/>
        <w:t>股。 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日，本公司股本</w:t>
      </w:r>
      <w:r>
        <w:rPr>
          <w:rFonts w:ascii="宋体" w:hAnsi="宋体" w:cs="宋体" w:eastAsia="宋体" w:hint="default"/>
        </w:rPr>
        <w:t>655,789,086</w:t>
      </w:r>
      <w:r>
        <w:rPr/>
        <w:t>元，累计发行股票</w:t>
      </w:r>
      <w:r>
        <w:rPr>
          <w:rFonts w:ascii="宋体" w:hAnsi="宋体" w:cs="宋体" w:eastAsia="宋体" w:hint="default"/>
        </w:rPr>
        <w:t>655,789,086</w:t>
      </w:r>
      <w:r>
        <w:rPr/>
        <w:t>股。 公司注册地址为浙江省杭州市益乐路</w:t>
      </w:r>
      <w:r>
        <w:rPr>
          <w:rFonts w:ascii="宋体" w:hAnsi="宋体" w:cs="宋体" w:eastAsia="宋体" w:hint="default"/>
        </w:rPr>
        <w:t>223</w:t>
      </w:r>
      <w:r>
        <w:rPr/>
        <w:t>号</w:t>
      </w:r>
      <w:r>
        <w:rPr>
          <w:rFonts w:ascii="宋体" w:hAnsi="宋体" w:cs="宋体" w:eastAsia="宋体" w:hint="default"/>
        </w:rPr>
        <w:t>1</w:t>
      </w:r>
      <w:r>
        <w:rPr/>
        <w:t>幢</w:t>
      </w:r>
      <w:r>
        <w:rPr>
          <w:rFonts w:ascii="宋体" w:hAnsi="宋体" w:cs="宋体" w:eastAsia="宋体" w:hint="default"/>
        </w:rPr>
        <w:t>1</w:t>
      </w:r>
      <w:r>
        <w:rPr/>
        <w:t>层；总部地址为浙江省杭州市西湖区西园八路</w:t>
      </w:r>
      <w:r>
        <w:rPr>
          <w:rFonts w:ascii="宋体" w:hAnsi="宋体" w:cs="宋体" w:eastAsia="宋体" w:hint="default"/>
        </w:rPr>
        <w:t>2</w:t>
      </w:r>
      <w:r>
        <w:rPr/>
        <w:t>号银江软件园。 </w:t>
      </w:r>
      <w:r>
        <w:rPr>
          <w:spacing w:val="-2"/>
        </w:rPr>
        <w:t>本公司经营范围：交通、医疗、建筑、环境、能源、教育智能化及信息化技术开发、技术服务、成果转让、设计，工业自动</w:t>
      </w:r>
      <w:r>
        <w:rPr>
          <w:spacing w:val="-74"/>
        </w:rPr>
        <w:t> </w:t>
      </w:r>
      <w:r>
        <w:rPr>
          <w:spacing w:val="-74"/>
        </w:rPr>
      </w:r>
      <w:r>
        <w:rPr>
          <w:spacing w:val="-2"/>
        </w:rPr>
        <w:t>化工程及产品、电力、电子工程及产品、机电工程及产品的设计、技术开发、技术服务、成果转让，停车服务，城市给排水</w:t>
      </w:r>
      <w:r>
        <w:rPr>
          <w:spacing w:val="-65"/>
        </w:rPr>
        <w:t> </w:t>
      </w:r>
      <w:r>
        <w:rPr>
          <w:spacing w:val="-65"/>
        </w:rPr>
      </w:r>
      <w:r>
        <w:rPr>
          <w:spacing w:val="-2"/>
        </w:rPr>
        <w:t>系统设施的建设、运营、管理，城市地下综合管廊工程的施工、运营、管理，安全技术防范工程的设计、施工、维护，智慧</w:t>
      </w:r>
      <w:r>
        <w:rPr>
          <w:spacing w:val="-68"/>
        </w:rPr>
        <w:t> </w:t>
      </w:r>
      <w:r>
        <w:rPr>
          <w:spacing w:val="-68"/>
        </w:rPr>
      </w:r>
      <w:r>
        <w:rPr>
          <w:spacing w:val="-2"/>
        </w:rPr>
        <w:t>城市信息化的技术研发与咨询服务，计算机系统集成及技术服务，数据处理技术服务，软件开发，电子产品、计算机软硬件</w:t>
      </w:r>
      <w:r>
        <w:rPr>
          <w:spacing w:val="-67"/>
        </w:rPr>
        <w:t> </w:t>
      </w:r>
      <w:r>
        <w:rPr>
          <w:spacing w:val="-67"/>
        </w:rPr>
      </w:r>
      <w:r>
        <w:rPr/>
        <w:t>及设备的销售，从事进出口业务，实业投资。（依法须经批准的项目，经有关部门批准后方可开展经营活动） 本公司及各子公司（以下统称“本集团”）主要从事智慧城市、智慧交通和智慧医疗等领域工程项目的开发、实施和维护。 本财务报表业经公司董事会于</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22</w:t>
      </w:r>
      <w:r>
        <w:rPr/>
        <w:t>日决议批准报出。 </w:t>
      </w:r>
      <w:r>
        <w:rPr>
          <w:spacing w:val="-2"/>
        </w:rPr>
        <w:t>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日，本集团纳入合并范围的子公司共</w:t>
      </w:r>
      <w:r>
        <w:rPr>
          <w:rFonts w:ascii="宋体" w:hAnsi="宋体" w:cs="宋体" w:eastAsia="宋体" w:hint="default"/>
          <w:spacing w:val="-2"/>
        </w:rPr>
        <w:t>34</w:t>
      </w:r>
      <w:r>
        <w:rPr>
          <w:spacing w:val="-2"/>
        </w:rPr>
        <w:t>户，详见本附注九“在其他主体中的权益”。本集团本年度合并范</w:t>
      </w:r>
      <w:r>
        <w:rPr>
          <w:spacing w:val="-63"/>
        </w:rPr>
        <w:t> </w:t>
      </w:r>
      <w:r>
        <w:rPr>
          <w:spacing w:val="-63"/>
        </w:rPr>
      </w:r>
      <w:r>
        <w:rPr/>
        <w:t>围比上年度减少</w:t>
      </w:r>
      <w:r>
        <w:rPr>
          <w:rFonts w:ascii="宋体" w:hAnsi="宋体" w:cs="宋体" w:eastAsia="宋体" w:hint="default"/>
        </w:rPr>
        <w:t>5</w:t>
      </w:r>
      <w:r>
        <w:rPr/>
        <w:t>户，详见本附注八“合并范围的变更”。</w:t>
      </w:r>
    </w:p>
    <w:p>
      <w:pPr>
        <w:spacing w:after="0" w:line="316"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四、财务报表的编制基础" w:id="162"/>
      <w:bookmarkEnd w:id="162"/>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编制基础" w:id="163"/>
      <w:bookmarkEnd w:id="163"/>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4"/>
        <w:jc w:val="left"/>
      </w:pPr>
      <w:r>
        <w:rPr>
          <w:spacing w:val="-5"/>
        </w:rPr>
        <w:t>本集团财务报表以持续经营假设为基础，根据实际发生的交易和事项，按照财政部发布的《企业会计准则——基本准则》（财</w:t>
      </w:r>
      <w:r>
        <w:rPr>
          <w:spacing w:val="-79"/>
        </w:rPr>
        <w:t> </w:t>
      </w:r>
      <w:r>
        <w:rPr>
          <w:spacing w:val="-79"/>
        </w:rPr>
      </w:r>
      <w:r>
        <w:rPr/>
        <w:t>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日及其后颁布和修订的</w:t>
      </w:r>
      <w:r>
        <w:rPr>
          <w:rFonts w:ascii="宋体" w:hAnsi="宋体" w:cs="宋体" w:eastAsia="宋体" w:hint="default"/>
        </w:rPr>
        <w:t>42</w:t>
      </w:r>
      <w:r>
        <w:rPr/>
        <w:t>项具体会计准则、企业会计准则应用</w:t>
      </w:r>
      <w:r>
        <w:rPr>
          <w:spacing w:val="-87"/>
        </w:rPr>
        <w:t> </w:t>
      </w:r>
      <w:r>
        <w:rPr>
          <w:spacing w:val="-87"/>
        </w:rPr>
      </w:r>
      <w:r>
        <w:rPr>
          <w:spacing w:val="-2"/>
        </w:rPr>
        <w:t>指南、企业会计准则解释及其他相关规定（以下合称“企业会计准则”），以及中国证券监督管理委员会《公开发行证券的</w:t>
      </w:r>
      <w:r>
        <w:rPr>
          <w:spacing w:val="-70"/>
        </w:rPr>
        <w:t> </w:t>
      </w:r>
      <w:r>
        <w:rPr>
          <w:spacing w:val="-70"/>
        </w:rPr>
      </w:r>
      <w:r>
        <w:rPr/>
        <w:t>公司信息披露编报规则第</w:t>
      </w:r>
      <w:r>
        <w:rPr>
          <w:rFonts w:ascii="宋体" w:hAnsi="宋体" w:cs="宋体" w:eastAsia="宋体" w:hint="default"/>
        </w:rPr>
        <w:t>15</w:t>
      </w:r>
      <w:r>
        <w:rPr/>
        <w:t>号——财务报告的一般规定（</w:t>
      </w:r>
      <w:r>
        <w:rPr>
          <w:rFonts w:ascii="宋体" w:hAnsi="宋体" w:cs="宋体" w:eastAsia="宋体" w:hint="default"/>
        </w:rPr>
        <w:t>2014</w:t>
      </w:r>
      <w:r>
        <w:rPr/>
        <w:t>年修订）》的披露规定编制。 </w:t>
      </w:r>
      <w:r>
        <w:rPr>
          <w:spacing w:val="-2"/>
        </w:rPr>
        <w:t>根据企业会计准则的相关规定，本集团会计核算以权责发生制为基础。除某些金融工具外，本财务报表均以历史成本为计量</w:t>
      </w:r>
      <w:r>
        <w:rPr>
          <w:spacing w:val="-62"/>
        </w:rPr>
        <w:t> </w:t>
      </w:r>
      <w:r>
        <w:rPr>
          <w:spacing w:val="-62"/>
        </w:rPr>
      </w:r>
      <w:r>
        <w:rPr/>
        <w:t>基础。资产如果发生减值，则按照相关规定计提相应的减值准备。</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持续经营" w:id="164"/>
      <w:bookmarkEnd w:id="164"/>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公司评价了自</w:t>
      </w:r>
      <w:r>
        <w:rPr>
          <w:rFonts w:ascii="Times New Roman" w:hAnsi="Times New Roman" w:cs="Times New Roman" w:eastAsia="Times New Roman" w:hint="default"/>
        </w:rPr>
        <w:t>2019</w:t>
      </w:r>
      <w:r>
        <w:rPr/>
        <w:t>年末起</w:t>
      </w:r>
      <w:r>
        <w:rPr>
          <w:rFonts w:ascii="Times New Roman" w:hAnsi="Times New Roman" w:cs="Times New Roman" w:eastAsia="Times New Roman" w:hint="default"/>
        </w:rPr>
        <w:t>12</w:t>
      </w:r>
      <w:r>
        <w:rPr/>
        <w:t>个月的持续经营能力，评价结果表明未对持续经营能力产生重大怀疑，能够持续经营。</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五、重要会计政策及会计估计" w:id="165"/>
      <w:bookmarkEnd w:id="165"/>
      <w:r>
        <w:rPr>
          <w:b w:val="0"/>
          <w:bCs w:val="0"/>
        </w:rPr>
      </w: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0"/>
        <w:jc w:val="left"/>
      </w:pPr>
      <w:r>
        <w:rPr/>
        <w:t>具体会计政策和会计估计提示： </w:t>
      </w:r>
      <w:r>
        <w:rPr>
          <w:spacing w:val="-2"/>
        </w:rPr>
        <w:t>本集团根据实际生产经营特点，依据相关企业会计准则的规定，对收入确认、建造合同完工百分比确定、研究开发支出等交</w:t>
      </w:r>
      <w:r>
        <w:rPr>
          <w:spacing w:val="-64"/>
        </w:rPr>
        <w:t> </w:t>
      </w:r>
      <w:r>
        <w:rPr>
          <w:spacing w:val="-64"/>
        </w:rPr>
      </w:r>
      <w:r>
        <w:rPr>
          <w:spacing w:val="-2"/>
        </w:rPr>
        <w:t>易和事项制定了若干项具体会计政策和会计估计，详见本附注五、</w:t>
      </w:r>
      <w:r>
        <w:rPr>
          <w:rFonts w:ascii="宋体" w:hAnsi="宋体" w:cs="宋体" w:eastAsia="宋体" w:hint="default"/>
          <w:spacing w:val="-2"/>
        </w:rPr>
        <w:t>39</w:t>
      </w:r>
      <w:r>
        <w:rPr>
          <w:spacing w:val="-2"/>
        </w:rPr>
        <w:t>“收入”、附注五、</w:t>
      </w:r>
      <w:r>
        <w:rPr>
          <w:rFonts w:ascii="宋体" w:hAnsi="宋体" w:cs="宋体" w:eastAsia="宋体" w:hint="default"/>
          <w:spacing w:val="-2"/>
        </w:rPr>
        <w:t>30</w:t>
      </w:r>
      <w:r>
        <w:rPr>
          <w:spacing w:val="-2"/>
        </w:rPr>
        <w:t>“无形资产”各项描述。关于管</w:t>
      </w:r>
    </w:p>
    <w:p>
      <w:pPr>
        <w:pStyle w:val="BodyText"/>
        <w:spacing w:line="240" w:lineRule="auto" w:before="2"/>
        <w:ind w:right="1133"/>
        <w:jc w:val="left"/>
      </w:pPr>
      <w:r>
        <w:rPr/>
        <w:t>理层所作出的重大会计判断和估计的说明，请参阅附注五、</w:t>
      </w:r>
      <w:r>
        <w:rPr>
          <w:rFonts w:ascii="宋体" w:hAnsi="宋体" w:cs="宋体" w:eastAsia="宋体" w:hint="default"/>
        </w:rPr>
        <w:t>43</w:t>
      </w:r>
      <w:r>
        <w:rPr/>
        <w:t>“其他重要的会计政策和会计估计”。</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遵循企业会计准则的声明" w:id="166"/>
      <w:bookmarkEnd w:id="166"/>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1"/>
        <w:jc w:val="both"/>
      </w:pPr>
      <w:r>
        <w:rPr>
          <w:spacing w:val="-2"/>
        </w:rPr>
        <w:t>本公司及本集团编制的财务报表符合企业会计准则的要求，真实、完整地反映了本公司及本集团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日的财务状况</w:t>
      </w:r>
      <w:r>
        <w:rPr>
          <w:spacing w:val="-58"/>
        </w:rPr>
        <w:t> </w:t>
      </w:r>
      <w:r>
        <w:rPr>
          <w:spacing w:val="-58"/>
        </w:rPr>
      </w:r>
      <w:r>
        <w:rPr>
          <w:spacing w:val="-2"/>
        </w:rPr>
        <w:t>及</w:t>
      </w:r>
      <w:r>
        <w:rPr>
          <w:rFonts w:ascii="宋体" w:hAnsi="宋体" w:cs="宋体" w:eastAsia="宋体" w:hint="default"/>
          <w:spacing w:val="-2"/>
        </w:rPr>
        <w:t>2019</w:t>
      </w:r>
      <w:r>
        <w:rPr>
          <w:spacing w:val="-2"/>
        </w:rPr>
        <w:t>年度的经营成果和现金流量等有关信息。此外，本公司及本集团的财务报表在所有重大方面符合中国证券监督管理委</w:t>
      </w:r>
      <w:r>
        <w:rPr>
          <w:spacing w:val="-62"/>
        </w:rPr>
        <w:t> </w:t>
      </w:r>
      <w:r>
        <w:rPr>
          <w:spacing w:val="-62"/>
        </w:rPr>
      </w:r>
      <w:r>
        <w:rPr>
          <w:spacing w:val="-2"/>
        </w:rPr>
        <w:t>员会</w:t>
      </w:r>
      <w:r>
        <w:rPr>
          <w:rFonts w:ascii="宋体" w:hAnsi="宋体" w:cs="宋体" w:eastAsia="宋体" w:hint="default"/>
          <w:spacing w:val="-2"/>
        </w:rPr>
        <w:t>2014</w:t>
      </w:r>
      <w:r>
        <w:rPr>
          <w:spacing w:val="-2"/>
        </w:rPr>
        <w:t>年修订的《公开发行证券的公司信息披露编报规则第</w:t>
      </w:r>
      <w:r>
        <w:rPr>
          <w:rFonts w:ascii="宋体" w:hAnsi="宋体" w:cs="宋体" w:eastAsia="宋体" w:hint="default"/>
          <w:spacing w:val="-2"/>
        </w:rPr>
        <w:t>15</w:t>
      </w:r>
      <w:r>
        <w:rPr>
          <w:spacing w:val="-2"/>
        </w:rPr>
        <w:t>号－财务报告的一般规定》有关财务报表及其附注的披露要</w:t>
      </w:r>
      <w:r>
        <w:rPr>
          <w:spacing w:val="-61"/>
        </w:rPr>
        <w:t> </w:t>
      </w:r>
      <w:r>
        <w:rPr>
          <w:spacing w:val="-61"/>
        </w:rPr>
      </w:r>
      <w:r>
        <w:rPr/>
        <w:t>求。</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会计期间" w:id="167"/>
      <w:bookmarkEnd w:id="167"/>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本集团的会计期间分为年度和中期，会计中期指短于一个完整的会计年度的报告期间。本集团会计年度采用公历年度，即每</w:t>
      </w:r>
      <w:r>
        <w:rPr>
          <w:spacing w:val="-62"/>
        </w:rPr>
        <w:t> </w:t>
      </w:r>
      <w:r>
        <w:rPr>
          <w:spacing w:val="-62"/>
        </w:rPr>
      </w:r>
      <w:r>
        <w:rPr/>
        <w:t>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3、营业周期" w:id="168"/>
      <w:bookmarkEnd w:id="168"/>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正常营业周期是指本集团从购买用于加工的资产起至实现现金或现金等价物的期间。本集团以</w:t>
      </w:r>
      <w:r>
        <w:rPr>
          <w:rFonts w:ascii="宋体" w:hAnsi="宋体" w:cs="宋体" w:eastAsia="宋体" w:hint="default"/>
          <w:spacing w:val="-2"/>
        </w:rPr>
        <w:t>12</w:t>
      </w:r>
      <w:r>
        <w:rPr>
          <w:spacing w:val="-2"/>
        </w:rPr>
        <w:t>个月作为一个营业周期，并</w:t>
      </w:r>
      <w:r>
        <w:rPr>
          <w:spacing w:val="-62"/>
        </w:rPr>
        <w:t> </w:t>
      </w:r>
      <w:r>
        <w:rPr>
          <w:spacing w:val="-62"/>
        </w:rPr>
      </w:r>
      <w:r>
        <w:rPr/>
        <w:t>以其作为资产和负债的流动性划分标准。</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4、记账本位币" w:id="169"/>
      <w:bookmarkEnd w:id="169"/>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人民币为本公司及境内子公司经营所处的主要经济环境中的货币，本公司及境内子公司以人民币为记账本位币。本集团编制</w:t>
      </w:r>
      <w:r>
        <w:rPr>
          <w:spacing w:val="-64"/>
        </w:rPr>
        <w:t> </w:t>
      </w:r>
      <w:r>
        <w:rPr>
          <w:spacing w:val="-64"/>
        </w:rPr>
      </w:r>
      <w:r>
        <w:rPr/>
        <w:t>本财务报表时所采用的货币为人民币。</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5、同一控制下和非同一控制下企业合并的会计处理方法" w:id="170"/>
      <w:bookmarkEnd w:id="170"/>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jc w:val="left"/>
      </w:pPr>
      <w:r>
        <w:rPr>
          <w:spacing w:val="-2"/>
        </w:rPr>
        <w:t>企业合并，是指将两个或两个以上单独的企业合并形成一个报告主体的交易或事项。企业合并分为同一控制下企业合并和非</w:t>
      </w:r>
      <w:r>
        <w:rPr>
          <w:spacing w:val="-63"/>
        </w:rPr>
        <w:t> </w:t>
      </w:r>
      <w:r>
        <w:rPr>
          <w:spacing w:val="-63"/>
        </w:rPr>
      </w:r>
      <w:r>
        <w:rPr/>
        <w:t>同一控制下企业合并。</w:t>
      </w:r>
    </w:p>
    <w:p>
      <w:pPr>
        <w:pStyle w:val="BodyText"/>
        <w:spacing w:line="316" w:lineRule="auto" w:before="19"/>
        <w:ind w:right="0"/>
        <w:jc w:val="left"/>
      </w:pPr>
      <w:r>
        <w:rPr>
          <w:rFonts w:ascii="宋体" w:hAnsi="宋体" w:cs="宋体" w:eastAsia="宋体" w:hint="default"/>
        </w:rPr>
        <w:t>1.</w:t>
      </w:r>
      <w:r>
        <w:rPr/>
        <w:t>同一控制下企业合并 </w:t>
      </w:r>
      <w:r>
        <w:rPr>
          <w:spacing w:val="-2"/>
        </w:rPr>
        <w:t>参与合并的企业在合并前后均受同一方或相同的多方最终控制，且该控制并非暂时性的，为同一控制下的企业合并。同一控</w:t>
      </w:r>
      <w:r>
        <w:rPr>
          <w:spacing w:val="-65"/>
        </w:rPr>
        <w:t> </w:t>
      </w:r>
      <w:r>
        <w:rPr>
          <w:spacing w:val="-65"/>
        </w:rPr>
      </w:r>
      <w:r>
        <w:rPr>
          <w:spacing w:val="-2"/>
        </w:rPr>
        <w:t>制下的企业合并，在合并日取得对其他参与合并企业控制权的一方为合并方，参与合并的其他企业为被合并方。合并日，是</w:t>
      </w:r>
      <w:r>
        <w:rPr>
          <w:spacing w:val="-64"/>
        </w:rPr>
        <w:t> </w:t>
      </w:r>
      <w:r>
        <w:rPr>
          <w:spacing w:val="-64"/>
        </w:rPr>
      </w:r>
      <w:r>
        <w:rPr/>
        <w:t>指合并方实际取得对被合并方控制权的日期。 </w:t>
      </w:r>
      <w:r>
        <w:rPr>
          <w:spacing w:val="-2"/>
        </w:rPr>
        <w:t>合并方取得的资产和负债均按合并日在被合并方的账面价值计量。合并方取得的净资产账面价值与支付的合并对价账面价值</w:t>
      </w:r>
    </w:p>
    <w:p>
      <w:pPr>
        <w:pStyle w:val="BodyText"/>
        <w:spacing w:line="316" w:lineRule="auto" w:before="19"/>
        <w:ind w:right="1394"/>
        <w:jc w:val="left"/>
      </w:pPr>
      <w:r>
        <w:rPr/>
        <w:t>（或发行股份面值总额）的差额，调整资本公积（股本溢价）；资本公积（股本溢价）不足以冲减的，调整留存收益。 合并方为进行企业合并发生的各项直接费用，于发生时计入当期损益。</w:t>
      </w:r>
    </w:p>
    <w:p>
      <w:pPr>
        <w:pStyle w:val="BodyText"/>
        <w:spacing w:line="316" w:lineRule="auto" w:before="19"/>
        <w:ind w:right="1034"/>
        <w:jc w:val="left"/>
      </w:pPr>
      <w:r>
        <w:rPr>
          <w:rFonts w:ascii="宋体" w:hAnsi="宋体" w:cs="宋体" w:eastAsia="宋体" w:hint="default"/>
        </w:rPr>
        <w:t>2.</w:t>
      </w:r>
      <w:r>
        <w:rPr/>
        <w:t>非同一控制下企业合并 参与合并的企业在合并前后不受同一方或相同的多方最终控制的，为非同一控制下的企业合并。非同一控制下的企业合并， </w:t>
      </w:r>
      <w:r>
        <w:rPr>
          <w:spacing w:val="-2"/>
        </w:rPr>
        <w:t>在购买日取得对其他参与合并企业控制权的一方为购买方，参与合并的其他企业为被购买方。购买日，是指为购买方实际取</w:t>
      </w:r>
      <w:r>
        <w:rPr>
          <w:spacing w:val="-66"/>
        </w:rPr>
        <w:t> </w:t>
      </w:r>
      <w:r>
        <w:rPr>
          <w:spacing w:val="-66"/>
        </w:rPr>
      </w:r>
      <w:r>
        <w:rPr/>
        <w:t>得对被购买方控制权的日期。 </w:t>
      </w:r>
      <w:r>
        <w:rPr>
          <w:spacing w:val="-2"/>
        </w:rPr>
        <w:t>对于非同一控制下的企业合并，合并成本包含购买日购买方为取得对被购买方的控制权而付出的资产、发生或承担的负债以</w:t>
      </w:r>
      <w:r>
        <w:rPr>
          <w:spacing w:val="-62"/>
        </w:rPr>
        <w:t> </w:t>
      </w:r>
      <w:r>
        <w:rPr>
          <w:spacing w:val="-62"/>
        </w:rPr>
      </w:r>
      <w:r>
        <w:rPr>
          <w:spacing w:val="-2"/>
        </w:rPr>
        <w:t>及发行的权益性证券的公允价值，为企业合并发生的审计、法律服务、评估咨询等中介费用以及其他管理费用于发生时计入</w:t>
      </w:r>
      <w:r>
        <w:rPr>
          <w:spacing w:val="-65"/>
        </w:rPr>
        <w:t> </w:t>
      </w:r>
      <w:r>
        <w:rPr>
          <w:spacing w:val="-65"/>
        </w:rPr>
      </w:r>
      <w:r>
        <w:rPr>
          <w:spacing w:val="-4"/>
        </w:rPr>
        <w:t>当期损益。购买方作为合并对价发行的权益性证券或债务性证券的交易费用，计入权益性证券或债务性证券的初始确认金额。</w:t>
      </w:r>
      <w:r>
        <w:rPr>
          <w:spacing w:val="-44"/>
        </w:rPr>
        <w:t> </w:t>
      </w:r>
      <w:r>
        <w:rPr>
          <w:spacing w:val="-44"/>
        </w:rPr>
      </w:r>
      <w:r>
        <w:rPr>
          <w:spacing w:val="-2"/>
        </w:rPr>
        <w:t>所涉及的或有对价按其在购买日的公允价值计入合并成本，购买日后</w:t>
      </w:r>
      <w:r>
        <w:rPr>
          <w:rFonts w:ascii="宋体" w:hAnsi="宋体" w:cs="宋体" w:eastAsia="宋体" w:hint="default"/>
          <w:spacing w:val="-2"/>
        </w:rPr>
        <w:t>12</w:t>
      </w:r>
      <w:r>
        <w:rPr>
          <w:spacing w:val="-2"/>
        </w:rPr>
        <w:t>个月内出现对购买日已存在情况的新的或进一步证据</w:t>
      </w:r>
      <w:r>
        <w:rPr>
          <w:spacing w:val="-62"/>
        </w:rPr>
        <w:t> </w:t>
      </w:r>
      <w:r>
        <w:rPr>
          <w:spacing w:val="-62"/>
        </w:rPr>
      </w:r>
      <w:r>
        <w:rPr>
          <w:spacing w:val="-2"/>
        </w:rPr>
        <w:t>而需要调整或有对价的，相应调整合并商誉。购买方发生的合并成本及在合并中取得的可辨认净资产按购买日的公允价值计</w:t>
      </w:r>
      <w:r>
        <w:rPr>
          <w:spacing w:val="-64"/>
        </w:rPr>
        <w:t> </w:t>
      </w:r>
      <w:r>
        <w:rPr>
          <w:spacing w:val="-64"/>
        </w:rPr>
      </w:r>
      <w:r>
        <w:rPr>
          <w:spacing w:val="-2"/>
        </w:rPr>
        <w:t>量。合并成本大于合并中取得的被购买方于购买日可辨认净资产公允价值份额的差额，确认为商誉。合并成本小于合并中取</w:t>
      </w:r>
      <w:r>
        <w:rPr>
          <w:spacing w:val="-62"/>
        </w:rPr>
        <w:t> </w:t>
      </w:r>
      <w:r>
        <w:rPr>
          <w:spacing w:val="-62"/>
        </w:rPr>
      </w:r>
      <w:r>
        <w:rPr>
          <w:spacing w:val="-2"/>
        </w:rPr>
        <w:t>得的被购买方可辨认净资产公允价值份额的，首先对取得的被购买方各项可辨认资产、负债及或有负债的公允价值以及合并</w:t>
      </w:r>
      <w:r>
        <w:rPr>
          <w:spacing w:val="-64"/>
        </w:rPr>
        <w:t> </w:t>
      </w:r>
      <w:r>
        <w:rPr>
          <w:spacing w:val="-64"/>
        </w:rPr>
      </w:r>
      <w:r>
        <w:rPr/>
        <w:t>成本的计量进行复核，复核后合并成本仍小于合并中取得的被购买方可辨认净资产公允价值份额的，其差额计入当期损益。 </w:t>
      </w:r>
      <w:r>
        <w:rPr>
          <w:spacing w:val="-4"/>
        </w:rPr>
        <w:t>购买方取得被购买方的可抵扣暂时性差异，在购买日因不符合递延所得税资产确认条件而未予确认的，在购买日后</w:t>
      </w:r>
      <w:r>
        <w:rPr>
          <w:rFonts w:ascii="宋体" w:hAnsi="宋体" w:cs="宋体" w:eastAsia="宋体" w:hint="default"/>
          <w:spacing w:val="-4"/>
        </w:rPr>
        <w:t>12</w:t>
      </w:r>
      <w:r>
        <w:rPr>
          <w:spacing w:val="-4"/>
        </w:rPr>
        <w:t>个月内，</w:t>
      </w:r>
      <w:r>
        <w:rPr>
          <w:spacing w:val="-39"/>
        </w:rPr>
        <w:t> </w:t>
      </w:r>
      <w:r>
        <w:rPr>
          <w:spacing w:val="-39"/>
        </w:rPr>
      </w:r>
      <w:r>
        <w:rPr>
          <w:spacing w:val="-2"/>
        </w:rPr>
        <w:t>如取得新的或进一步的信息表明购买日的相关情况已经存在，预期被购买方在购买日可抵扣暂时性差异带来的经济利益能够</w:t>
      </w:r>
      <w:r>
        <w:rPr>
          <w:spacing w:val="-64"/>
        </w:rPr>
        <w:t> </w:t>
      </w:r>
      <w:r>
        <w:rPr>
          <w:spacing w:val="-64"/>
        </w:rPr>
      </w:r>
      <w:r>
        <w:rPr>
          <w:spacing w:val="-2"/>
        </w:rPr>
        <w:t>实现的，则确认相关的递延所得税资产，同时减少商誉，商誉不足冲减的，差额部分确认为当期损益；除上述情况以外，确</w:t>
      </w:r>
      <w:r>
        <w:rPr>
          <w:spacing w:val="-69"/>
        </w:rPr>
        <w:t> </w:t>
      </w:r>
      <w:r>
        <w:rPr>
          <w:spacing w:val="-69"/>
        </w:rPr>
      </w:r>
      <w:r>
        <w:rPr/>
        <w:t>认与企业合并相关的递延所得税资产的，计入当期损益。 通过多次交易分步实现的非同一控制下企业合并，根据《财政部关于印发企业会计准则解释第</w:t>
      </w:r>
      <w:r>
        <w:rPr>
          <w:rFonts w:ascii="宋体" w:hAnsi="宋体" w:cs="宋体" w:eastAsia="宋体" w:hint="default"/>
        </w:rPr>
        <w:t>5</w:t>
      </w:r>
      <w:r>
        <w:rPr/>
        <w:t>号的通知》（财会〔</w:t>
      </w:r>
      <w:r>
        <w:rPr>
          <w:rFonts w:ascii="宋体" w:hAnsi="宋体" w:cs="宋体" w:eastAsia="宋体" w:hint="default"/>
        </w:rPr>
        <w:t>2012</w:t>
      </w:r>
      <w:r>
        <w:rPr/>
        <w:t>〕</w:t>
      </w:r>
      <w:r>
        <w:rPr>
          <w:spacing w:val="-83"/>
        </w:rPr>
        <w:t> </w:t>
      </w:r>
      <w:r>
        <w:rPr>
          <w:rFonts w:ascii="宋体" w:hAnsi="宋体" w:cs="宋体" w:eastAsia="宋体" w:hint="default"/>
        </w:rPr>
        <w:t>19</w:t>
      </w:r>
      <w:r>
        <w:rPr/>
        <w:t>号）和《企业会计准则第</w:t>
      </w:r>
      <w:r>
        <w:rPr>
          <w:rFonts w:ascii="宋体" w:hAnsi="宋体" w:cs="宋体" w:eastAsia="宋体" w:hint="default"/>
        </w:rPr>
        <w:t>33</w:t>
      </w:r>
      <w:r>
        <w:rPr/>
        <w:t>号——合并财务报表》第五十一条关于“一揽子交易”的判断标准（参见本附注五、</w:t>
      </w:r>
      <w:r>
        <w:rPr>
          <w:rFonts w:ascii="宋体" w:hAnsi="宋体" w:cs="宋体" w:eastAsia="宋体" w:hint="default"/>
        </w:rPr>
        <w:t>6</w:t>
      </w:r>
      <w:r>
        <w:rPr/>
        <w:t>“合并</w:t>
      </w:r>
      <w:r>
        <w:rPr>
          <w:spacing w:val="-85"/>
        </w:rPr>
        <w:t> </w:t>
      </w:r>
      <w:r>
        <w:rPr/>
        <w:t>财务报表的编制方法”（</w:t>
      </w:r>
      <w:r>
        <w:rPr>
          <w:rFonts w:ascii="宋体" w:hAnsi="宋体" w:cs="宋体" w:eastAsia="宋体" w:hint="default"/>
        </w:rPr>
        <w:t>2</w:t>
      </w:r>
      <w:r>
        <w:rPr/>
        <w:t>）），判断该多次交易是否属于“一揽子交易”。属于“一揽子交易”的，参考本部分前面各段</w:t>
      </w:r>
      <w:r>
        <w:rPr>
          <w:spacing w:val="-84"/>
        </w:rPr>
        <w:t> </w:t>
      </w:r>
      <w:r>
        <w:rPr>
          <w:spacing w:val="-84"/>
        </w:rPr>
      </w:r>
      <w:r>
        <w:rPr>
          <w:spacing w:val="-2"/>
        </w:rPr>
        <w:t>描述及本附注五、</w:t>
      </w:r>
      <w:r>
        <w:rPr>
          <w:rFonts w:ascii="宋体" w:hAnsi="宋体" w:cs="宋体" w:eastAsia="宋体" w:hint="default"/>
          <w:spacing w:val="-2"/>
        </w:rPr>
        <w:t>22</w:t>
      </w:r>
      <w:r>
        <w:rPr>
          <w:spacing w:val="-2"/>
        </w:rPr>
        <w:t>“长期股权投资”进行会计处理；不属于“一揽子交易”的，区分个别财务报表和合并财务报表进行相</w:t>
      </w:r>
      <w:r>
        <w:rPr>
          <w:spacing w:val="-67"/>
        </w:rPr>
        <w:t> </w:t>
      </w:r>
      <w:r>
        <w:rPr>
          <w:spacing w:val="-67"/>
        </w:rPr>
      </w:r>
      <w:r>
        <w:rPr/>
        <w:t>关会计处理： </w:t>
      </w:r>
      <w:r>
        <w:rPr>
          <w:spacing w:val="-2"/>
        </w:rPr>
        <w:t>在个别财务报表中，以购买日之前所持被购买方的股权投资的账面价值与购买日新增投资成本之和，作为该项投资的初始投</w:t>
      </w:r>
      <w:r>
        <w:rPr>
          <w:spacing w:val="-64"/>
        </w:rPr>
        <w:t> </w:t>
      </w:r>
      <w:r>
        <w:rPr>
          <w:spacing w:val="-64"/>
        </w:rPr>
      </w:r>
      <w:r>
        <w:rPr>
          <w:spacing w:val="-2"/>
        </w:rPr>
        <w:t>资成本；购买日之前持有的被购买方的股权涉及其他综合收益的，在处置该项投资时将与其相关的其他综合收益采用与被购</w:t>
      </w:r>
      <w:r>
        <w:rPr>
          <w:spacing w:val="-64"/>
        </w:rPr>
        <w:t> </w:t>
      </w:r>
      <w:r>
        <w:rPr>
          <w:spacing w:val="-64"/>
        </w:rPr>
      </w:r>
      <w:r>
        <w:rPr/>
        <w:t>买方直接处置相关资产或负债相同的基础进行会计处理。 </w:t>
      </w:r>
      <w:r>
        <w:rPr>
          <w:spacing w:val="-2"/>
        </w:rPr>
        <w:t>在合并财务报表中，对于购买日之前持有的被购买方的股权，按照该股权在购买日的公允价值进行重新计量，公允价值与其</w:t>
      </w:r>
      <w:r>
        <w:rPr>
          <w:spacing w:val="-63"/>
        </w:rPr>
        <w:t> </w:t>
      </w:r>
      <w:r>
        <w:rPr>
          <w:spacing w:val="-63"/>
        </w:rPr>
      </w:r>
      <w:r>
        <w:rPr>
          <w:spacing w:val="-2"/>
        </w:rPr>
        <w:t>账面价值的差额计入当期投资收益；购买日之前持有的被购买方的股权涉及其他综合收益的，与其相关的其他综合收益应当</w:t>
      </w:r>
      <w:r>
        <w:rPr>
          <w:spacing w:val="-63"/>
        </w:rPr>
        <w:t> </w:t>
      </w:r>
      <w:r>
        <w:rPr>
          <w:spacing w:val="-63"/>
        </w:rPr>
      </w:r>
      <w:r>
        <w:rPr/>
        <w:t>采用与被购买方直接处置相关资产或负债相同的基础进行会计处理。</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6、合并财务报表的编制方法" w:id="171"/>
      <w:bookmarkEnd w:id="171"/>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rFonts w:ascii="宋体" w:hAnsi="宋体" w:cs="宋体" w:eastAsia="宋体" w:hint="default"/>
        </w:rPr>
        <w:t>1.</w:t>
      </w:r>
      <w:r>
        <w:rPr/>
        <w:t>合并财务报表范围的确定原则 </w:t>
      </w:r>
      <w:r>
        <w:rPr>
          <w:spacing w:val="-2"/>
        </w:rPr>
        <w:t>合并财务报表的合并范围以控制为基础予以确定。控制是指本集团拥有对被投资方的权力，通过参与被投资方的相关活动而</w:t>
      </w:r>
      <w:r>
        <w:rPr>
          <w:spacing w:val="-64"/>
        </w:rPr>
        <w:t> </w:t>
      </w:r>
      <w:r>
        <w:rPr>
          <w:spacing w:val="-64"/>
        </w:rPr>
      </w:r>
      <w:r>
        <w:rPr>
          <w:spacing w:val="-2"/>
        </w:rPr>
        <w:t>享有可变回报，并且有能力运用对被投资方的权力影响该回报金额。合并范围包括本公司及全部子公司。子公司，是指被本</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2834"/>
        <w:jc w:val="left"/>
      </w:pPr>
      <w:r>
        <w:rPr/>
        <w:t>集团控制的主体。 一旦相关事实和情况的变化导致上述控制定义涉及的相关要素发生了变化，本集团将进行重新评估。 </w:t>
      </w:r>
      <w:r>
        <w:rPr>
          <w:rFonts w:ascii="宋体" w:hAnsi="宋体" w:cs="宋体" w:eastAsia="宋体" w:hint="default"/>
        </w:rPr>
        <w:t>2.</w:t>
      </w:r>
      <w:r>
        <w:rPr/>
        <w:t>合并财务报表编制的方法</w:t>
      </w:r>
    </w:p>
    <w:p>
      <w:pPr>
        <w:pStyle w:val="BodyText"/>
        <w:spacing w:line="316" w:lineRule="auto" w:before="17"/>
        <w:ind w:right="1119"/>
        <w:jc w:val="left"/>
      </w:pPr>
      <w:r>
        <w:rPr>
          <w:spacing w:val="-2"/>
        </w:rPr>
        <w:t>从取得子公司的净资产和生产经营决策的实际控制权之日起，本集团开始将其纳入合并范围；从丧失实际控制权之日起停止</w:t>
      </w:r>
      <w:r>
        <w:rPr>
          <w:spacing w:val="-64"/>
        </w:rPr>
        <w:t> </w:t>
      </w:r>
      <w:r>
        <w:rPr>
          <w:spacing w:val="-64"/>
        </w:rPr>
      </w:r>
      <w:r>
        <w:rPr>
          <w:spacing w:val="-2"/>
        </w:rPr>
        <w:t>纳入合并范围。对于处置的子公司，处置日前的经营成果和现金流量已经适当地包括在合并利润表和合并现金流量表中；当</w:t>
      </w:r>
      <w:r>
        <w:rPr>
          <w:spacing w:val="-63"/>
        </w:rPr>
        <w:t> </w:t>
      </w:r>
      <w:r>
        <w:rPr>
          <w:spacing w:val="-63"/>
        </w:rPr>
      </w:r>
      <w:r>
        <w:rPr>
          <w:spacing w:val="-2"/>
        </w:rPr>
        <w:t>期处置的子公司，不调整合并资产负债表的期初数。非同一控制下企业合并增加的子公司，其购买日后的经营成果及现金流</w:t>
      </w:r>
      <w:r>
        <w:rPr>
          <w:spacing w:val="-63"/>
        </w:rPr>
        <w:t> </w:t>
      </w:r>
      <w:r>
        <w:rPr>
          <w:spacing w:val="-63"/>
        </w:rPr>
      </w:r>
      <w:r>
        <w:rPr>
          <w:spacing w:val="-2"/>
        </w:rPr>
        <w:t>量已经适当地包括在合并利润表和合并现金流量表中，且不调整合并财务报表的期初数和对比数。同一控制下企业合并增加</w:t>
      </w:r>
      <w:r>
        <w:rPr>
          <w:spacing w:val="-64"/>
        </w:rPr>
        <w:t> </w:t>
      </w:r>
      <w:r>
        <w:rPr>
          <w:spacing w:val="-64"/>
        </w:rPr>
      </w:r>
      <w:r>
        <w:rPr>
          <w:spacing w:val="-2"/>
        </w:rPr>
        <w:t>的子公司，其自合并当期期初至合并日的经营成果和现金流量已经适当地包括在合并利润表和合并现金流量表中，并且同时</w:t>
      </w:r>
      <w:r>
        <w:rPr>
          <w:spacing w:val="-63"/>
        </w:rPr>
        <w:t> </w:t>
      </w:r>
      <w:r>
        <w:rPr>
          <w:spacing w:val="-63"/>
        </w:rPr>
      </w:r>
      <w:r>
        <w:rPr/>
        <w:t>调整合并财务报表的对比数。 </w:t>
      </w:r>
      <w:r>
        <w:rPr>
          <w:spacing w:val="-2"/>
        </w:rPr>
        <w:t>在编制合并财务报表时，子公司与本公司采用的会计政策或会计期间不一致的，按照本公司的会计政策和会计期间对子公司</w:t>
      </w:r>
      <w:r>
        <w:rPr>
          <w:spacing w:val="-64"/>
        </w:rPr>
        <w:t> </w:t>
      </w:r>
      <w:r>
        <w:rPr>
          <w:spacing w:val="-64"/>
        </w:rPr>
      </w:r>
      <w:r>
        <w:rPr>
          <w:spacing w:val="-2"/>
        </w:rPr>
        <w:t>财务报表进行必要的调整。对于非同一控制下企业合并取得的子公司，以购买日可辨认净资产公允价值为基础对其财务报表</w:t>
      </w:r>
      <w:r>
        <w:rPr>
          <w:spacing w:val="-64"/>
        </w:rPr>
        <w:t> </w:t>
      </w:r>
      <w:r>
        <w:rPr>
          <w:spacing w:val="-64"/>
        </w:rPr>
      </w:r>
      <w:r>
        <w:rPr/>
        <w:t>进行调整。</w:t>
      </w:r>
    </w:p>
    <w:p>
      <w:pPr>
        <w:pStyle w:val="BodyText"/>
        <w:spacing w:line="316" w:lineRule="auto" w:before="19"/>
        <w:ind w:right="1124"/>
        <w:jc w:val="left"/>
      </w:pPr>
      <w:r>
        <w:rPr/>
        <w:t>集团内所有重大往来余额、交易及未实现利润在合并财务报表编制时予以抵销。 子公司的股东权益及当期净损益中不属于本公司所拥有的部分分别作为少数股东权益及少数股东损益在合并财务报表中股</w:t>
      </w:r>
      <w:r>
        <w:rPr>
          <w:spacing w:val="-11"/>
        </w:rPr>
        <w:t> </w:t>
      </w:r>
      <w:r>
        <w:rPr>
          <w:spacing w:val="-11"/>
        </w:rPr>
      </w:r>
      <w:r>
        <w:rPr>
          <w:spacing w:val="-2"/>
        </w:rPr>
        <w:t>东权益及净利润项下单独列示。子公司当期净损益中属于少数股东权益的份额，在合并利润表中净利润项目下以“少数股东</w:t>
      </w:r>
      <w:r>
        <w:rPr>
          <w:spacing w:val="-61"/>
        </w:rPr>
        <w:t> </w:t>
      </w:r>
      <w:r>
        <w:rPr>
          <w:spacing w:val="-61"/>
        </w:rPr>
      </w:r>
      <w:r>
        <w:rPr>
          <w:spacing w:val="-2"/>
        </w:rPr>
        <w:t>损益”项目列示。少数股东分担的子公司的亏损超过了少数股东在该子公司期初股东权益中所享有的份额，仍冲减少数股东</w:t>
      </w:r>
      <w:r>
        <w:rPr>
          <w:spacing w:val="-66"/>
        </w:rPr>
        <w:t> </w:t>
      </w:r>
      <w:r>
        <w:rPr>
          <w:spacing w:val="-66"/>
        </w:rPr>
      </w:r>
      <w:r>
        <w:rPr/>
        <w:t>权益。 </w:t>
      </w:r>
      <w:r>
        <w:rPr>
          <w:spacing w:val="-2"/>
        </w:rPr>
        <w:t>当因处置部分股权投资或其他原因丧失了对原有子公司的控制权时，对于剩余股权，按照其在丧失控制权日的公允价值进行</w:t>
      </w:r>
      <w:r>
        <w:rPr>
          <w:spacing w:val="-64"/>
        </w:rPr>
        <w:t> </w:t>
      </w:r>
      <w:r>
        <w:rPr>
          <w:spacing w:val="-64"/>
        </w:rPr>
      </w:r>
      <w:r>
        <w:rPr>
          <w:spacing w:val="-2"/>
        </w:rPr>
        <w:t>重新计量。处置股权取得的对价与剩余股权公允价值之和，减去按原持股比例计算应享有原有子公司自购买日开始持续计算</w:t>
      </w:r>
      <w:r>
        <w:rPr>
          <w:spacing w:val="-64"/>
        </w:rPr>
        <w:t> </w:t>
      </w:r>
      <w:r>
        <w:rPr>
          <w:spacing w:val="-64"/>
        </w:rPr>
      </w:r>
      <w:r>
        <w:rPr>
          <w:spacing w:val="-2"/>
        </w:rPr>
        <w:t>的净资产的份额之间的差额，计入丧失控制权当期的投资收益。与原有子公司股权投资相关的其他综合收益，在丧失控制权</w:t>
      </w:r>
      <w:r>
        <w:rPr>
          <w:spacing w:val="-63"/>
        </w:rPr>
        <w:t> </w:t>
      </w:r>
      <w:r>
        <w:rPr>
          <w:spacing w:val="-63"/>
        </w:rPr>
      </w:r>
      <w:r>
        <w:rPr>
          <w:spacing w:val="-2"/>
        </w:rPr>
        <w:t>时采用与被购买方直接处置相关资产或负债相同的基础进行会计处理（即，除了在该原有子公司重新计量设定受益计划净负</w:t>
      </w:r>
      <w:r>
        <w:rPr>
          <w:spacing w:val="-64"/>
        </w:rPr>
        <w:t> </w:t>
      </w:r>
      <w:r>
        <w:rPr>
          <w:spacing w:val="-64"/>
        </w:rPr>
      </w:r>
      <w:r>
        <w:rPr/>
        <w:t>债或净资产导致的变动以外，其余一并转为当期投资收益）。其后，对该部分剩余股权按照《企业会计准则第</w:t>
      </w:r>
      <w:r>
        <w:rPr>
          <w:rFonts w:ascii="宋体" w:hAnsi="宋体" w:cs="宋体" w:eastAsia="宋体" w:hint="default"/>
        </w:rPr>
        <w:t>2</w:t>
      </w:r>
      <w:r>
        <w:rPr/>
        <w:t>号——长期</w:t>
      </w:r>
      <w:r>
        <w:rPr>
          <w:spacing w:val="-82"/>
        </w:rPr>
        <w:t> </w:t>
      </w:r>
      <w:r>
        <w:rPr>
          <w:spacing w:val="-2"/>
        </w:rPr>
        <w:t>股权投资》或《企业会计准则第</w:t>
      </w:r>
      <w:r>
        <w:rPr>
          <w:rFonts w:ascii="宋体" w:hAnsi="宋体" w:cs="宋体" w:eastAsia="宋体" w:hint="default"/>
          <w:spacing w:val="-2"/>
        </w:rPr>
        <w:t>22</w:t>
      </w:r>
      <w:r>
        <w:rPr>
          <w:spacing w:val="-2"/>
        </w:rPr>
        <w:t>号——金融工具确认和计量》等相关规定进行后续计量，详见本附注五、</w:t>
      </w:r>
      <w:r>
        <w:rPr>
          <w:rFonts w:ascii="宋体" w:hAnsi="宋体" w:cs="宋体" w:eastAsia="宋体" w:hint="default"/>
          <w:spacing w:val="-2"/>
        </w:rPr>
        <w:t>22</w:t>
      </w:r>
      <w:r>
        <w:rPr>
          <w:spacing w:val="-2"/>
        </w:rPr>
        <w:t>“长期股权投</w:t>
      </w:r>
      <w:r>
        <w:rPr>
          <w:spacing w:val="-64"/>
        </w:rPr>
        <w:t> </w:t>
      </w:r>
      <w:r>
        <w:rPr/>
        <w:t>资”或本附注五、</w:t>
      </w:r>
      <w:r>
        <w:rPr>
          <w:rFonts w:ascii="宋体" w:hAnsi="宋体" w:cs="宋体" w:eastAsia="宋体" w:hint="default"/>
        </w:rPr>
        <w:t>10</w:t>
      </w:r>
      <w:r>
        <w:rPr/>
        <w:t>“金融工具”。 </w:t>
      </w:r>
      <w:r>
        <w:rPr>
          <w:spacing w:val="-2"/>
        </w:rPr>
        <w:t>本集团通过多次交易分步处置对子公司股权投资直至丧失控制权的，需区分处置对子公司股权投资直至丧失控制权的各项交</w:t>
      </w:r>
      <w:r>
        <w:rPr>
          <w:spacing w:val="-64"/>
        </w:rPr>
        <w:t> </w:t>
      </w:r>
      <w:r>
        <w:rPr>
          <w:spacing w:val="-64"/>
        </w:rPr>
      </w:r>
      <w:r>
        <w:rPr>
          <w:spacing w:val="-2"/>
        </w:rPr>
        <w:t>易是否属于一揽子交易。处置对子公司股权投资的各项交易的条款、条件以及经济影响符合以下一种或多种情况，通常表明</w:t>
      </w:r>
      <w:r>
        <w:rPr>
          <w:spacing w:val="-62"/>
        </w:rPr>
        <w:t> </w:t>
      </w:r>
      <w:r>
        <w:rPr>
          <w:spacing w:val="-62"/>
        </w:rPr>
      </w:r>
      <w:r>
        <w:rPr>
          <w:spacing w:val="-2"/>
        </w:rPr>
        <w:t>应将多次交易事项作为一揽子交易进行会计处理：①这些交易是同时或者在考虑了彼此影响的情况下订立的；②这些交易整</w:t>
      </w:r>
      <w:r>
        <w:rPr>
          <w:spacing w:val="-64"/>
        </w:rPr>
        <w:t> </w:t>
      </w:r>
      <w:r>
        <w:rPr>
          <w:spacing w:val="-64"/>
        </w:rPr>
      </w:r>
      <w:r>
        <w:rPr>
          <w:spacing w:val="-2"/>
        </w:rPr>
        <w:t>体才能达成一项完整的商业结果；③一项交易的发生取决于其他至少一项交易的发生；④一项交易单独看是不经济的，但是</w:t>
      </w:r>
      <w:r>
        <w:rPr>
          <w:spacing w:val="-63"/>
        </w:rPr>
        <w:t> </w:t>
      </w:r>
      <w:r>
        <w:rPr>
          <w:spacing w:val="-63"/>
        </w:rPr>
      </w:r>
      <w:r>
        <w:rPr>
          <w:spacing w:val="-2"/>
        </w:rPr>
        <w:t>和其他交易一并考虑时是经济的。不属于一揽子交易的，对其中的每一项交易视情况分别按照“不丧失控制权的情况下部分</w:t>
      </w:r>
      <w:r>
        <w:rPr>
          <w:spacing w:val="-64"/>
        </w:rPr>
        <w:t> </w:t>
      </w:r>
      <w:r>
        <w:rPr>
          <w:spacing w:val="-64"/>
        </w:rPr>
      </w:r>
      <w:r>
        <w:rPr/>
        <w:t>处置对子公司的长期股权投资”（详见本附注五、</w:t>
      </w:r>
      <w:r>
        <w:rPr>
          <w:rFonts w:ascii="宋体" w:hAnsi="宋体" w:cs="宋体" w:eastAsia="宋体" w:hint="default"/>
        </w:rPr>
        <w:t>22</w:t>
      </w:r>
      <w:r>
        <w:rPr/>
        <w:t>“长期股权投资”（</w:t>
      </w:r>
      <w:r>
        <w:rPr>
          <w:rFonts w:ascii="宋体" w:hAnsi="宋体" w:cs="宋体" w:eastAsia="宋体" w:hint="default"/>
        </w:rPr>
        <w:t>2</w:t>
      </w:r>
      <w:r>
        <w:rPr/>
        <w:t>）④）和“因处置部分股权投资或其他原因丧失</w:t>
      </w:r>
      <w:r>
        <w:rPr>
          <w:spacing w:val="-84"/>
        </w:rPr>
        <w:t> </w:t>
      </w:r>
      <w:r>
        <w:rPr>
          <w:spacing w:val="-84"/>
        </w:rPr>
      </w:r>
      <w:r>
        <w:rPr>
          <w:spacing w:val="-2"/>
        </w:rPr>
        <w:t>了对原有子公司的控制权”（详见前段）适用的原则进行会计处理。处置对子公司股权投资直至丧失控制权的各项交易属于</w:t>
      </w:r>
      <w:r>
        <w:rPr>
          <w:spacing w:val="-64"/>
        </w:rPr>
        <w:t> </w:t>
      </w:r>
      <w:r>
        <w:rPr>
          <w:spacing w:val="-64"/>
        </w:rPr>
      </w:r>
      <w:r>
        <w:rPr>
          <w:spacing w:val="-2"/>
        </w:rPr>
        <w:t>一揽子交易的，将各项交易作为一项处置子公司并丧失控制权的交易进行会计处理；但是，在丧失控制权之前每一次处置价</w:t>
      </w:r>
      <w:r>
        <w:rPr>
          <w:spacing w:val="-63"/>
        </w:rPr>
        <w:t> </w:t>
      </w:r>
      <w:r>
        <w:rPr>
          <w:spacing w:val="-63"/>
        </w:rPr>
      </w:r>
      <w:r>
        <w:rPr>
          <w:spacing w:val="-2"/>
        </w:rPr>
        <w:t>款与处置投资对应的享有该子公司净资产份额的差额，在合并财务报表中确认为其他综合收益，在丧失控制权时一并转入丧</w:t>
      </w:r>
      <w:r>
        <w:rPr>
          <w:spacing w:val="-64"/>
        </w:rPr>
        <w:t> </w:t>
      </w:r>
      <w:r>
        <w:rPr>
          <w:spacing w:val="-64"/>
        </w:rPr>
      </w:r>
      <w:r>
        <w:rPr/>
        <w:t>失控制权当期的损益。</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7、合营安排分类及共同经营会计处理方法" w:id="172"/>
      <w:bookmarkEnd w:id="172"/>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合营安排，是指一项由两个或两个以上的参与方共同控制的安排。本集团根据在合营安排中享有的权利和承担的义务，将合</w:t>
      </w:r>
      <w:r>
        <w:rPr>
          <w:spacing w:val="-63"/>
        </w:rPr>
        <w:t> </w:t>
      </w:r>
      <w:r>
        <w:rPr>
          <w:spacing w:val="-63"/>
        </w:rPr>
      </w:r>
      <w:r>
        <w:rPr>
          <w:spacing w:val="-4"/>
        </w:rPr>
        <w:t>营安排分为共同经营和合营企业。共同经营，是指本集团享有该安排相关资产且承担该安排相关负债的合营安排。合营企业，</w:t>
      </w:r>
      <w:r>
        <w:rPr>
          <w:spacing w:val="-43"/>
        </w:rPr>
        <w:t> </w:t>
      </w:r>
      <w:r>
        <w:rPr>
          <w:spacing w:val="-43"/>
        </w:rPr>
      </w:r>
      <w:r>
        <w:rPr/>
        <w:t>是指本集团仅对该安排的净资产享有权利的合营安排。 本集团对合营企业的投资采用权益法核算，按照本附注五、</w:t>
      </w:r>
      <w:r>
        <w:rPr>
          <w:rFonts w:ascii="宋体" w:hAnsi="宋体" w:cs="宋体" w:eastAsia="宋体" w:hint="default"/>
        </w:rPr>
        <w:t>22</w:t>
      </w:r>
      <w:r>
        <w:rPr/>
        <w:t>“长期股权投资”（</w:t>
      </w:r>
      <w:r>
        <w:rPr>
          <w:rFonts w:ascii="宋体" w:hAnsi="宋体" w:cs="宋体" w:eastAsia="宋体" w:hint="default"/>
        </w:rPr>
        <w:t>2</w:t>
      </w:r>
      <w:r>
        <w:rPr/>
        <w:t>）②“权益法核算的长期股权投资”中</w:t>
      </w:r>
      <w:r>
        <w:rPr>
          <w:spacing w:val="-83"/>
        </w:rPr>
        <w:t> </w:t>
      </w:r>
      <w:r>
        <w:rPr>
          <w:spacing w:val="-83"/>
        </w:rPr>
      </w:r>
      <w:r>
        <w:rPr/>
        <w:t>所述的会计政策处理。 </w:t>
      </w:r>
      <w:r>
        <w:rPr>
          <w:spacing w:val="-2"/>
        </w:rPr>
        <w:t>本集团作为合营方对共同经营，确认本集团单独持有的资产、单独所承担的负债，以及按本集团份额确认共同持有的资产和</w:t>
      </w:r>
      <w:r>
        <w:rPr>
          <w:spacing w:val="-66"/>
        </w:rPr>
        <w:t> </w:t>
      </w:r>
      <w:r>
        <w:rPr>
          <w:spacing w:val="-66"/>
        </w:rPr>
      </w:r>
      <w:r>
        <w:rPr>
          <w:spacing w:val="-2"/>
        </w:rPr>
        <w:t>共同承担的负债；确认出售本集团享有的共同经营产出份额所产生的收入；按本集团份额确认共同经营因出售产出所产生的</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4"/>
        <w:jc w:val="left"/>
      </w:pPr>
      <w:r>
        <w:rPr/>
        <w:t>收入；确认本集团单独所发生的费用，以及按本集团份额确认共同经营发生的费用。 </w:t>
      </w:r>
      <w:r>
        <w:rPr>
          <w:spacing w:val="-2"/>
        </w:rPr>
        <w:t>当本集团作为合营方向共同经营投出或出售资产（该资产不构成业务，下同）、或者自共同经营购买资产时，在该等资产出</w:t>
      </w:r>
      <w:r>
        <w:rPr>
          <w:spacing w:val="-65"/>
        </w:rPr>
        <w:t> </w:t>
      </w:r>
      <w:r>
        <w:rPr>
          <w:spacing w:val="-65"/>
        </w:rPr>
      </w:r>
      <w:r>
        <w:rPr>
          <w:spacing w:val="-2"/>
        </w:rPr>
        <w:t>售给第三方之前，本集团仅确认因该交易产生的损益中归属于共同经营其他参与方的部分。该等资产发生符合《企业会计准</w:t>
      </w:r>
      <w:r>
        <w:rPr>
          <w:spacing w:val="-66"/>
        </w:rPr>
        <w:t> </w:t>
      </w:r>
      <w:r>
        <w:rPr>
          <w:spacing w:val="-66"/>
        </w:rPr>
      </w:r>
      <w:r>
        <w:rPr/>
        <w:t>则第</w:t>
      </w:r>
      <w:r>
        <w:rPr>
          <w:rFonts w:ascii="宋体" w:hAnsi="宋体" w:cs="宋体" w:eastAsia="宋体" w:hint="default"/>
        </w:rPr>
        <w:t>8</w:t>
      </w:r>
      <w:r>
        <w:rPr/>
        <w:t>号——资产减值》等规定的资产减值损失的，对于由本集团向共同经营投出或出售资产的情况，本集团全额确认该损</w:t>
      </w:r>
      <w:r>
        <w:rPr>
          <w:spacing w:val="-85"/>
        </w:rPr>
        <w:t> </w:t>
      </w:r>
      <w:r>
        <w:rPr>
          <w:spacing w:val="-85"/>
        </w:rPr>
      </w:r>
      <w:r>
        <w:rPr/>
        <w:t>失；对于本集团自共同经营购买资产的情况，本集团按承担的份额确认该损失。</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8、现金及现金等价物的确定标准" w:id="173"/>
      <w:bookmarkEnd w:id="173"/>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本集团现金及现金等价物包括库存现金、可以随时用于支付的存款以及本集团持有的期限短（一般为从购买日起三个月内到</w:t>
      </w:r>
      <w:r>
        <w:rPr>
          <w:spacing w:val="-63"/>
        </w:rPr>
        <w:t> </w:t>
      </w:r>
      <w:r>
        <w:rPr>
          <w:spacing w:val="-63"/>
        </w:rPr>
      </w:r>
      <w:r>
        <w:rPr/>
        <w:t>期）、流动性强、易于转换为已知金额现金、价值变动风险很小的投资。</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9、外币业务和外币报表折算" w:id="174"/>
      <w:bookmarkEnd w:id="174"/>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19"/>
        <w:jc w:val="left"/>
      </w:pPr>
      <w:r>
        <w:rPr>
          <w:rFonts w:ascii="宋体" w:hAnsi="宋体" w:cs="宋体" w:eastAsia="宋体" w:hint="default"/>
        </w:rPr>
        <w:t>1.</w:t>
      </w:r>
      <w:r>
        <w:rPr/>
        <w:t>外币交易的折算方法 </w:t>
      </w:r>
      <w:r>
        <w:rPr>
          <w:spacing w:val="-2"/>
        </w:rPr>
        <w:t>本集团发生的外币交易在初始确认时，按交易日的即期汇率（通常指中国人民银行公布的当日外汇牌价的中间价，下同）折</w:t>
      </w:r>
      <w:r>
        <w:rPr>
          <w:spacing w:val="-64"/>
        </w:rPr>
        <w:t> </w:t>
      </w:r>
      <w:r>
        <w:rPr>
          <w:spacing w:val="-64"/>
        </w:rPr>
      </w:r>
      <w:r>
        <w:rPr>
          <w:spacing w:val="-2"/>
        </w:rPr>
        <w:t>算为记账本位币金额，但本集团发生的外币兑换业务或涉及外币兑换的交易事项，按照实际采用的汇率折算为记账本位币金</w:t>
      </w:r>
      <w:r>
        <w:rPr>
          <w:spacing w:val="-64"/>
        </w:rPr>
        <w:t> </w:t>
      </w:r>
      <w:r>
        <w:rPr>
          <w:spacing w:val="-64"/>
        </w:rPr>
      </w:r>
      <w:r>
        <w:rPr/>
        <w:t>额。</w:t>
      </w:r>
    </w:p>
    <w:p>
      <w:pPr>
        <w:pStyle w:val="BodyText"/>
        <w:spacing w:line="316" w:lineRule="auto" w:before="19"/>
        <w:ind w:right="0"/>
        <w:jc w:val="left"/>
      </w:pPr>
      <w:r>
        <w:rPr>
          <w:rFonts w:ascii="宋体" w:hAnsi="宋体" w:cs="宋体" w:eastAsia="宋体"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资产负债表日，对于外币货币性项目采用资产负债表日即期汇率折算，由此产生的汇兑差额，除：①属于与购建符合资本化</w:t>
      </w:r>
      <w:r>
        <w:rPr>
          <w:spacing w:val="-62"/>
        </w:rPr>
        <w:t> </w:t>
      </w:r>
      <w:r>
        <w:rPr>
          <w:spacing w:val="-62"/>
        </w:rPr>
      </w:r>
      <w:r>
        <w:rPr>
          <w:spacing w:val="-2"/>
        </w:rPr>
        <w:t>条件的资产相关的外币专门借款产生的汇兑差额按照借款费用资本化的原则处理；②以及可供出售的外币货币性项目除摊余</w:t>
      </w:r>
      <w:r>
        <w:rPr>
          <w:spacing w:val="-64"/>
        </w:rPr>
        <w:t> </w:t>
      </w:r>
      <w:r>
        <w:rPr>
          <w:spacing w:val="-64"/>
        </w:rPr>
      </w:r>
      <w:r>
        <w:rPr/>
        <w:t>成本之外的其他账面余额变动产生的汇兑差额计入其他综合收益之外，均计入当期损益。 </w:t>
      </w:r>
      <w:r>
        <w:rPr>
          <w:spacing w:val="-2"/>
        </w:rPr>
        <w:t>以历史成本计量的外币非货币性项目，仍采用交易发生日的即期汇率折算的记账本位币金额计量。以公允价值计量的外币非</w:t>
      </w:r>
      <w:r>
        <w:rPr>
          <w:spacing w:val="-64"/>
        </w:rPr>
        <w:t> </w:t>
      </w:r>
      <w:r>
        <w:rPr>
          <w:spacing w:val="-64"/>
        </w:rPr>
      </w:r>
      <w:r>
        <w:rPr>
          <w:spacing w:val="-2"/>
        </w:rPr>
        <w:t>货币性项目，采用公允价值确定日的即期汇率折算，折算后的记账本位币金额与原记账本位币金额的差额，作为公允价值变</w:t>
      </w:r>
      <w:r>
        <w:rPr>
          <w:spacing w:val="-63"/>
        </w:rPr>
        <w:t> </w:t>
      </w:r>
      <w:r>
        <w:rPr>
          <w:spacing w:val="-63"/>
        </w:rPr>
      </w:r>
      <w:r>
        <w:rPr/>
        <w:t>动（含汇率变动）处理，计入当期损益或确认为其他综合收益。</w:t>
      </w:r>
    </w:p>
    <w:p>
      <w:pPr>
        <w:pStyle w:val="BodyText"/>
        <w:spacing w:line="316" w:lineRule="auto" w:before="19"/>
        <w:ind w:right="1034"/>
        <w:jc w:val="left"/>
      </w:pPr>
      <w:r>
        <w:rPr>
          <w:rFonts w:ascii="宋体" w:hAnsi="宋体" w:cs="宋体" w:eastAsia="宋体" w:hint="default"/>
        </w:rPr>
        <w:t>3.</w:t>
      </w:r>
      <w:r>
        <w:rPr/>
        <w:t>外币财务报表的折算方法 </w:t>
      </w:r>
      <w:r>
        <w:rPr>
          <w:spacing w:val="-2"/>
        </w:rPr>
        <w:t>境外经营的外币财务报表按以下方法折算为人民币报表：资产负债表中的资产和负债项目，采用资产负债表日的即期汇率折</w:t>
      </w:r>
      <w:r>
        <w:rPr>
          <w:spacing w:val="-64"/>
        </w:rPr>
        <w:t> </w:t>
      </w:r>
      <w:r>
        <w:rPr>
          <w:spacing w:val="-64"/>
        </w:rPr>
      </w:r>
      <w:r>
        <w:rPr>
          <w:spacing w:val="-2"/>
        </w:rPr>
        <w:t>算；股东权益类项目除“未分配利润”项目外，其他项目采用发生时的即期汇率折算。利润表中的收入和费用项目，采用交</w:t>
      </w:r>
      <w:r>
        <w:rPr>
          <w:spacing w:val="-67"/>
        </w:rPr>
        <w:t> </w:t>
      </w:r>
      <w:r>
        <w:rPr>
          <w:spacing w:val="-67"/>
        </w:rPr>
      </w:r>
      <w:r>
        <w:rPr>
          <w:spacing w:val="-2"/>
        </w:rPr>
        <w:t>易发生日的即期汇率折算。年初未分配利润为上一年折算后的年末未分配利润；期末未分配利润按折算后的利润分配各项目</w:t>
      </w:r>
      <w:r>
        <w:rPr>
          <w:spacing w:val="-64"/>
        </w:rPr>
        <w:t> </w:t>
      </w:r>
      <w:r>
        <w:rPr>
          <w:spacing w:val="-64"/>
        </w:rPr>
      </w:r>
      <w:r>
        <w:rPr>
          <w:spacing w:val="-4"/>
        </w:rPr>
        <w:t>计算列示；折算后资产类项目与负债类项目和股东权益类项目合计数的差额，作为外币报表折算差额，确认为其他综合收益。</w:t>
      </w:r>
      <w:r>
        <w:rPr>
          <w:spacing w:val="-44"/>
        </w:rPr>
        <w:t> </w:t>
      </w:r>
      <w:r>
        <w:rPr>
          <w:spacing w:val="-44"/>
        </w:rPr>
      </w:r>
      <w:r>
        <w:rPr>
          <w:spacing w:val="-2"/>
        </w:rPr>
        <w:t>处置境外经营并丧失控制权时，将资产负债表中股东权益项目下列示的、与该境外经营相关的外币报表折算差额，全部或按</w:t>
      </w:r>
      <w:r>
        <w:rPr>
          <w:spacing w:val="-62"/>
        </w:rPr>
        <w:t> </w:t>
      </w:r>
      <w:r>
        <w:rPr>
          <w:spacing w:val="-62"/>
        </w:rPr>
      </w:r>
      <w:r>
        <w:rPr/>
        <w:t>处置该境外经营的比例转入处置当期损益。 外币现金流量，采用现金流量发生日的即期汇率折算。汇率变动对现金的影响额作为调节项目，在现金流量表中单独列报。 年初数和上年实际数按照上年财务报表折算后的数额列示。 </w:t>
      </w:r>
      <w:r>
        <w:rPr>
          <w:spacing w:val="-2"/>
        </w:rPr>
        <w:t>在处置本集团在境外经营的全部所有者权益或因处置部分股权投资或其他原因丧失了对境外经营控制权时，将资产负债表中</w:t>
      </w:r>
      <w:r>
        <w:rPr>
          <w:spacing w:val="-64"/>
        </w:rPr>
        <w:t> </w:t>
      </w:r>
      <w:r>
        <w:rPr>
          <w:spacing w:val="-64"/>
        </w:rPr>
      </w:r>
      <w:r>
        <w:rPr/>
        <w:t>股东权益项目下列示的、与该境外经营相关的归属于母公司所有者权益的外币报表折算差额，全部转入处置当期损益。 </w:t>
      </w:r>
      <w:r>
        <w:rPr>
          <w:spacing w:val="-2"/>
        </w:rPr>
        <w:t>在处置部分股权投资或其他原因导致持有境外经营权益比例降低但不丧失对境外经营控制权时，与该境外经营处置部分相关</w:t>
      </w:r>
      <w:r>
        <w:rPr>
          <w:spacing w:val="-63"/>
        </w:rPr>
        <w:t> </w:t>
      </w:r>
      <w:r>
        <w:rPr>
          <w:spacing w:val="-63"/>
        </w:rPr>
      </w:r>
      <w:r>
        <w:rPr>
          <w:spacing w:val="-2"/>
        </w:rPr>
        <w:t>的外币报表折算差额将归属于少数股东权益，不转入当期损益。在处置境外经营为联营企业或合营企业的部分股权时，与该</w:t>
      </w:r>
      <w:r>
        <w:rPr>
          <w:spacing w:val="-63"/>
        </w:rPr>
        <w:t> </w:t>
      </w:r>
      <w:r>
        <w:rPr>
          <w:spacing w:val="-63"/>
        </w:rPr>
      </w:r>
      <w:r>
        <w:rPr/>
        <w:t>境外经营相关的外币报表折算差额，按处置该境外经营的比例转入处置当期损益。 </w:t>
      </w:r>
      <w:r>
        <w:rPr>
          <w:spacing w:val="-2"/>
        </w:rPr>
        <w:t>如有实质上构成对境外经营净投资的外币货币性项目，在合并财务报表中，其因汇率变动而产生的汇兑差额，作为“外币报</w:t>
      </w:r>
      <w:r>
        <w:rPr>
          <w:spacing w:val="-62"/>
        </w:rPr>
        <w:t> </w:t>
      </w:r>
      <w:r>
        <w:rPr>
          <w:spacing w:val="-62"/>
        </w:rPr>
      </w:r>
      <w:r>
        <w:rPr/>
        <w:t>表折算差额”确认为其他综合收益；处置境外经营时，计入处置当期损益。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10、金融工具" w:id="175"/>
      <w:bookmarkEnd w:id="175"/>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5354"/>
        <w:jc w:val="left"/>
      </w:pPr>
      <w:r>
        <w:rPr/>
        <w:t>一、金融工具 在本集团成为金融工具合同的一方时确认一项金融资产或金融负债。</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0"/>
        <w:jc w:val="left"/>
      </w:pPr>
      <w:r>
        <w:rPr>
          <w:rFonts w:ascii="宋体" w:hAnsi="宋体" w:cs="宋体" w:eastAsia="宋体" w:hint="default"/>
        </w:rPr>
        <w:t>1.</w:t>
      </w:r>
      <w:r>
        <w:rPr/>
        <w:t>金融资产的分类、确认和计量 </w:t>
      </w:r>
      <w:r>
        <w:rPr>
          <w:spacing w:val="-2"/>
        </w:rPr>
        <w:t>本集团根据管理金融资产的业务模式和金融资产的合同现金流量特征，将金融资产划分为：以摊余成本计量的金融资产；以</w:t>
      </w:r>
      <w:r>
        <w:rPr>
          <w:spacing w:val="-63"/>
        </w:rPr>
        <w:t> </w:t>
      </w:r>
      <w:r>
        <w:rPr>
          <w:spacing w:val="-63"/>
        </w:rPr>
      </w:r>
      <w:r>
        <w:rPr/>
        <w:t>公允价值计量且其变动计入其他综合收益的金融资产；以公允价值计量且其变动计入当期损益的金融资产。 </w:t>
      </w:r>
      <w:r>
        <w:rPr>
          <w:spacing w:val="-2"/>
        </w:rPr>
        <w:t>金融资产在初始确认时以公允价值计量。对于以公允价值计量且其变动计入当期损益的金融资产，相关交易费用直接计入当</w:t>
      </w:r>
      <w:r>
        <w:rPr>
          <w:spacing w:val="-64"/>
        </w:rPr>
        <w:t> </w:t>
      </w:r>
      <w:r>
        <w:rPr>
          <w:spacing w:val="-64"/>
        </w:rPr>
      </w:r>
      <w:r>
        <w:rPr>
          <w:spacing w:val="-2"/>
        </w:rPr>
        <w:t>期损益；对于其他类别的金融资产，相关交易费用计入初始确认金额。因销售产品或提供劳务而产生的、未包含或不考虑重</w:t>
      </w:r>
      <w:r>
        <w:rPr>
          <w:spacing w:val="-65"/>
        </w:rPr>
        <w:t> </w:t>
      </w:r>
      <w:r>
        <w:rPr>
          <w:spacing w:val="-65"/>
        </w:rPr>
      </w:r>
      <w:r>
        <w:rPr/>
        <w:t>大融资成分的应收账款或应收票据，本集团按照预期有权收取的对价金额作为初始确认金额。</w:t>
      </w:r>
    </w:p>
    <w:p>
      <w:pPr>
        <w:pStyle w:val="BodyText"/>
        <w:spacing w:line="316" w:lineRule="auto" w:before="19"/>
        <w:ind w:right="0"/>
        <w:jc w:val="left"/>
      </w:pPr>
      <w:r>
        <w:rPr/>
        <w:t>①以摊余成本计量的金融资产 </w:t>
      </w:r>
      <w:r>
        <w:rPr>
          <w:spacing w:val="-2"/>
        </w:rPr>
        <w:t>本集团管理以摊余成本计量的金融资产的业务模式为以收取合同现金流量为目标，且此类金融资产的合同现金流量特征与基</w:t>
      </w:r>
      <w:r>
        <w:rPr>
          <w:spacing w:val="-64"/>
        </w:rPr>
        <w:t> </w:t>
      </w:r>
      <w:r>
        <w:rPr>
          <w:spacing w:val="-64"/>
        </w:rPr>
      </w:r>
      <w:r>
        <w:rPr>
          <w:spacing w:val="-2"/>
        </w:rPr>
        <w:t>本借贷安排相一致，即在特定日期产生的现金流量，仅为对本金和以未偿付本金金额为基础的利息的支付。本集团对于此类</w:t>
      </w:r>
      <w:r>
        <w:rPr>
          <w:spacing w:val="-63"/>
        </w:rPr>
        <w:t> </w:t>
      </w:r>
      <w:r>
        <w:rPr>
          <w:spacing w:val="-63"/>
        </w:rPr>
      </w:r>
      <w:r>
        <w:rPr/>
        <w:t>金融资产，采用实际利率法，按照摊余成本进行后续计量，其摊销或减值产生的利得或损失，计入当期损益。</w:t>
      </w:r>
    </w:p>
    <w:p>
      <w:pPr>
        <w:pStyle w:val="BodyText"/>
        <w:spacing w:line="319" w:lineRule="auto" w:before="19"/>
        <w:ind w:right="0"/>
        <w:jc w:val="left"/>
      </w:pPr>
      <w:r>
        <w:rPr/>
        <w:t>②以公允价值计量且其变动计入其他综合收益的金融资产 </w:t>
      </w:r>
      <w:r>
        <w:rPr>
          <w:spacing w:val="-2"/>
        </w:rPr>
        <w:t>本集团管理此类金融资产的业务模式为既以收取合同现金流量为目标又以出售为目标，且此类金融资产的合同现金流量特征</w:t>
      </w:r>
      <w:r>
        <w:rPr>
          <w:spacing w:val="-63"/>
        </w:rPr>
        <w:t> </w:t>
      </w:r>
      <w:r>
        <w:rPr>
          <w:spacing w:val="-63"/>
        </w:rPr>
      </w:r>
      <w:r>
        <w:rPr>
          <w:spacing w:val="-2"/>
        </w:rPr>
        <w:t>与基本借贷安排相一致。本集团对此类金融资产按照公允价值计量且其变动计入其他综合收益，但减值损失或利得、汇兑损</w:t>
      </w:r>
      <w:r>
        <w:rPr>
          <w:spacing w:val="-66"/>
        </w:rPr>
        <w:t> </w:t>
      </w:r>
      <w:r>
        <w:rPr>
          <w:spacing w:val="-66"/>
        </w:rPr>
      </w:r>
      <w:r>
        <w:rPr/>
        <w:t>益和按照实际利率法计算的利息收入计入当期损益。 </w:t>
      </w:r>
      <w:r>
        <w:rPr>
          <w:spacing w:val="-2"/>
        </w:rPr>
        <w:t>此外，本集团将部分非交易性权益工具投资指定为以公允价值计量且其变动计入其他综合收益的金融资产。本集团将该类金</w:t>
      </w:r>
      <w:r>
        <w:rPr>
          <w:spacing w:val="-64"/>
        </w:rPr>
        <w:t> </w:t>
      </w:r>
      <w:r>
        <w:rPr>
          <w:spacing w:val="-64"/>
        </w:rPr>
      </w:r>
      <w:r>
        <w:rPr>
          <w:spacing w:val="-2"/>
        </w:rPr>
        <w:t>融资产的相关股利收入计入当期损益，公允价值变动计入其他综合收益。当该金融资产终止确认时，之前计入其他综合收益</w:t>
      </w:r>
      <w:r>
        <w:rPr>
          <w:spacing w:val="-63"/>
        </w:rPr>
        <w:t> </w:t>
      </w:r>
      <w:r>
        <w:rPr>
          <w:spacing w:val="-63"/>
        </w:rPr>
      </w:r>
      <w:r>
        <w:rPr/>
        <w:t>的累计利得或损失将从其他综合收益转入留存收益，不计入当期损益。</w:t>
      </w:r>
    </w:p>
    <w:p>
      <w:pPr>
        <w:pStyle w:val="BodyText"/>
        <w:spacing w:line="316" w:lineRule="auto" w:before="17"/>
        <w:ind w:right="1034"/>
        <w:jc w:val="left"/>
      </w:pPr>
      <w:r>
        <w:rPr/>
        <w:t>③以公允价值计量且其变动计入当期损益的金融资产 </w:t>
      </w:r>
      <w:r>
        <w:rPr>
          <w:spacing w:val="-2"/>
        </w:rPr>
        <w:t>本集团将上述以摊余成本计量的金融资产和以公允价值计量且其变动计入其他综合收益的金融资产之外的金融资产，分类为</w:t>
      </w:r>
      <w:r>
        <w:rPr>
          <w:spacing w:val="-64"/>
        </w:rPr>
        <w:t> </w:t>
      </w:r>
      <w:r>
        <w:rPr>
          <w:spacing w:val="-64"/>
        </w:rPr>
      </w:r>
      <w:r>
        <w:rPr>
          <w:spacing w:val="-2"/>
        </w:rPr>
        <w:t>以公允价值计量且其变动计入当期损益的金融资产。此外，在初始确认时，本集团为了消除或显著减少会计错配，将部分金</w:t>
      </w:r>
      <w:r>
        <w:rPr>
          <w:spacing w:val="-64"/>
        </w:rPr>
        <w:t> </w:t>
      </w:r>
      <w:r>
        <w:rPr>
          <w:spacing w:val="-64"/>
        </w:rPr>
      </w:r>
      <w:r>
        <w:rPr/>
        <w:t>融资产指定为以公允价值计量且其变动计入当期损益的金融资产。对于此类金融资产，本集团采用公允价值进行后续计量， 公允价值变动计入当期损益。</w:t>
      </w:r>
    </w:p>
    <w:p>
      <w:pPr>
        <w:pStyle w:val="BodyText"/>
        <w:spacing w:line="319" w:lineRule="auto" w:before="19"/>
        <w:ind w:right="0"/>
        <w:jc w:val="left"/>
      </w:pPr>
      <w:r>
        <w:rPr>
          <w:rFonts w:ascii="宋体" w:hAnsi="宋体" w:cs="宋体" w:eastAsia="宋体" w:hint="default"/>
        </w:rPr>
        <w:t>2.</w:t>
      </w:r>
      <w:r>
        <w:rPr/>
        <w:t>金融负债的分类、确认和计量 </w:t>
      </w:r>
      <w:r>
        <w:rPr>
          <w:spacing w:val="-2"/>
        </w:rPr>
        <w:t>金融负债于初始确认时分类为以公允价值计量且其变动计入当期损益的金融负债和其他金融负债。对于以公允价值计量且其</w:t>
      </w:r>
      <w:r>
        <w:rPr>
          <w:spacing w:val="-64"/>
        </w:rPr>
        <w:t> </w:t>
      </w:r>
      <w:r>
        <w:rPr>
          <w:spacing w:val="-64"/>
        </w:rPr>
      </w:r>
      <w:r>
        <w:rPr/>
        <w:t>变动计入当期损益的金融负债，相关交易费用直接计入当期损益，其他金融负债的相关交易费用计入其初始确认金额。</w:t>
      </w:r>
    </w:p>
    <w:p>
      <w:pPr>
        <w:pStyle w:val="BodyText"/>
        <w:spacing w:line="316" w:lineRule="auto" w:before="17"/>
        <w:ind w:right="1119"/>
        <w:jc w:val="left"/>
      </w:pPr>
      <w:r>
        <w:rPr/>
        <w:t>①以公允价值计量且其变动计入当期损益的金融负债 </w:t>
      </w:r>
      <w:r>
        <w:rPr>
          <w:spacing w:val="-2"/>
        </w:rPr>
        <w:t>以公允价值计量且其变动计入当期损益的金融负债，包括交易性金融负债（含属于金融负债的衍生工具）和初始确认时指定</w:t>
      </w:r>
      <w:r>
        <w:rPr>
          <w:spacing w:val="-63"/>
        </w:rPr>
        <w:t> </w:t>
      </w:r>
      <w:r>
        <w:rPr>
          <w:spacing w:val="-63"/>
        </w:rPr>
      </w:r>
      <w:r>
        <w:rPr/>
        <w:t>为以公允价值计量且其变动计入当期损益的金融负债。 </w:t>
      </w:r>
      <w:r>
        <w:rPr>
          <w:spacing w:val="-2"/>
        </w:rPr>
        <w:t>交易性金融负债（含属于金融负债的衍生工具），按照公允价值进行后续计量，除与套期会计有关外，公允价值变动计入当</w:t>
      </w:r>
      <w:r>
        <w:rPr>
          <w:spacing w:val="-67"/>
        </w:rPr>
        <w:t> </w:t>
      </w:r>
      <w:r>
        <w:rPr>
          <w:spacing w:val="-67"/>
        </w:rPr>
      </w:r>
      <w:r>
        <w:rPr/>
        <w:t>期损益。 </w:t>
      </w:r>
      <w:r>
        <w:rPr>
          <w:spacing w:val="-2"/>
        </w:rPr>
        <w:t>被指定为以公允价值计量且其变动计入当期损益的金融负债，该负债由本集团自身信用风险变动引起的公允价值变动计入其</w:t>
      </w:r>
      <w:r>
        <w:rPr>
          <w:spacing w:val="-64"/>
        </w:rPr>
        <w:t> </w:t>
      </w:r>
      <w:r>
        <w:rPr>
          <w:spacing w:val="-64"/>
        </w:rPr>
      </w:r>
      <w:r>
        <w:rPr>
          <w:spacing w:val="-2"/>
        </w:rPr>
        <w:t>他综合收益，且终止确认该负债时，计入其他综合收益的自身信用风险变动引起的其公允价值累计变动额转入留存收益。其</w:t>
      </w:r>
      <w:r>
        <w:rPr>
          <w:spacing w:val="-63"/>
        </w:rPr>
        <w:t> </w:t>
      </w:r>
      <w:r>
        <w:rPr>
          <w:spacing w:val="-63"/>
        </w:rPr>
      </w:r>
      <w:r>
        <w:rPr>
          <w:spacing w:val="-2"/>
        </w:rPr>
        <w:t>余公允价值变动计入当期损益。若按上述方式对该等金融负债的自身信用风险变动的影响进行处理会造成或扩大损益中的会</w:t>
      </w:r>
      <w:r>
        <w:rPr>
          <w:spacing w:val="-64"/>
        </w:rPr>
        <w:t> </w:t>
      </w:r>
      <w:r>
        <w:rPr>
          <w:spacing w:val="-64"/>
        </w:rPr>
      </w:r>
      <w:r>
        <w:rPr/>
        <w:t>计错配的，本集团将该金融负债的全部利得或损失（包括企业自身信用风险变动的影响金额）计入当期损益。</w:t>
      </w:r>
    </w:p>
    <w:p>
      <w:pPr>
        <w:pStyle w:val="BodyText"/>
        <w:spacing w:line="316" w:lineRule="auto" w:before="19"/>
        <w:ind w:right="0"/>
        <w:jc w:val="left"/>
      </w:pPr>
      <w:r>
        <w:rPr/>
        <w:t>②其他金融负债 </w:t>
      </w:r>
      <w:r>
        <w:rPr>
          <w:spacing w:val="-2"/>
        </w:rPr>
        <w:t>除金融资产转移不符合终止确认条件或继续涉入被转移金融资产所形成的金融负债、财务担保合同外的其他金融负债分类为</w:t>
      </w:r>
      <w:r>
        <w:rPr>
          <w:spacing w:val="-64"/>
        </w:rPr>
        <w:t> </w:t>
      </w:r>
      <w:r>
        <w:rPr>
          <w:spacing w:val="-64"/>
        </w:rPr>
      </w:r>
      <w:r>
        <w:rPr/>
        <w:t>以摊余成本计量的金融负债，按摊余成本进行后续计量，终止确认或摊销产生的利得或损失计入当期损益。</w:t>
      </w:r>
      <w:r>
        <w:rPr/>
        <w:t> </w:t>
      </w:r>
      <w:r>
        <w:rPr>
          <w:rFonts w:ascii="宋体" w:hAnsi="宋体" w:cs="宋体" w:eastAsia="宋体" w:hint="default"/>
        </w:rPr>
        <w:t>3.</w:t>
      </w:r>
      <w:r>
        <w:rPr/>
        <w:t>金融资产转移的确认依据和计量方法 </w:t>
      </w:r>
      <w:r>
        <w:rPr>
          <w:spacing w:val="-2"/>
        </w:rPr>
        <w:t>满足下列条件之一的金融资产，予以终止确认：①收取该金融资产现金流量的合同权利终止；②该金融资产已转移，且将金</w:t>
      </w:r>
      <w:r>
        <w:rPr>
          <w:spacing w:val="-66"/>
        </w:rPr>
        <w:t> </w:t>
      </w:r>
      <w:r>
        <w:rPr>
          <w:spacing w:val="-66"/>
        </w:rPr>
      </w:r>
      <w:r>
        <w:rPr>
          <w:spacing w:val="-2"/>
        </w:rPr>
        <w:t>融资产所有权上几乎所有的风险和报酬转移给转入方；③该金融资产已转移，虽然企业既没有转移也没有保留金融资产所有</w:t>
      </w:r>
      <w:r>
        <w:rPr>
          <w:spacing w:val="-64"/>
        </w:rPr>
        <w:t> </w:t>
      </w:r>
      <w:r>
        <w:rPr>
          <w:spacing w:val="-64"/>
        </w:rPr>
      </w:r>
      <w:r>
        <w:rPr/>
        <w:t>权上几乎所有的风险和报酬，但是放弃了对该金融资产的控制。 </w:t>
      </w:r>
      <w:r>
        <w:rPr>
          <w:spacing w:val="-2"/>
        </w:rPr>
        <w:t>若企业既没有转移也没有保留金融资产所有权上几乎所有的风险和报酬，且未放弃对该金融资产的控制的，则按照继续涉入</w:t>
      </w:r>
      <w:r>
        <w:rPr>
          <w:spacing w:val="-64"/>
        </w:rPr>
        <w:t> </w:t>
      </w:r>
      <w:r>
        <w:rPr>
          <w:spacing w:val="-64"/>
        </w:rPr>
      </w:r>
      <w:r>
        <w:rPr>
          <w:spacing w:val="-2"/>
        </w:rPr>
        <w:t>所转移金融资产的程度确认有关金融资产，并相应确认有关负债。继续涉入所转移金融资产的程度，是指该金融资产价值变</w:t>
      </w:r>
      <w:r>
        <w:rPr>
          <w:spacing w:val="-62"/>
        </w:rPr>
        <w:t> </w:t>
      </w:r>
      <w:r>
        <w:rPr>
          <w:spacing w:val="-62"/>
        </w:rPr>
      </w:r>
      <w:r>
        <w:rPr/>
        <w:t>动使企业面临的风险水平。</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0"/>
        <w:jc w:val="left"/>
      </w:pPr>
      <w:r>
        <w:rPr>
          <w:spacing w:val="-2"/>
        </w:rPr>
        <w:t>金融资产整体转移满足终止确认条件的，将所转移金融资产的账面价值及因转移而收到的对价与原计入其他综合收益的公允</w:t>
      </w:r>
      <w:r>
        <w:rPr>
          <w:spacing w:val="-64"/>
        </w:rPr>
        <w:t> </w:t>
      </w:r>
      <w:r>
        <w:rPr>
          <w:spacing w:val="-64"/>
        </w:rPr>
      </w:r>
      <w:r>
        <w:rPr/>
        <w:t>价值变动累计额之和的差额计入当期损益。 </w:t>
      </w:r>
      <w:r>
        <w:rPr>
          <w:spacing w:val="-2"/>
        </w:rPr>
        <w:t>金融资产部分转移满足终止确认条件的，将所转移金融资产的账面价值在终止确认及未终止确认部分之间按其相对的公允价</w:t>
      </w:r>
      <w:r>
        <w:rPr>
          <w:spacing w:val="-64"/>
        </w:rPr>
        <w:t> </w:t>
      </w:r>
      <w:r>
        <w:rPr>
          <w:spacing w:val="-64"/>
        </w:rPr>
      </w:r>
      <w:r>
        <w:rPr>
          <w:spacing w:val="-2"/>
        </w:rPr>
        <w:t>值进行分摊，并将因转移而收到的对价与应分摊至终止确认部分的原计入其他综合收益的公允价值变动累计额之和与分摊的</w:t>
      </w:r>
      <w:r>
        <w:rPr>
          <w:spacing w:val="-64"/>
        </w:rPr>
        <w:t> </w:t>
      </w:r>
      <w:r>
        <w:rPr>
          <w:spacing w:val="-64"/>
        </w:rPr>
      </w:r>
      <w:r>
        <w:rPr/>
        <w:t>前述账面金额之差额计入当期损益。 </w:t>
      </w:r>
      <w:r>
        <w:rPr>
          <w:spacing w:val="-2"/>
        </w:rPr>
        <w:t>本集团对采用附追索权方式出售的金融资产，或将持有的金融资产背书转让，需确定该金融资产所有权上几乎所有的风险和</w:t>
      </w:r>
      <w:r>
        <w:rPr>
          <w:spacing w:val="-63"/>
        </w:rPr>
        <w:t> </w:t>
      </w:r>
      <w:r>
        <w:rPr>
          <w:spacing w:val="-63"/>
        </w:rPr>
      </w:r>
      <w:r>
        <w:rPr>
          <w:spacing w:val="-2"/>
        </w:rPr>
        <w:t>报酬是否已经转移。已将该金融资产所有权上几乎所有的风险和报酬转移给转入方的，终止确认该金融资产；保留了金融资</w:t>
      </w:r>
      <w:r>
        <w:rPr>
          <w:spacing w:val="-63"/>
        </w:rPr>
        <w:t> </w:t>
      </w:r>
      <w:r>
        <w:rPr>
          <w:spacing w:val="-63"/>
        </w:rPr>
      </w:r>
      <w:r>
        <w:rPr>
          <w:spacing w:val="-2"/>
        </w:rPr>
        <w:t>产所有权上几乎所有的风险和报酬的，不终止确认该金融资产；既没有转移也没有保留金融资产所有权上几乎所有的风险和</w:t>
      </w:r>
      <w:r>
        <w:rPr>
          <w:spacing w:val="-64"/>
        </w:rPr>
        <w:t> </w:t>
      </w:r>
      <w:r>
        <w:rPr>
          <w:spacing w:val="-64"/>
        </w:rPr>
      </w:r>
      <w:r>
        <w:rPr/>
        <w:t>报酬的，则继续判断企业是否对该资产保留了控制，并根据前面各段所述的原则进行会计处理。</w:t>
      </w:r>
    </w:p>
    <w:p>
      <w:pPr>
        <w:pStyle w:val="BodyText"/>
        <w:spacing w:line="319" w:lineRule="auto" w:before="19"/>
        <w:ind w:right="0"/>
        <w:jc w:val="left"/>
      </w:pPr>
      <w:r>
        <w:rPr>
          <w:rFonts w:ascii="宋体" w:hAnsi="宋体" w:cs="宋体" w:eastAsia="宋体" w:hint="default"/>
        </w:rPr>
        <w:t>4.</w:t>
      </w:r>
      <w:r>
        <w:rPr/>
        <w:t>金融负债的终止确认 </w:t>
      </w:r>
      <w:r>
        <w:rPr>
          <w:spacing w:val="-2"/>
        </w:rPr>
        <w:t>金融负债（或其一部分）的现时义务已经解除的，本集团终止确认该金融负债（或该部分金融负债）。本集团（借入方）与</w:t>
      </w:r>
      <w:r>
        <w:rPr>
          <w:spacing w:val="-65"/>
        </w:rPr>
        <w:t> </w:t>
      </w:r>
      <w:r>
        <w:rPr>
          <w:spacing w:val="-65"/>
        </w:rPr>
      </w:r>
      <w:r>
        <w:rPr>
          <w:spacing w:val="-2"/>
        </w:rPr>
        <w:t>借出方签订协议，以承担新金融负债的方式替换原金融负债，且新金融负债与原金融负债的合同条款实质上不同的，终止确</w:t>
      </w:r>
      <w:r>
        <w:rPr>
          <w:spacing w:val="-63"/>
        </w:rPr>
        <w:t> </w:t>
      </w:r>
      <w:r>
        <w:rPr>
          <w:spacing w:val="-63"/>
        </w:rPr>
      </w:r>
      <w:r>
        <w:rPr>
          <w:spacing w:val="-2"/>
        </w:rPr>
        <w:t>认原金融负债，同时确认一项新金融负债。本集团对原金融负债（或其一部分）的合同条款作出实质性修改的，终止确认原</w:t>
      </w:r>
      <w:r>
        <w:rPr>
          <w:spacing w:val="-67"/>
        </w:rPr>
        <w:t> </w:t>
      </w:r>
      <w:r>
        <w:rPr>
          <w:spacing w:val="-67"/>
        </w:rPr>
      </w:r>
      <w:r>
        <w:rPr/>
        <w:t>金融负债，同时按照修改后的条款确认一项新金融负债。 </w:t>
      </w:r>
      <w:r>
        <w:rPr>
          <w:spacing w:val="-2"/>
        </w:rPr>
        <w:t>金融负债（或其一部分）终止确认的，本集团将其账面价值与支付的对价（包括转出的非现金资产或承担的负债）之间的差</w:t>
      </w:r>
      <w:r>
        <w:rPr>
          <w:spacing w:val="-67"/>
        </w:rPr>
        <w:t> </w:t>
      </w:r>
      <w:r>
        <w:rPr>
          <w:spacing w:val="-67"/>
        </w:rPr>
      </w:r>
      <w:r>
        <w:rPr/>
        <w:t>额，计入当期损益。</w:t>
      </w:r>
    </w:p>
    <w:p>
      <w:pPr>
        <w:pStyle w:val="BodyText"/>
        <w:spacing w:line="316" w:lineRule="auto" w:before="17"/>
        <w:ind w:right="0"/>
        <w:jc w:val="left"/>
      </w:pPr>
      <w:r>
        <w:rPr>
          <w:rFonts w:ascii="宋体" w:hAnsi="宋体" w:cs="宋体" w:eastAsia="宋体" w:hint="default"/>
        </w:rPr>
        <w:t>5.</w:t>
      </w:r>
      <w:r>
        <w:rPr/>
        <w:t>金融资产和金融负债的抵销 </w:t>
      </w:r>
      <w:r>
        <w:rPr>
          <w:spacing w:val="-2"/>
        </w:rPr>
        <w:t>当本集团具有抵销已确认金额的金融资产和金融负债的法定权利，且该种法定权利是当前可执行的，同时本集团计划以净额</w:t>
      </w:r>
      <w:r>
        <w:rPr>
          <w:spacing w:val="-64"/>
        </w:rPr>
        <w:t> </w:t>
      </w:r>
      <w:r>
        <w:rPr>
          <w:spacing w:val="-64"/>
        </w:rPr>
      </w:r>
      <w:r>
        <w:rPr>
          <w:spacing w:val="-4"/>
        </w:rPr>
        <w:t>结算或同时变现该金融资产和清偿该金融负债时，金融资产和金融负债以相互抵销后的净额在资产负债表内列示。除此以外，</w:t>
      </w:r>
      <w:r>
        <w:rPr>
          <w:spacing w:val="-44"/>
        </w:rPr>
        <w:t> </w:t>
      </w:r>
      <w:r>
        <w:rPr>
          <w:spacing w:val="-44"/>
        </w:rPr>
      </w:r>
      <w:r>
        <w:rPr/>
        <w:t>金融资产和金融负债在资产负债表内分别列示，不予相互抵销。</w:t>
      </w:r>
    </w:p>
    <w:p>
      <w:pPr>
        <w:pStyle w:val="BodyText"/>
        <w:spacing w:line="316" w:lineRule="auto" w:before="19"/>
        <w:ind w:right="1119"/>
        <w:jc w:val="left"/>
      </w:pPr>
      <w:r>
        <w:rPr>
          <w:rFonts w:ascii="宋体" w:hAnsi="宋体" w:cs="宋体" w:eastAsia="宋体" w:hint="default"/>
        </w:rPr>
        <w:t>6.</w:t>
      </w:r>
      <w:r>
        <w:rPr/>
        <w:t>金融资产和金融负债的公允价值确定方法 </w:t>
      </w:r>
      <w:r>
        <w:rPr>
          <w:spacing w:val="-2"/>
        </w:rPr>
        <w:t>公允价值，是指市场参与者在计量日发生的有序交易中，出售一项资产所能收到或者转移一项负债所需支付的价格。金融工</w:t>
      </w:r>
      <w:r>
        <w:rPr>
          <w:spacing w:val="-63"/>
        </w:rPr>
        <w:t> </w:t>
      </w:r>
      <w:r>
        <w:rPr>
          <w:spacing w:val="-63"/>
        </w:rPr>
      </w:r>
      <w:r>
        <w:rPr>
          <w:spacing w:val="-2"/>
        </w:rPr>
        <w:t>具存在活跃市场的，本集团采用活跃市场中的报价确定其公允价值。活跃市场中的报价是指易于定期从交易所、经纪商、行</w:t>
      </w:r>
      <w:r>
        <w:rPr>
          <w:spacing w:val="-64"/>
        </w:rPr>
        <w:t> </w:t>
      </w:r>
      <w:r>
        <w:rPr>
          <w:spacing w:val="-64"/>
        </w:rPr>
      </w:r>
      <w:r>
        <w:rPr>
          <w:spacing w:val="-2"/>
        </w:rPr>
        <w:t>业协会、定价服务机构等获得的价格，且代表了在公平交易中实际发生的市场交易的价格。金融工具不存在活跃市场的，本</w:t>
      </w:r>
      <w:r>
        <w:rPr>
          <w:spacing w:val="-63"/>
        </w:rPr>
        <w:t> </w:t>
      </w:r>
      <w:r>
        <w:rPr>
          <w:spacing w:val="-63"/>
        </w:rPr>
      </w:r>
      <w:r>
        <w:rPr>
          <w:spacing w:val="-2"/>
        </w:rPr>
        <w:t>集团采用估值技术确定其公允价值。估值技术包括参考熟悉情况并自愿交易的各方最近进行的市场交易中使用的价格、参照</w:t>
      </w:r>
      <w:r>
        <w:rPr>
          <w:spacing w:val="-64"/>
        </w:rPr>
        <w:t> </w:t>
      </w:r>
      <w:r>
        <w:rPr>
          <w:spacing w:val="-64"/>
        </w:rPr>
      </w:r>
      <w:r>
        <w:rPr>
          <w:spacing w:val="-2"/>
        </w:rPr>
        <w:t>实质上相同的其他金融工具当前的公允价值、现金流量折现法和期权定价模型等。在估值时，本集团采用在当前情况下适用</w:t>
      </w:r>
      <w:r>
        <w:rPr>
          <w:spacing w:val="-63"/>
        </w:rPr>
        <w:t> </w:t>
      </w:r>
      <w:r>
        <w:rPr>
          <w:spacing w:val="-63"/>
        </w:rPr>
      </w:r>
      <w:r>
        <w:rPr>
          <w:spacing w:val="-2"/>
        </w:rPr>
        <w:t>并且有足够可利用数据和其他信息支持的估值技术，选择与市场参与者在相关资产或负债的交易中所考虑的资产或负债特征</w:t>
      </w:r>
      <w:r>
        <w:rPr>
          <w:spacing w:val="-64"/>
        </w:rPr>
        <w:t> </w:t>
      </w:r>
      <w:r>
        <w:rPr>
          <w:spacing w:val="-64"/>
        </w:rPr>
      </w:r>
      <w:r>
        <w:rPr>
          <w:spacing w:val="-2"/>
        </w:rPr>
        <w:t>相一致的输入值，并尽可能优先使用相关可观察输入值。在相关可观察输入值无法取得或取得不切实可行的情况下，使用不</w:t>
      </w:r>
      <w:r>
        <w:rPr>
          <w:spacing w:val="-63"/>
        </w:rPr>
        <w:t> </w:t>
      </w:r>
      <w:r>
        <w:rPr>
          <w:spacing w:val="-63"/>
        </w:rPr>
      </w:r>
      <w:r>
        <w:rPr/>
        <w:t>可输入值。</w:t>
      </w:r>
    </w:p>
    <w:p>
      <w:pPr>
        <w:pStyle w:val="BodyText"/>
        <w:spacing w:line="316" w:lineRule="auto" w:before="19"/>
        <w:ind w:right="1119"/>
        <w:jc w:val="left"/>
      </w:pPr>
      <w:r>
        <w:rPr>
          <w:rFonts w:ascii="宋体" w:hAnsi="宋体" w:cs="宋体" w:eastAsia="宋体" w:hint="default"/>
        </w:rPr>
        <w:t>7.</w:t>
      </w:r>
      <w:r>
        <w:rPr/>
        <w:t>权益工具 </w:t>
      </w:r>
      <w:r>
        <w:rPr>
          <w:spacing w:val="-2"/>
        </w:rPr>
        <w:t>权益工具是指能证明拥有本集团在扣除所有负债后的资产中的剩余权益的合同。本集团发行（含再融资）、回购、出售或注</w:t>
      </w:r>
      <w:r>
        <w:rPr>
          <w:spacing w:val="-64"/>
        </w:rPr>
        <w:t> </w:t>
      </w:r>
      <w:r>
        <w:rPr>
          <w:spacing w:val="-64"/>
        </w:rPr>
      </w:r>
      <w:r>
        <w:rPr/>
        <w:t>销权益工具作为权益的变动处理，与权益性交易相关的交易费用从权益中扣减。本集团不确认权益工具的公允价值变动。 本集团权益工具在存续期间分派股利（含分类为权益工具的工具所产生的“利息”）的，作为利润分配处理。</w:t>
      </w:r>
      <w:r>
        <w:rPr/>
        <w:t> 二、金融资产减值 </w:t>
      </w:r>
      <w:r>
        <w:rPr>
          <w:spacing w:val="-2"/>
        </w:rPr>
        <w:t>本集团需确认减值损失的金融资产系以摊余成本计量的金融资产、以公允价值计量且其变动计入其他综合收益的债务工具投</w:t>
      </w:r>
      <w:r>
        <w:rPr>
          <w:spacing w:val="-64"/>
        </w:rPr>
        <w:t> </w:t>
      </w:r>
      <w:r>
        <w:rPr>
          <w:spacing w:val="-64"/>
        </w:rPr>
      </w:r>
      <w:r>
        <w:rPr>
          <w:spacing w:val="-2"/>
        </w:rPr>
        <w:t>资、租赁应收款，主要包括应收票据、应收账款、其他应收款、债权投资、其他债权投资、长期应收款等。此外，对部分财</w:t>
      </w:r>
      <w:r>
        <w:rPr>
          <w:spacing w:val="-69"/>
        </w:rPr>
        <w:t> </w:t>
      </w:r>
      <w:r>
        <w:rPr>
          <w:spacing w:val="-69"/>
        </w:rPr>
      </w:r>
      <w:r>
        <w:rPr/>
        <w:t>务担保合同，也按照本部分所述会计政策计提减值准备和确认信用减值损失。</w:t>
      </w:r>
    </w:p>
    <w:p>
      <w:pPr>
        <w:pStyle w:val="BodyText"/>
        <w:spacing w:line="316" w:lineRule="auto" w:before="19"/>
        <w:ind w:right="1034"/>
        <w:jc w:val="left"/>
      </w:pPr>
      <w:r>
        <w:rPr>
          <w:rFonts w:ascii="宋体" w:hAnsi="宋体" w:cs="宋体" w:eastAsia="宋体" w:hint="default"/>
        </w:rPr>
        <w:t>1.</w:t>
      </w:r>
      <w:r>
        <w:rPr/>
        <w:t>减值准备的确认方法 </w:t>
      </w:r>
      <w:r>
        <w:rPr>
          <w:spacing w:val="-2"/>
        </w:rPr>
        <w:t>本集团以预期信用损失为基础，对上述各项目按照其适用的预期信用损失计量方法（一般方法或简化方法）计提减值准备并</w:t>
      </w:r>
      <w:r>
        <w:rPr>
          <w:spacing w:val="-63"/>
        </w:rPr>
        <w:t> </w:t>
      </w:r>
      <w:r>
        <w:rPr>
          <w:spacing w:val="-63"/>
        </w:rPr>
      </w:r>
      <w:r>
        <w:rPr/>
        <w:t>确认信用减值损失。 信用损失，是指本集团按照原实际利率折现的、根据合同应收的所有合同现金流量与预期收取的所有现金流量之间的差额， </w:t>
      </w:r>
      <w:r>
        <w:rPr>
          <w:spacing w:val="-2"/>
        </w:rPr>
        <w:t>即全部现金短缺的现值。其中，对于购买或源生的已发生信用减值的金融资产，本集团按照该金融资产经信用调整的实际利</w:t>
      </w:r>
      <w:r>
        <w:rPr>
          <w:spacing w:val="-63"/>
        </w:rPr>
        <w:t> </w:t>
      </w:r>
      <w:r>
        <w:rPr>
          <w:spacing w:val="-63"/>
        </w:rPr>
      </w:r>
      <w:r>
        <w:rPr/>
        <w:t>率折现。 </w:t>
      </w:r>
      <w:r>
        <w:rPr>
          <w:spacing w:val="-2"/>
        </w:rPr>
        <w:t>预期信用损失计量的一般方法是指，本集团在每个资产负债表日评估金融资产（含其他适用项目，下同）的信用风险自初始</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034"/>
        <w:jc w:val="left"/>
      </w:pPr>
      <w:r>
        <w:rPr>
          <w:spacing w:val="-2"/>
        </w:rPr>
        <w:t>确认后是否已经显著增加，如果信用风险自初始确认后已显著增加，本集团按照相当于整个存续期内预期信用损失的金额计</w:t>
      </w:r>
      <w:r>
        <w:rPr>
          <w:spacing w:val="-64"/>
        </w:rPr>
        <w:t> </w:t>
      </w:r>
      <w:r>
        <w:rPr>
          <w:spacing w:val="-64"/>
        </w:rPr>
      </w:r>
      <w:r>
        <w:rPr/>
        <w:t>量损失准备；如果信用风险自初始确认后未显著增加，本集团按照相当于未来</w:t>
      </w:r>
      <w:r>
        <w:rPr>
          <w:rFonts w:ascii="宋体" w:hAnsi="宋体" w:cs="宋体" w:eastAsia="宋体" w:hint="default"/>
        </w:rPr>
        <w:t>12</w:t>
      </w:r>
      <w:r>
        <w:rPr/>
        <w:t>个月内预期信用损失的金额计量损失准备。 本集团在评估预期信用损失时，考虑所有合理且有依据的信息，包括前瞻性信息。 </w:t>
      </w:r>
      <w:r>
        <w:rPr>
          <w:spacing w:val="-2"/>
        </w:rPr>
        <w:t>对于在资产负债表日具有较低信用风险的金融工具，本集团不选择简化处理方法，依据其信用风险自初始确认后是否已显著</w:t>
      </w:r>
      <w:r>
        <w:rPr>
          <w:spacing w:val="-64"/>
        </w:rPr>
        <w:t> </w:t>
      </w:r>
      <w:r>
        <w:rPr>
          <w:spacing w:val="-64"/>
        </w:rPr>
      </w:r>
      <w:r>
        <w:rPr/>
        <w:t>增加，而采用未来</w:t>
      </w:r>
      <w:r>
        <w:rPr>
          <w:rFonts w:ascii="宋体" w:hAnsi="宋体" w:cs="宋体" w:eastAsia="宋体" w:hint="default"/>
        </w:rPr>
        <w:t>12</w:t>
      </w:r>
      <w:r>
        <w:rPr/>
        <w:t>月内或者整个存续期内预期信用损失金额为基础计量损失准备。 </w:t>
      </w:r>
      <w:r>
        <w:rPr>
          <w:rFonts w:ascii="宋体" w:hAnsi="宋体" w:cs="宋体" w:eastAsia="宋体" w:hint="default"/>
        </w:rPr>
        <w:t>2.</w:t>
      </w:r>
      <w:r>
        <w:rPr/>
        <w:t>信用风险自初始确认后是否显著增加的判断标准 如果某项金融资产在资产负债表日确定的预计存续期内的违约概率显著高于在初始确认时确定的预计存续期内的违约概率， </w:t>
      </w:r>
      <w:r>
        <w:rPr>
          <w:spacing w:val="-2"/>
        </w:rPr>
        <w:t>则表明该项金融资产的信用风险显著增加。除特殊情况外，本集团采用未来</w:t>
      </w:r>
      <w:r>
        <w:rPr>
          <w:rFonts w:ascii="宋体" w:hAnsi="宋体" w:cs="宋体" w:eastAsia="宋体" w:hint="default"/>
          <w:spacing w:val="-2"/>
        </w:rPr>
        <w:t>12</w:t>
      </w:r>
      <w:r>
        <w:rPr>
          <w:spacing w:val="-2"/>
        </w:rPr>
        <w:t>个月内发生的违约风险的变化作为整个存续期</w:t>
      </w:r>
      <w:r>
        <w:rPr>
          <w:spacing w:val="-62"/>
        </w:rPr>
        <w:t> </w:t>
      </w:r>
      <w:r>
        <w:rPr>
          <w:spacing w:val="-62"/>
        </w:rPr>
      </w:r>
      <w:r>
        <w:rPr/>
        <w:t>内发生违约风险变化的合理估计，来确定自初始确认后信用风险是否显著增加。 </w:t>
      </w:r>
      <w:r>
        <w:rPr>
          <w:rFonts w:ascii="宋体" w:hAnsi="宋体" w:cs="宋体" w:eastAsia="宋体" w:hint="default"/>
        </w:rPr>
        <w:t>3.</w:t>
      </w:r>
      <w:r>
        <w:rPr/>
        <w:t>以组合为基础评估预期信用风险的组合方法 </w:t>
      </w:r>
      <w:r>
        <w:rPr>
          <w:spacing w:val="-2"/>
        </w:rPr>
        <w:t>本集团对信用风险显著不同的金融资产单项评价信用风险，如：与对方存在争议或涉及诉讼、仲裁的应收款项；已有明显迹</w:t>
      </w:r>
      <w:r>
        <w:rPr>
          <w:spacing w:val="-64"/>
        </w:rPr>
        <w:t> </w:t>
      </w:r>
      <w:r>
        <w:rPr>
          <w:spacing w:val="-64"/>
        </w:rPr>
      </w:r>
      <w:r>
        <w:rPr/>
        <w:t>象表明债务人很可能无法履行还款义务的应收款项等。 </w:t>
      </w:r>
      <w:r>
        <w:rPr>
          <w:spacing w:val="-2"/>
        </w:rPr>
        <w:t>除了单项评估信用风险的金融资产外，本集团基于共同风险特征将金融资产划分为不同的组别，在组合的基础上评估信用风</w:t>
      </w:r>
      <w:r>
        <w:rPr>
          <w:spacing w:val="-64"/>
        </w:rPr>
        <w:t> </w:t>
      </w:r>
      <w:r>
        <w:rPr>
          <w:spacing w:val="-64"/>
        </w:rPr>
      </w:r>
      <w:r>
        <w:rPr/>
        <w:t>险。</w:t>
      </w:r>
    </w:p>
    <w:p>
      <w:pPr>
        <w:pStyle w:val="BodyText"/>
        <w:spacing w:line="316" w:lineRule="auto" w:before="19"/>
        <w:ind w:right="0"/>
        <w:jc w:val="left"/>
      </w:pPr>
      <w:r>
        <w:rPr>
          <w:rFonts w:ascii="宋体" w:hAnsi="宋体" w:cs="宋体" w:eastAsia="宋体" w:hint="default"/>
        </w:rPr>
        <w:t>4.</w:t>
      </w:r>
      <w:r>
        <w:rPr/>
        <w:t>金融资产减值的会计处理方法 </w:t>
      </w:r>
      <w:r>
        <w:rPr>
          <w:spacing w:val="-2"/>
        </w:rPr>
        <w:t>期末，本集团计算各类金融资产的预计信用损失，如果该预计信用损失大于其当前减值准备的账面金额，将其差额确认为减</w:t>
      </w:r>
      <w:r>
        <w:rPr>
          <w:spacing w:val="-63"/>
        </w:rPr>
        <w:t> </w:t>
      </w:r>
      <w:r>
        <w:rPr>
          <w:spacing w:val="-63"/>
        </w:rPr>
      </w:r>
      <w:r>
        <w:rPr/>
        <w:t>值损失；如果小于当前减值准备的账面金额，则将差额确认为减值利得。</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11、应收票据" w:id="176"/>
      <w:bookmarkEnd w:id="176"/>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9"/>
        <w:jc w:val="left"/>
      </w:pPr>
      <w:r>
        <w:rPr>
          <w:spacing w:val="-2"/>
        </w:rPr>
        <w:t>本集团对于应收票据按照相当于整个存续期内的预期信用损失金额计量损失准备。基于应收票据的信用风险特征，将其划分</w:t>
      </w:r>
      <w:r>
        <w:rPr>
          <w:spacing w:val="-64"/>
        </w:rPr>
        <w:t> </w:t>
      </w:r>
      <w:r>
        <w:rPr>
          <w:spacing w:val="-64"/>
        </w:rPr>
      </w:r>
      <w:r>
        <w:rPr/>
        <w:t>为不同组合：</w:t>
      </w:r>
    </w:p>
    <w:tbl>
      <w:tblPr>
        <w:tblW w:w="0" w:type="auto"/>
        <w:jc w:val="left"/>
        <w:tblInd w:w="148" w:type="dxa"/>
        <w:tblLayout w:type="fixed"/>
        <w:tblCellMar>
          <w:top w:w="0" w:type="dxa"/>
          <w:left w:w="0" w:type="dxa"/>
          <w:bottom w:w="0" w:type="dxa"/>
          <w:right w:w="0" w:type="dxa"/>
        </w:tblCellMar>
        <w:tblLook w:val="01E0"/>
      </w:tblPr>
      <w:tblGrid>
        <w:gridCol w:w="3059"/>
        <w:gridCol w:w="6015"/>
      </w:tblGrid>
      <w:tr>
        <w:trPr>
          <w:trHeight w:val="34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4"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6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承兑人为信用风险较小的银行</w:t>
            </w:r>
          </w:p>
        </w:tc>
      </w:tr>
      <w:tr>
        <w:trPr>
          <w:trHeight w:val="34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6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以商业承兑汇票的账龄作为信用风险特征</w:t>
            </w:r>
          </w:p>
        </w:tc>
      </w:tr>
    </w:tbl>
    <w:p>
      <w:pPr>
        <w:spacing w:line="240" w:lineRule="auto" w:before="0"/>
        <w:rPr>
          <w:rFonts w:ascii="宋体" w:hAnsi="宋体" w:cs="宋体" w:eastAsia="宋体" w:hint="default"/>
          <w:sz w:val="20"/>
          <w:szCs w:val="20"/>
        </w:rPr>
      </w:pPr>
    </w:p>
    <w:p>
      <w:pPr>
        <w:pStyle w:val="Heading3"/>
        <w:spacing w:line="240" w:lineRule="auto" w:before="36"/>
        <w:ind w:right="1133"/>
        <w:jc w:val="left"/>
        <w:rPr>
          <w:b w:val="0"/>
          <w:bCs w:val="0"/>
        </w:rPr>
      </w:pPr>
      <w:bookmarkStart w:name="12、应收账款" w:id="177"/>
      <w:bookmarkEnd w:id="177"/>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jc w:val="left"/>
      </w:pPr>
      <w:r>
        <w:rPr/>
        <w:t>对于不含重大融资成分的应收款项，本集团按照相当于整个存续期内的预期信用损失金额计量损失准备。 对于包含重大融资成分的应收款项和租赁应收款，本集团选择始终按照相当于存续期内预期信用损失的金额计量损失准备。 除了单项评估信用风险的应收账款外，基于其信用风险特征，将其划分为不同组合：</w:t>
      </w:r>
    </w:p>
    <w:tbl>
      <w:tblPr>
        <w:tblW w:w="0" w:type="auto"/>
        <w:jc w:val="left"/>
        <w:tblInd w:w="148" w:type="dxa"/>
        <w:tblLayout w:type="fixed"/>
        <w:tblCellMar>
          <w:top w:w="0" w:type="dxa"/>
          <w:left w:w="0" w:type="dxa"/>
          <w:bottom w:w="0" w:type="dxa"/>
          <w:right w:w="0" w:type="dxa"/>
        </w:tblCellMar>
        <w:tblLook w:val="01E0"/>
      </w:tblPr>
      <w:tblGrid>
        <w:gridCol w:w="3059"/>
        <w:gridCol w:w="6015"/>
      </w:tblGrid>
      <w:tr>
        <w:trPr>
          <w:trHeight w:val="34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6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本组合以应收款项的账龄作为信用风险特征。</w:t>
            </w:r>
          </w:p>
        </w:tc>
      </w:tr>
    </w:tbl>
    <w:p>
      <w:pPr>
        <w:spacing w:line="240" w:lineRule="auto" w:before="0"/>
        <w:rPr>
          <w:rFonts w:ascii="宋体" w:hAnsi="宋体" w:cs="宋体" w:eastAsia="宋体" w:hint="default"/>
          <w:sz w:val="20"/>
          <w:szCs w:val="20"/>
        </w:rPr>
      </w:pPr>
    </w:p>
    <w:p>
      <w:pPr>
        <w:pStyle w:val="Heading3"/>
        <w:spacing w:line="240" w:lineRule="auto" w:before="36"/>
        <w:ind w:right="0"/>
        <w:jc w:val="both"/>
        <w:rPr>
          <w:b w:val="0"/>
          <w:bCs w:val="0"/>
        </w:rPr>
      </w:pPr>
      <w:bookmarkStart w:name="13、应收款项融资" w:id="178"/>
      <w:bookmarkEnd w:id="178"/>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jc w:val="both"/>
      </w:pPr>
      <w:r>
        <w:rPr>
          <w:spacing w:val="-2"/>
        </w:rPr>
        <w:t>分类为以公允价值计量且其变动计入其他综合收益的应收票据和应收账款，自取得起期限在一年内（含一年）的部分，列示</w:t>
      </w:r>
      <w:r>
        <w:rPr>
          <w:spacing w:val="-66"/>
        </w:rPr>
        <w:t> </w:t>
      </w:r>
      <w:r>
        <w:rPr>
          <w:spacing w:val="-66"/>
        </w:rPr>
      </w:r>
      <w:r>
        <w:rPr>
          <w:spacing w:val="-2"/>
        </w:rPr>
        <w:t>为应收款项融资；自取得起期限在一年以上的，列示为其他债权投资。其相关会计政策参见本附注五、</w:t>
      </w:r>
      <w:r>
        <w:rPr>
          <w:rFonts w:ascii="宋体" w:hAnsi="宋体" w:cs="宋体" w:eastAsia="宋体" w:hint="default"/>
          <w:spacing w:val="-2"/>
        </w:rPr>
        <w:t>10</w:t>
      </w:r>
      <w:r>
        <w:rPr>
          <w:spacing w:val="-2"/>
        </w:rPr>
        <w:t>“金融工具”及附</w:t>
      </w:r>
      <w:r>
        <w:rPr>
          <w:spacing w:val="-66"/>
        </w:rPr>
        <w:t> </w:t>
      </w:r>
      <w:r>
        <w:rPr>
          <w:spacing w:val="-66"/>
        </w:rPr>
      </w:r>
      <w:r>
        <w:rPr/>
        <w:t>注五、</w:t>
      </w:r>
      <w:r>
        <w:rPr>
          <w:rFonts w:ascii="宋体" w:hAnsi="宋体" w:cs="宋体" w:eastAsia="宋体" w:hint="default"/>
        </w:rPr>
        <w:t>10</w:t>
      </w:r>
      <w:r>
        <w:rPr/>
        <w:t>“金融工具”。</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14、其他应收款" w:id="179"/>
      <w:bookmarkEnd w:id="179"/>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1131"/>
        <w:jc w:val="both"/>
      </w:pPr>
      <w:r>
        <w:rPr/>
        <w:t>其他应收款的预期信用损失的确定方法及会计处理方法 </w:t>
      </w:r>
      <w:r>
        <w:rPr>
          <w:spacing w:val="-2"/>
        </w:rPr>
        <w:t>本集团依据其他应收款信用风险自初始确认后是否已经显著增加，采用相当于未来</w:t>
      </w:r>
      <w:r>
        <w:rPr>
          <w:rFonts w:ascii="宋体" w:hAnsi="宋体" w:cs="宋体" w:eastAsia="宋体" w:hint="default"/>
          <w:spacing w:val="-2"/>
        </w:rPr>
        <w:t>12</w:t>
      </w:r>
      <w:r>
        <w:rPr>
          <w:spacing w:val="-2"/>
        </w:rPr>
        <w:t>个月内、或整个存续期的预期信用损失</w:t>
      </w:r>
    </w:p>
    <w:p>
      <w:pPr>
        <w:spacing w:after="0" w:line="36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的金额计量减值损失。除了单项评估信用风险的其他应收款外，基于其信用风险特征，将其划分为不同组合：</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059"/>
        <w:gridCol w:w="6015"/>
      </w:tblGrid>
      <w:tr>
        <w:trPr>
          <w:trHeight w:val="34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应收股利组合</w:t>
            </w:r>
          </w:p>
        </w:tc>
        <w:tc>
          <w:tcPr>
            <w:tcW w:w="6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本组合为应收股利款项</w:t>
            </w:r>
          </w:p>
        </w:tc>
      </w:tr>
      <w:tr>
        <w:trPr>
          <w:trHeight w:val="34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应收利息组合</w:t>
            </w:r>
          </w:p>
        </w:tc>
        <w:tc>
          <w:tcPr>
            <w:tcW w:w="6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本组合为应收利息款项</w:t>
            </w:r>
          </w:p>
        </w:tc>
      </w:tr>
      <w:tr>
        <w:trPr>
          <w:trHeight w:val="34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6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本组合以其他应收款项的账龄作为信用风险特征。</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5、存货" w:id="180"/>
      <w:bookmarkEnd w:id="180"/>
      <w:r>
        <w:rPr>
          <w:b w:val="0"/>
          <w:bCs w:val="0"/>
        </w:rPr>
      </w:r>
      <w:r>
        <w:rPr>
          <w:rFonts w:ascii="Times New Roman" w:hAnsi="Times New Roman" w:cs="Times New Roman" w:eastAsia="Times New Roman" w:hint="default"/>
        </w:rPr>
        <w:t>15</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4094"/>
        <w:jc w:val="left"/>
      </w:pPr>
      <w:r>
        <w:rPr>
          <w:rFonts w:ascii="宋体" w:hAnsi="宋体" w:cs="宋体" w:eastAsia="宋体" w:hint="default"/>
        </w:rPr>
        <w:t>1.</w:t>
      </w:r>
      <w:r>
        <w:rPr/>
        <w:t>存货的分类 存货主要包括原材料、库存商品、发出商品、建造合同形成的已完工未结算资产等。 </w:t>
      </w:r>
      <w:r>
        <w:rPr>
          <w:rFonts w:ascii="宋体" w:hAnsi="宋体" w:cs="宋体" w:eastAsia="宋体" w:hint="default"/>
        </w:rPr>
        <w:t>2.</w:t>
      </w:r>
      <w:r>
        <w:rPr/>
        <w:t>存货取得和发出的计价方法</w:t>
      </w:r>
    </w:p>
    <w:p>
      <w:pPr>
        <w:pStyle w:val="BodyText"/>
        <w:spacing w:line="319" w:lineRule="auto" w:before="19"/>
        <w:ind w:right="0"/>
        <w:jc w:val="left"/>
      </w:pPr>
      <w:r>
        <w:rPr>
          <w:spacing w:val="-2"/>
        </w:rPr>
        <w:t>存货在取得时按实际成本计价，存货成本包括采购成本、加工成本和其他成本。领用和发出时按先进先出法、加权平均法或</w:t>
      </w:r>
      <w:r>
        <w:rPr>
          <w:spacing w:val="-64"/>
        </w:rPr>
        <w:t> </w:t>
      </w:r>
      <w:r>
        <w:rPr>
          <w:spacing w:val="-64"/>
        </w:rPr>
      </w:r>
      <w:r>
        <w:rPr/>
        <w:t>个别认定法计价。</w:t>
      </w:r>
    </w:p>
    <w:p>
      <w:pPr>
        <w:pStyle w:val="BodyText"/>
        <w:spacing w:line="316" w:lineRule="auto" w:before="17"/>
        <w:ind w:right="0"/>
        <w:jc w:val="left"/>
      </w:pPr>
      <w:r>
        <w:rPr>
          <w:rFonts w:ascii="宋体" w:hAnsi="宋体" w:cs="宋体" w:eastAsia="宋体" w:hint="default"/>
        </w:rPr>
        <w:t>3.</w:t>
      </w:r>
      <w:r>
        <w:rPr/>
        <w:t>存货可变现净值的确认和跌价准备的计提方法 </w:t>
      </w:r>
      <w:r>
        <w:rPr>
          <w:spacing w:val="-4"/>
        </w:rPr>
        <w:t>可变现净值是指在日常活动中，存货的估计售价减去至完工时估计将要发生的成本、估计的销售费用以及相关税费后的金额。</w:t>
      </w:r>
      <w:r>
        <w:rPr>
          <w:spacing w:val="-43"/>
        </w:rPr>
        <w:t> </w:t>
      </w:r>
      <w:r>
        <w:rPr>
          <w:spacing w:val="-43"/>
        </w:rPr>
      </w:r>
      <w:r>
        <w:rPr/>
        <w:t>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在资产负债表日，存货按照成本与可变现净值孰低计量。当其可变现净值低于成本时，提取存货跌价准备。存货跌价准备按</w:t>
      </w:r>
      <w:r>
        <w:rPr>
          <w:spacing w:val="-65"/>
        </w:rPr>
        <w:t> </w:t>
      </w:r>
      <w:r>
        <w:rPr>
          <w:spacing w:val="-65"/>
        </w:rPr>
      </w:r>
      <w:r>
        <w:rPr/>
        <w:t>单个存货项目的成本高于其可变现净值的差额提取。 </w:t>
      </w:r>
      <w:r>
        <w:rPr>
          <w:spacing w:val="-2"/>
        </w:rPr>
        <w:t>计提存货跌价准备后，如果以前减记存货价值的影响因素已经消失，导致存货的可变现净值高于其账面价值的，在原已计提</w:t>
      </w:r>
      <w:r>
        <w:rPr>
          <w:spacing w:val="-63"/>
        </w:rPr>
        <w:t> </w:t>
      </w:r>
      <w:r>
        <w:rPr>
          <w:spacing w:val="-63"/>
        </w:rPr>
      </w:r>
      <w:r>
        <w:rPr/>
        <w:t>的存货跌价准备金额内予以转回，转回的金额计入当期损益。</w:t>
      </w:r>
    </w:p>
    <w:p>
      <w:pPr>
        <w:pStyle w:val="BodyText"/>
        <w:spacing w:line="240" w:lineRule="auto" w:before="19"/>
        <w:ind w:right="1133"/>
        <w:jc w:val="left"/>
      </w:pPr>
      <w:r>
        <w:rPr>
          <w:rFonts w:ascii="宋体" w:hAnsi="宋体" w:cs="宋体" w:eastAsia="宋体" w:hint="default"/>
        </w:rPr>
        <w:t>4.</w:t>
      </w:r>
      <w:r>
        <w:rPr/>
        <w:t>存货的盘存制度为永续盘存制。</w:t>
      </w:r>
    </w:p>
    <w:p>
      <w:pPr>
        <w:pStyle w:val="BodyText"/>
        <w:spacing w:line="316" w:lineRule="auto" w:before="76"/>
        <w:ind w:right="1119"/>
        <w:jc w:val="left"/>
      </w:pPr>
      <w:r>
        <w:rPr>
          <w:rFonts w:ascii="宋体" w:hAnsi="宋体" w:cs="宋体" w:eastAsia="宋体" w:hint="default"/>
        </w:rPr>
        <w:t>5.</w:t>
      </w:r>
      <w:r>
        <w:rPr/>
        <w:t>建造合同 </w:t>
      </w:r>
      <w:r>
        <w:rPr>
          <w:spacing w:val="-2"/>
        </w:rPr>
        <w:t>建造合同按实际成本计量，包括从合同签订开始至合同完成止所发生的、与执行合同有关的直接费用和间接费用。为订立合</w:t>
      </w:r>
      <w:r>
        <w:rPr>
          <w:spacing w:val="-63"/>
        </w:rPr>
        <w:t> </w:t>
      </w:r>
      <w:r>
        <w:rPr>
          <w:spacing w:val="-63"/>
        </w:rPr>
      </w:r>
      <w:r>
        <w:rPr>
          <w:spacing w:val="-2"/>
        </w:rPr>
        <w:t>同而发生的差旅费、投标费等，能够单独区分和可靠计量且合同很可能订立的，在取得合同时计入合同成本；未满足上述条</w:t>
      </w:r>
      <w:r>
        <w:rPr>
          <w:spacing w:val="-65"/>
        </w:rPr>
        <w:t> </w:t>
      </w:r>
      <w:r>
        <w:rPr>
          <w:spacing w:val="-65"/>
        </w:rPr>
      </w:r>
      <w:r>
        <w:rPr/>
        <w:t>件的，则计入当期损益。 </w:t>
      </w:r>
      <w:r>
        <w:rPr>
          <w:spacing w:val="-2"/>
        </w:rPr>
        <w:t>在建合同累计已发生的成本和累计已确认的毛利（亏损）与已结算的价款在资产负债表中以抵销后的净额列示。在建合同累</w:t>
      </w:r>
      <w:r>
        <w:rPr>
          <w:spacing w:val="-66"/>
        </w:rPr>
        <w:t> </w:t>
      </w:r>
      <w:r>
        <w:rPr>
          <w:spacing w:val="-66"/>
        </w:rPr>
      </w:r>
      <w:r>
        <w:rPr>
          <w:spacing w:val="-2"/>
        </w:rPr>
        <w:t>计已发生的成本和累计已确认的毛利（亏损）之和超过已结算价款的部分作为存货列示；在建合同已结算的价款超过累计已</w:t>
      </w:r>
      <w:r>
        <w:rPr>
          <w:spacing w:val="-66"/>
        </w:rPr>
        <w:t> </w:t>
      </w:r>
      <w:r>
        <w:rPr>
          <w:spacing w:val="-66"/>
        </w:rPr>
      </w:r>
      <w:r>
        <w:rPr/>
        <w:t>发生的成本与累计已确认的毛利（亏损）之和的部分作为预收款项列示。</w:t>
      </w:r>
    </w:p>
    <w:p>
      <w:pPr>
        <w:pStyle w:val="BodyText"/>
        <w:spacing w:line="316" w:lineRule="auto" w:before="19"/>
        <w:ind w:right="4634"/>
        <w:jc w:val="left"/>
      </w:pPr>
      <w:r>
        <w:rPr>
          <w:rFonts w:ascii="宋体" w:hAnsi="宋体" w:cs="宋体" w:eastAsia="宋体" w:hint="default"/>
        </w:rPr>
        <w:t>6.</w:t>
      </w:r>
      <w:r>
        <w:rPr/>
        <w:t>低值易耗品和包装物的摊销方法 低值易耗品于领用时按一次摊销法摊销；包装物于领用时按一次摊销法摊销。</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16、合同资产" w:id="181"/>
      <w:bookmarkEnd w:id="181"/>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7、合同成本" w:id="182"/>
      <w:bookmarkEnd w:id="182"/>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8、持有待售资产" w:id="183"/>
      <w:bookmarkEnd w:id="183"/>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9、债权投资" w:id="184"/>
      <w:bookmarkEnd w:id="184"/>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20、其他债权投资" w:id="185"/>
      <w:bookmarkEnd w:id="185"/>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21、长期应收款" w:id="186"/>
      <w:bookmarkEnd w:id="186"/>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长期应收款（包含重大融资成分的应收款项和租赁应收款除外）</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本集团依据其信用风险自初始确认后是否已经显著增加，采用相当于未来</w:t>
      </w:r>
      <w:r>
        <w:rPr>
          <w:rFonts w:ascii="宋体" w:hAnsi="宋体" w:cs="宋体" w:eastAsia="宋体" w:hint="default"/>
          <w:spacing w:val="-2"/>
        </w:rPr>
        <w:t>12</w:t>
      </w:r>
      <w:r>
        <w:rPr>
          <w:spacing w:val="-2"/>
        </w:rPr>
        <w:t>个月内、或整个存续期的预期信用损失的金额计</w:t>
      </w:r>
      <w:r>
        <w:rPr>
          <w:spacing w:val="-62"/>
        </w:rPr>
        <w:t> </w:t>
      </w:r>
      <w:r>
        <w:rPr>
          <w:spacing w:val="-62"/>
        </w:rPr>
      </w:r>
      <w:r>
        <w:rPr/>
        <w:t>量长期应收款减值损失。除了单项评估信用风险的长期应收款外，基于其信用风险特征，将其划分为不同组合：</w:t>
      </w:r>
    </w:p>
    <w:tbl>
      <w:tblPr>
        <w:tblW w:w="0" w:type="auto"/>
        <w:jc w:val="left"/>
        <w:tblInd w:w="148" w:type="dxa"/>
        <w:tblLayout w:type="fixed"/>
        <w:tblCellMar>
          <w:top w:w="0" w:type="dxa"/>
          <w:left w:w="0" w:type="dxa"/>
          <w:bottom w:w="0" w:type="dxa"/>
          <w:right w:w="0" w:type="dxa"/>
        </w:tblCellMar>
        <w:tblLook w:val="01E0"/>
      </w:tblPr>
      <w:tblGrid>
        <w:gridCol w:w="3059"/>
        <w:gridCol w:w="6015"/>
      </w:tblGrid>
      <w:tr>
        <w:trPr>
          <w:trHeight w:val="34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19"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超过合同约定收款期年限组合</w:t>
            </w:r>
          </w:p>
        </w:tc>
        <w:tc>
          <w:tcPr>
            <w:tcW w:w="6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本组合以长期应收款超过合同约定收款年限作为信用风险特征。</w:t>
            </w:r>
          </w:p>
        </w:tc>
      </w:tr>
    </w:tbl>
    <w:p>
      <w:pPr>
        <w:spacing w:line="240" w:lineRule="auto" w:before="12"/>
        <w:rPr>
          <w:rFonts w:ascii="宋体" w:hAnsi="宋体" w:cs="宋体" w:eastAsia="宋体" w:hint="default"/>
          <w:sz w:val="19"/>
          <w:szCs w:val="19"/>
        </w:rPr>
      </w:pPr>
    </w:p>
    <w:p>
      <w:pPr>
        <w:pStyle w:val="Heading3"/>
        <w:spacing w:line="240" w:lineRule="auto" w:before="36"/>
        <w:ind w:right="1133"/>
        <w:jc w:val="left"/>
        <w:rPr>
          <w:b w:val="0"/>
          <w:bCs w:val="0"/>
        </w:rPr>
      </w:pPr>
      <w:bookmarkStart w:name="22、长期股权投资" w:id="187"/>
      <w:bookmarkEnd w:id="187"/>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jc w:val="left"/>
      </w:pPr>
      <w:r>
        <w:rPr>
          <w:spacing w:val="-2"/>
        </w:rPr>
        <w:t>本部分所指的长期股权投资是指本集团对被投资单位具有控制、共同控制或重大影响的长期股权投资。本集团对被投资单位</w:t>
      </w:r>
      <w:r>
        <w:rPr>
          <w:spacing w:val="-64"/>
        </w:rPr>
        <w:t> </w:t>
      </w:r>
      <w:r>
        <w:rPr>
          <w:spacing w:val="-64"/>
        </w:rPr>
      </w:r>
      <w:r>
        <w:rPr>
          <w:spacing w:val="-2"/>
        </w:rPr>
        <w:t>不具有控制、共同控制或重大影响的长期股权投资，作为以公允价值计量且其变动计入当期损益的金融资产核算，其中如果</w:t>
      </w:r>
      <w:r>
        <w:rPr>
          <w:spacing w:val="-63"/>
        </w:rPr>
        <w:t> </w:t>
      </w:r>
      <w:r>
        <w:rPr>
          <w:spacing w:val="-63"/>
        </w:rPr>
      </w:r>
      <w:r>
        <w:rPr>
          <w:spacing w:val="-2"/>
        </w:rPr>
        <w:t>属于非交易性的，本集团在初始确认时可选择将其指定为以公允价值计量且其变动计入其他综合收益的金融资产核算，其会</w:t>
      </w:r>
      <w:r>
        <w:rPr>
          <w:spacing w:val="-64"/>
        </w:rPr>
        <w:t> </w:t>
      </w:r>
      <w:r>
        <w:rPr>
          <w:spacing w:val="-64"/>
        </w:rPr>
      </w:r>
      <w:r>
        <w:rPr/>
        <w:t>计政策详见附注五、</w:t>
      </w:r>
      <w:r>
        <w:rPr>
          <w:rFonts w:ascii="宋体" w:hAnsi="宋体" w:cs="宋体" w:eastAsia="宋体" w:hint="default"/>
        </w:rPr>
        <w:t>10</w:t>
      </w:r>
      <w:r>
        <w:rPr/>
        <w:t>“金融工具”。 </w:t>
      </w:r>
      <w:r>
        <w:rPr>
          <w:spacing w:val="-2"/>
        </w:rPr>
        <w:t>共同控制，是指本集团按照相关约定对某项安排所共有的控制，并且该安排的相关活动必须经过分享控制权的参与方一致同</w:t>
      </w:r>
      <w:r>
        <w:rPr>
          <w:spacing w:val="-64"/>
        </w:rPr>
        <w:t> </w:t>
      </w:r>
      <w:r>
        <w:rPr>
          <w:spacing w:val="-64"/>
        </w:rPr>
      </w:r>
      <w:r>
        <w:rPr>
          <w:spacing w:val="-2"/>
        </w:rPr>
        <w:t>意后才能决策。重大影响，是指本集团对被投资单位的财务和经营政策有参与决策的权力，但并不能够控制或者与其他方一</w:t>
      </w:r>
      <w:r>
        <w:rPr>
          <w:spacing w:val="-66"/>
        </w:rPr>
        <w:t> </w:t>
      </w:r>
      <w:r>
        <w:rPr>
          <w:spacing w:val="-66"/>
        </w:rPr>
      </w:r>
      <w:r>
        <w:rPr/>
        <w:t>起共同控制这些政策的制定。</w:t>
      </w:r>
    </w:p>
    <w:p>
      <w:pPr>
        <w:pStyle w:val="BodyText"/>
        <w:spacing w:line="316" w:lineRule="auto" w:before="17"/>
        <w:ind w:right="1034"/>
        <w:jc w:val="left"/>
      </w:pPr>
      <w:r>
        <w:rPr>
          <w:rFonts w:ascii="宋体" w:hAnsi="宋体" w:cs="宋体" w:eastAsia="宋体" w:hint="default"/>
        </w:rPr>
        <w:t>1.</w:t>
      </w:r>
      <w:r>
        <w:rPr/>
        <w:t>投资成本的确定 </w:t>
      </w:r>
      <w:r>
        <w:rPr>
          <w:spacing w:val="-2"/>
        </w:rPr>
        <w:t>对于同一控制下的企业合并取得的长期股权投资，在合并日按照被合并方所有者权益在最终控制方合并财务报表中的账面价</w:t>
      </w:r>
      <w:r>
        <w:rPr>
          <w:spacing w:val="-64"/>
        </w:rPr>
        <w:t> </w:t>
      </w:r>
      <w:r>
        <w:rPr>
          <w:spacing w:val="-64"/>
        </w:rPr>
      </w:r>
      <w:r>
        <w:rPr>
          <w:spacing w:val="-2"/>
        </w:rPr>
        <w:t>值的份额作为长期股权投资的初始投资成本。长期股权投资初始投资成本与支付的现金、转让的非现金资产以及所承担债务</w:t>
      </w:r>
      <w:r>
        <w:rPr>
          <w:spacing w:val="-64"/>
        </w:rPr>
        <w:t> </w:t>
      </w:r>
      <w:r>
        <w:rPr>
          <w:spacing w:val="-64"/>
        </w:rPr>
      </w:r>
      <w:r>
        <w:rPr>
          <w:spacing w:val="-2"/>
        </w:rPr>
        <w:t>账面价值之间的差额，调整资本公积；资本公积不足冲减的，调整留存收益。以发行权益性证券作为合并对价的，在合并日</w:t>
      </w:r>
      <w:r>
        <w:rPr>
          <w:spacing w:val="-67"/>
        </w:rPr>
        <w:t> </w:t>
      </w:r>
      <w:r>
        <w:rPr>
          <w:spacing w:val="-67"/>
        </w:rPr>
      </w:r>
      <w:r>
        <w:rPr>
          <w:spacing w:val="-2"/>
        </w:rPr>
        <w:t>按照被合并方所有者权益在最终控制方合并财务报表中的账面价值的份额作为长期股权投资的初始投资成本，按照发行股份</w:t>
      </w:r>
      <w:r>
        <w:rPr>
          <w:spacing w:val="-64"/>
        </w:rPr>
        <w:t> </w:t>
      </w:r>
      <w:r>
        <w:rPr>
          <w:spacing w:val="-64"/>
        </w:rPr>
      </w:r>
      <w:r>
        <w:rPr>
          <w:spacing w:val="-4"/>
        </w:rPr>
        <w:t>的面值总额作为股本，长期股权投资初始投资成本与所发行股份面值总额之间的差额，调整资本公积；资本公积不足冲减的，</w:t>
      </w:r>
      <w:r>
        <w:rPr>
          <w:spacing w:val="-44"/>
        </w:rPr>
        <w:t> </w:t>
      </w:r>
      <w:r>
        <w:rPr>
          <w:spacing w:val="-44"/>
        </w:rPr>
      </w:r>
      <w:r>
        <w:rPr>
          <w:spacing w:val="-2"/>
        </w:rPr>
        <w:t>调整留存收益。通过多次交易分步取得同一控制下被合并方的股权，最终形成同一控制下企业合并的，应分别是否属于“一</w:t>
      </w:r>
      <w:r>
        <w:rPr>
          <w:spacing w:val="-61"/>
        </w:rPr>
        <w:t> </w:t>
      </w:r>
      <w:r>
        <w:rPr>
          <w:spacing w:val="-61"/>
        </w:rPr>
      </w:r>
      <w:r>
        <w:rPr>
          <w:spacing w:val="-4"/>
        </w:rPr>
        <w:t>揽子交易”进行处理：属于“一揽子交易”的，将各项交易作为一项取得控制权的交易进行会计处理。不属于“一揽子交易”</w:t>
      </w:r>
      <w:r>
        <w:rPr>
          <w:spacing w:val="-43"/>
        </w:rPr>
        <w:t> </w:t>
      </w:r>
      <w:r>
        <w:rPr>
          <w:spacing w:val="-43"/>
        </w:rPr>
      </w:r>
      <w:r>
        <w:rPr>
          <w:spacing w:val="-2"/>
        </w:rPr>
        <w:t>的，在合并日按照应享有被合并方所有者权益在最终控制方合并财务报表中的账面价值的份额作为长期股权投资的初始投资</w:t>
      </w:r>
      <w:r>
        <w:rPr>
          <w:spacing w:val="-64"/>
        </w:rPr>
        <w:t> </w:t>
      </w:r>
      <w:r>
        <w:rPr>
          <w:spacing w:val="-64"/>
        </w:rPr>
      </w:r>
      <w:r>
        <w:rPr>
          <w:spacing w:val="-2"/>
        </w:rPr>
        <w:t>成本，长期股权投资初始投资成本与达到合并前的长期股权投资账面价值加上合并日进一步取得股份新支付对价的账面价值</w:t>
      </w:r>
      <w:r>
        <w:rPr>
          <w:spacing w:val="-64"/>
        </w:rPr>
        <w:t> </w:t>
      </w:r>
      <w:r>
        <w:rPr>
          <w:spacing w:val="-64"/>
        </w:rPr>
      </w:r>
      <w:r>
        <w:rPr>
          <w:spacing w:val="-2"/>
        </w:rPr>
        <w:t>之和的差额，调整资本公积；资本公积不足冲减的，调整留存收益。合并日之前持有的股权投资因采用权益法核算或作为以</w:t>
      </w:r>
      <w:r>
        <w:rPr>
          <w:spacing w:val="-64"/>
        </w:rPr>
        <w:t> </w:t>
      </w:r>
      <w:r>
        <w:rPr>
          <w:spacing w:val="-64"/>
        </w:rPr>
      </w:r>
      <w:r>
        <w:rPr/>
        <w:t>公允价值计量且其变动计入其他综合收益的金融资产而确认的其他综合收益，暂不进行会计处理。 </w:t>
      </w:r>
      <w:r>
        <w:rPr>
          <w:spacing w:val="-2"/>
        </w:rPr>
        <w:t>对于非同一控制下的企业合并取得的长期股权投资，在购买日按照合并成本作为长期股权投资的初始投资成本，合并成本包</w:t>
      </w:r>
      <w:r>
        <w:rPr>
          <w:spacing w:val="-64"/>
        </w:rPr>
        <w:t> </w:t>
      </w:r>
      <w:r>
        <w:rPr>
          <w:spacing w:val="-64"/>
        </w:rPr>
      </w:r>
      <w:r>
        <w:rPr>
          <w:spacing w:val="-2"/>
        </w:rPr>
        <w:t>括购买方付出的资产、发生或承担的负债、发行的权益性证券的公允价值之和。通过多次交易分步取得被购买方的股权，最</w:t>
      </w:r>
      <w:r>
        <w:rPr>
          <w:spacing w:val="-64"/>
        </w:rPr>
        <w:t> </w:t>
      </w:r>
      <w:r>
        <w:rPr>
          <w:spacing w:val="-64"/>
        </w:rPr>
      </w:r>
      <w:r>
        <w:rPr>
          <w:spacing w:val="-2"/>
        </w:rPr>
        <w:t>终形成非同一控制下的企业合并的，应分别是否属于“一揽子交易”进行处理：属于“一揽子交易”的，将各项交易作为一</w:t>
      </w:r>
      <w:r>
        <w:rPr>
          <w:spacing w:val="-68"/>
        </w:rPr>
        <w:t> </w:t>
      </w:r>
      <w:r>
        <w:rPr>
          <w:spacing w:val="-68"/>
        </w:rPr>
      </w:r>
      <w:r>
        <w:rPr>
          <w:spacing w:val="-2"/>
        </w:rPr>
        <w:t>项取得控制权的交易进行会计处理。不属于“一揽子交易”的，按照原持有被购买方的股权投资账面价值加上新增投资成本</w:t>
      </w:r>
      <w:r>
        <w:rPr>
          <w:spacing w:val="-65"/>
        </w:rPr>
        <w:t> </w:t>
      </w:r>
      <w:r>
        <w:rPr>
          <w:spacing w:val="-65"/>
        </w:rPr>
      </w:r>
      <w:r>
        <w:rPr>
          <w:spacing w:val="-2"/>
        </w:rPr>
        <w:t>之和，作为改按成本法核算的长期股权投资的初始投资成本。原持有的股权采用权益法核算的，相关其他综合收益暂不进行</w:t>
      </w:r>
      <w:r>
        <w:rPr>
          <w:spacing w:val="-63"/>
        </w:rPr>
        <w:t> </w:t>
      </w:r>
      <w:r>
        <w:rPr>
          <w:spacing w:val="-63"/>
        </w:rPr>
      </w:r>
      <w:r>
        <w:rPr/>
        <w:t>会计处理。 合并方或购买方为企业合并发生的审计、法律服务、评估咨询等中介费用以及其他相关管理费用，于发生时计入当期损益。</w:t>
      </w:r>
      <w:r>
        <w:rPr/>
        <w:t> </w:t>
      </w:r>
      <w:r>
        <w:rPr>
          <w:spacing w:val="-2"/>
        </w:rPr>
        <w:t>除企业合并形成的长期股权投资外的其他股权投资，按成本进行初始计量，该成本视长期股权投资取得方式的不同，分别按</w:t>
      </w:r>
      <w:r>
        <w:rPr>
          <w:spacing w:val="-63"/>
        </w:rPr>
        <w:t> </w:t>
      </w:r>
      <w:r>
        <w:rPr>
          <w:spacing w:val="-63"/>
        </w:rPr>
      </w:r>
      <w:r>
        <w:rPr>
          <w:spacing w:val="-2"/>
        </w:rPr>
        <w:t>照本集团实际支付的现金购买价款、本集团发行的权益性证券的公允价值、投资合同或协议约定的价值、非货币性资产交换</w:t>
      </w:r>
      <w:r>
        <w:rPr>
          <w:spacing w:val="-63"/>
        </w:rPr>
        <w:t> </w:t>
      </w:r>
      <w:r>
        <w:rPr>
          <w:spacing w:val="-63"/>
        </w:rPr>
      </w:r>
      <w:r>
        <w:rPr>
          <w:spacing w:val="-2"/>
        </w:rPr>
        <w:t>交易中换出资产的公允价值或原账面价值、该项长期股权投资自身的公允价值等方式确定。与取得长期股权投资直接相关的</w:t>
      </w:r>
      <w:r>
        <w:rPr>
          <w:spacing w:val="-64"/>
        </w:rPr>
        <w:t> </w:t>
      </w:r>
      <w:r>
        <w:rPr>
          <w:spacing w:val="-64"/>
        </w:rPr>
      </w:r>
      <w:r>
        <w:rPr>
          <w:spacing w:val="-2"/>
        </w:rPr>
        <w:t>费用、税金及其他必要支出也计入投资成本。对于因追加投资能够对被投资单位实施重大影响或实施共同控制但不构成控制</w:t>
      </w:r>
      <w:r>
        <w:rPr>
          <w:spacing w:val="-64"/>
        </w:rPr>
        <w:t> </w:t>
      </w:r>
      <w:r>
        <w:rPr>
          <w:spacing w:val="-64"/>
        </w:rPr>
      </w:r>
      <w:r>
        <w:rPr>
          <w:spacing w:val="-2"/>
        </w:rPr>
        <w:t>的，长期股权投资成本为按照《企业会计准则第</w:t>
      </w:r>
      <w:r>
        <w:rPr>
          <w:rFonts w:ascii="宋体" w:hAnsi="宋体" w:cs="宋体" w:eastAsia="宋体" w:hint="default"/>
          <w:spacing w:val="-2"/>
        </w:rPr>
        <w:t>22</w:t>
      </w:r>
      <w:r>
        <w:rPr>
          <w:spacing w:val="-2"/>
        </w:rPr>
        <w:t>号——金融工具确认和计量》确定的原持有股权投资的公允价值加上新增</w:t>
      </w:r>
      <w:r>
        <w:rPr>
          <w:spacing w:val="-61"/>
        </w:rPr>
        <w:t> </w:t>
      </w:r>
      <w:r>
        <w:rPr>
          <w:spacing w:val="-61"/>
        </w:rPr>
      </w:r>
      <w:r>
        <w:rPr/>
        <w:t>投资成本之和。</w:t>
      </w:r>
    </w:p>
    <w:p>
      <w:pPr>
        <w:pStyle w:val="BodyText"/>
        <w:spacing w:line="316" w:lineRule="auto" w:before="19"/>
        <w:ind w:right="1133"/>
        <w:jc w:val="left"/>
      </w:pPr>
      <w:r>
        <w:rPr>
          <w:rFonts w:ascii="宋体" w:hAnsi="宋体" w:cs="宋体" w:eastAsia="宋体" w:hint="default"/>
        </w:rPr>
        <w:t>2.</w:t>
      </w:r>
      <w:r>
        <w:rPr/>
        <w:t>后续计量及损益确认方法 </w:t>
      </w:r>
      <w:r>
        <w:rPr>
          <w:spacing w:val="-2"/>
        </w:rPr>
        <w:t>对被投资单位具有共同控制（构成共同经营者除外）或重大影响的长期股权投资，采用权益法核算。此外，公司财务报表采</w:t>
      </w:r>
      <w:r>
        <w:rPr>
          <w:spacing w:val="-67"/>
        </w:rPr>
        <w:t> </w:t>
      </w:r>
      <w:r>
        <w:rPr>
          <w:spacing w:val="-67"/>
        </w:rPr>
      </w:r>
      <w:r>
        <w:rPr/>
        <w:t>用成本法核算能够对被投资单位实施控制的长期股权投资。</w:t>
      </w:r>
    </w:p>
    <w:p>
      <w:pPr>
        <w:pStyle w:val="BodyText"/>
        <w:spacing w:line="316" w:lineRule="auto" w:before="19"/>
        <w:ind w:right="0"/>
        <w:jc w:val="left"/>
      </w:pPr>
      <w:r>
        <w:rPr/>
        <w:t>①成本法核算的长期股权投资 </w:t>
      </w:r>
      <w:r>
        <w:rPr>
          <w:spacing w:val="-2"/>
        </w:rPr>
        <w:t>采用成本法核算时，长期股权投资按初始投资成本计价，追加或收回投资调整长期股权投资的成本。除取得投资时实际支付</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19"/>
        <w:jc w:val="left"/>
      </w:pPr>
      <w:r>
        <w:rPr>
          <w:spacing w:val="-2"/>
        </w:rPr>
        <w:t>的价款或者对价中包含的已宣告但尚未发放的现金股利或者利润外，当期投资收益按照享有被投资单位宣告发放的现金股利</w:t>
      </w:r>
      <w:r>
        <w:rPr>
          <w:spacing w:val="-63"/>
        </w:rPr>
        <w:t> </w:t>
      </w:r>
      <w:r>
        <w:rPr>
          <w:spacing w:val="-63"/>
        </w:rPr>
      </w:r>
      <w:r>
        <w:rPr/>
        <w:t>或利润确认。</w:t>
      </w:r>
    </w:p>
    <w:p>
      <w:pPr>
        <w:pStyle w:val="BodyText"/>
        <w:spacing w:line="316" w:lineRule="auto" w:before="17"/>
        <w:ind w:right="0"/>
        <w:jc w:val="left"/>
      </w:pPr>
      <w:r>
        <w:rPr/>
        <w:t>②权益法核算的长期股权投资 </w:t>
      </w:r>
      <w:r>
        <w:rPr>
          <w:spacing w:val="-2"/>
        </w:rPr>
        <w:t>采用权益法核算时，长期股权投资的初始投资成本大于投资时应享有被投资单位可辨认净资产公允价值份额的，不调整长期</w:t>
      </w:r>
      <w:r>
        <w:rPr>
          <w:spacing w:val="-64"/>
        </w:rPr>
        <w:t> </w:t>
      </w:r>
      <w:r>
        <w:rPr>
          <w:spacing w:val="-64"/>
        </w:rPr>
      </w:r>
      <w:r>
        <w:rPr>
          <w:spacing w:val="-4"/>
        </w:rPr>
        <w:t>股权投资的初始投资成本；初始投资成本小于投资时应享有被投资单位可辨认净资产公允价值份额的，其差额计入当期损益，</w:t>
      </w:r>
      <w:r>
        <w:rPr>
          <w:spacing w:val="-44"/>
        </w:rPr>
        <w:t> </w:t>
      </w:r>
      <w:r>
        <w:rPr>
          <w:spacing w:val="-44"/>
        </w:rPr>
      </w:r>
      <w:r>
        <w:rPr/>
        <w:t>同时调整长期股权投资的成本。 </w:t>
      </w:r>
      <w:r>
        <w:rPr>
          <w:spacing w:val="-2"/>
        </w:rPr>
        <w:t>采用权益法核算时，按照应享有或应分担的被投资单位实现的净损益和其他综合收益的份额，分别确认投资收益和其他综合</w:t>
      </w:r>
      <w:r>
        <w:rPr>
          <w:spacing w:val="-64"/>
        </w:rPr>
        <w:t> </w:t>
      </w:r>
      <w:r>
        <w:rPr>
          <w:spacing w:val="-64"/>
        </w:rPr>
      </w:r>
      <w:r>
        <w:rPr>
          <w:spacing w:val="-2"/>
        </w:rPr>
        <w:t>收益，同时调整长期股权投资的账面价值；按照被投资单位宣告分派的利润或现金股利计算应享有的部分，相应减少长期股</w:t>
      </w:r>
      <w:r>
        <w:rPr>
          <w:spacing w:val="-61"/>
        </w:rPr>
        <w:t> </w:t>
      </w:r>
      <w:r>
        <w:rPr>
          <w:spacing w:val="-61"/>
        </w:rPr>
      </w:r>
      <w:r>
        <w:rPr>
          <w:spacing w:val="-2"/>
        </w:rPr>
        <w:t>权投资的账面价值；对于被投资单位除净损益、其他综合收益和利润分配以外所有者权益的其他变动，调整长期股权投资的</w:t>
      </w:r>
      <w:r>
        <w:rPr>
          <w:spacing w:val="-63"/>
        </w:rPr>
        <w:t> </w:t>
      </w:r>
      <w:r>
        <w:rPr>
          <w:spacing w:val="-63"/>
        </w:rPr>
      </w:r>
      <w:r>
        <w:rPr>
          <w:spacing w:val="-2"/>
        </w:rPr>
        <w:t>账面价值并计入资本公积。在确认应享有被投资单位净损益的份额时，以取得投资时被投资单位各项可辨认资产等的公允价</w:t>
      </w:r>
      <w:r>
        <w:rPr>
          <w:spacing w:val="-64"/>
        </w:rPr>
        <w:t> </w:t>
      </w:r>
      <w:r>
        <w:rPr>
          <w:spacing w:val="-64"/>
        </w:rPr>
      </w:r>
      <w:r>
        <w:rPr>
          <w:spacing w:val="-2"/>
        </w:rPr>
        <w:t>值为基础，对被投资单位的净利润进行调整后确认。被投资单位采用的会计政策及会计期间与本集团不一致的，按照本集团</w:t>
      </w:r>
      <w:r>
        <w:rPr>
          <w:spacing w:val="-63"/>
        </w:rPr>
        <w:t> </w:t>
      </w:r>
      <w:r>
        <w:rPr>
          <w:spacing w:val="-63"/>
        </w:rPr>
      </w:r>
      <w:r>
        <w:rPr>
          <w:spacing w:val="-2"/>
        </w:rPr>
        <w:t>的会计政策及会计期间对被投资单位的财务报表进行调整，并据以确认投资收益和其他综合收益。对于本集团与联营企业及</w:t>
      </w:r>
      <w:r>
        <w:rPr>
          <w:spacing w:val="-64"/>
        </w:rPr>
        <w:t> </w:t>
      </w:r>
      <w:r>
        <w:rPr>
          <w:spacing w:val="-64"/>
        </w:rPr>
      </w:r>
      <w:r>
        <w:rPr>
          <w:spacing w:val="-2"/>
        </w:rPr>
        <w:t>合营企业之间发生的交易，投出或出售的资产不构成业务的，未实现内部交易损益按照享有的比例计算归属于本集团的部分</w:t>
      </w:r>
      <w:r>
        <w:rPr>
          <w:spacing w:val="-63"/>
        </w:rPr>
        <w:t> </w:t>
      </w:r>
      <w:r>
        <w:rPr>
          <w:spacing w:val="-63"/>
        </w:rPr>
      </w:r>
      <w:r>
        <w:rPr>
          <w:spacing w:val="-2"/>
        </w:rPr>
        <w:t>予以抵销，在此基础上确认投资损益。但本集团与被投资单位发生的未实现内部交易损失，属于所转让资产减值损失的，不</w:t>
      </w:r>
      <w:r>
        <w:rPr>
          <w:spacing w:val="-64"/>
        </w:rPr>
        <w:t> </w:t>
      </w:r>
      <w:r>
        <w:rPr>
          <w:spacing w:val="-64"/>
        </w:rPr>
      </w:r>
      <w:r>
        <w:rPr>
          <w:spacing w:val="-2"/>
        </w:rPr>
        <w:t>予以抵销。本集团向合营企业或联营企业投出的资产构成业务的，投资方因此取得长期股权投资但未取得控制权的，以投出</w:t>
      </w:r>
      <w:r>
        <w:rPr>
          <w:spacing w:val="-63"/>
        </w:rPr>
        <w:t> </w:t>
      </w:r>
      <w:r>
        <w:rPr>
          <w:spacing w:val="-63"/>
        </w:rPr>
      </w:r>
      <w:r>
        <w:rPr>
          <w:spacing w:val="-2"/>
        </w:rPr>
        <w:t>业务的公允价值作为新增长期股权投资的初始投资成本，初始投资成本与投出业务的账面价值之差，全额计入当期损益。本</w:t>
      </w:r>
      <w:r>
        <w:rPr>
          <w:spacing w:val="-63"/>
        </w:rPr>
        <w:t> </w:t>
      </w:r>
      <w:r>
        <w:rPr>
          <w:spacing w:val="-63"/>
        </w:rPr>
      </w:r>
      <w:r>
        <w:rPr>
          <w:spacing w:val="-2"/>
        </w:rPr>
        <w:t>集团向合营企业或联营企业出售的资产构成业务的，取得的对价与业务的账面价值之差，全额计入当期损益。本集团自联营</w:t>
      </w:r>
      <w:r>
        <w:rPr>
          <w:spacing w:val="-63"/>
        </w:rPr>
        <w:t> </w:t>
      </w:r>
      <w:r>
        <w:rPr>
          <w:spacing w:val="-63"/>
        </w:rPr>
      </w:r>
      <w:r>
        <w:rPr>
          <w:spacing w:val="-2"/>
        </w:rPr>
        <w:t>企业及合营企业购入的资产构成业务的，按《企业会计准则第</w:t>
      </w:r>
      <w:r>
        <w:rPr>
          <w:rFonts w:ascii="宋体" w:hAnsi="宋体" w:cs="宋体" w:eastAsia="宋体" w:hint="default"/>
          <w:spacing w:val="-2"/>
        </w:rPr>
        <w:t>20</w:t>
      </w:r>
      <w:r>
        <w:rPr>
          <w:spacing w:val="-2"/>
        </w:rPr>
        <w:t>号——企业合并》的规定进行会计处理，全额确认与交易相</w:t>
      </w:r>
      <w:r>
        <w:rPr>
          <w:spacing w:val="-61"/>
        </w:rPr>
        <w:t> </w:t>
      </w:r>
      <w:r>
        <w:rPr>
          <w:spacing w:val="-61"/>
        </w:rPr>
      </w:r>
      <w:r>
        <w:rPr/>
        <w:t>关的利得或损失。 </w:t>
      </w:r>
      <w:r>
        <w:rPr>
          <w:spacing w:val="-2"/>
        </w:rPr>
        <w:t>在确认应分担被投资单位发生的净亏损时，以长期股权投资的账面价值和其他实质上构成对被投资单位净投资的长期权益减</w:t>
      </w:r>
      <w:r>
        <w:rPr>
          <w:spacing w:val="-64"/>
        </w:rPr>
        <w:t> </w:t>
      </w:r>
      <w:r>
        <w:rPr>
          <w:spacing w:val="-64"/>
        </w:rPr>
      </w:r>
      <w:r>
        <w:rPr>
          <w:spacing w:val="-2"/>
        </w:rPr>
        <w:t>记至零为限。此外，如本集团对被投资单位负有承担额外损失的义务，则按预计承担的义务确认预计负债，计入当期投资损</w:t>
      </w:r>
      <w:r>
        <w:rPr>
          <w:spacing w:val="-64"/>
        </w:rPr>
        <w:t> </w:t>
      </w:r>
      <w:r>
        <w:rPr>
          <w:spacing w:val="-64"/>
        </w:rPr>
      </w:r>
      <w:r>
        <w:rPr/>
        <w:t>失。被投资单位以后期间实现净利润的，本集团在收益分享额弥补未确认的亏损分担额后，恢复确认收益分享额。 </w:t>
      </w:r>
      <w:r>
        <w:rPr>
          <w:spacing w:val="-2"/>
        </w:rPr>
        <w:t>对于本集团首次执行新会计准则之前已经持有的对联营企业和合营企业的长期股权投资，如存在与该投资相关的股权投资借</w:t>
      </w:r>
      <w:r>
        <w:rPr>
          <w:spacing w:val="-64"/>
        </w:rPr>
        <w:t> </w:t>
      </w:r>
      <w:r>
        <w:rPr>
          <w:spacing w:val="-64"/>
        </w:rPr>
      </w:r>
      <w:r>
        <w:rPr/>
        <w:t>方差额，按原剩余期限直线摊销的金额计入当期损益。</w:t>
      </w:r>
    </w:p>
    <w:p>
      <w:pPr>
        <w:pStyle w:val="BodyText"/>
        <w:spacing w:line="316" w:lineRule="auto" w:before="19"/>
        <w:ind w:right="1034"/>
        <w:jc w:val="left"/>
      </w:pPr>
      <w:r>
        <w:rPr/>
        <w:t>③收购少数股权 在编制合并财务报表时，因购买少数股权新增的长期股权投资与按照新增持股比例计算应享有子公司自购买日（或合并日） 开始持续计算的净资产份额之间的差额，调整资本公积，资本公积不足冲减的，调整留存收益。</w:t>
      </w:r>
    </w:p>
    <w:p>
      <w:pPr>
        <w:pStyle w:val="BodyText"/>
        <w:spacing w:line="316" w:lineRule="auto" w:before="19"/>
        <w:ind w:right="0"/>
        <w:jc w:val="left"/>
      </w:pPr>
      <w:r>
        <w:rPr/>
        <w:t>④处置长期股权投资 </w:t>
      </w:r>
      <w:r>
        <w:rPr>
          <w:spacing w:val="-2"/>
        </w:rPr>
        <w:t>在合并财务报表中，母公司在不丧失控制权的情况下部分处置对子公司的长期股权投资，处置价款与处置长期股权投资相对</w:t>
      </w:r>
      <w:r>
        <w:rPr>
          <w:spacing w:val="-64"/>
        </w:rPr>
        <w:t> </w:t>
      </w:r>
      <w:r>
        <w:rPr>
          <w:spacing w:val="-64"/>
        </w:rPr>
      </w:r>
      <w:r>
        <w:rPr>
          <w:spacing w:val="-2"/>
        </w:rPr>
        <w:t>应享有子公司净资产的差额计入股东权益；母公司部分处置对子公司的长期股权投资导致丧失对子公司控制权的，按本附注</w:t>
      </w:r>
      <w:r>
        <w:rPr>
          <w:spacing w:val="-64"/>
        </w:rPr>
        <w:t> </w:t>
      </w:r>
      <w:r>
        <w:rPr>
          <w:spacing w:val="-64"/>
        </w:rPr>
      </w:r>
      <w:r>
        <w:rPr/>
        <w:t>五、</w:t>
      </w:r>
      <w:r>
        <w:rPr>
          <w:rFonts w:ascii="宋体" w:hAnsi="宋体" w:cs="宋体" w:eastAsia="宋体" w:hint="default"/>
        </w:rPr>
        <w:t>6</w:t>
      </w:r>
      <w:r>
        <w:rPr/>
        <w:t>、“合并财务报表编制的方法”（</w:t>
      </w:r>
      <w:r>
        <w:rPr>
          <w:rFonts w:ascii="宋体" w:hAnsi="宋体" w:cs="宋体" w:eastAsia="宋体" w:hint="default"/>
        </w:rPr>
        <w:t>2</w:t>
      </w:r>
      <w:r>
        <w:rPr/>
        <w:t>）中所述的相关会计政策处理。 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采用权益法核算的长期股权投资，处置后的剩余股权仍采用权益法核算的，在处置时将原计入股东权益的其他综合收益部分</w:t>
      </w:r>
      <w:r>
        <w:rPr>
          <w:spacing w:val="-64"/>
        </w:rPr>
        <w:t> </w:t>
      </w:r>
      <w:r>
        <w:rPr>
          <w:spacing w:val="-64"/>
        </w:rPr>
      </w:r>
      <w:r>
        <w:rPr>
          <w:spacing w:val="-2"/>
        </w:rPr>
        <w:t>按相应的比例采用与被投资单位直接处置相关资产或负债相同的基础进行会计处理。因被投资方除净损益、其他综合收益和</w:t>
      </w:r>
      <w:r>
        <w:rPr>
          <w:spacing w:val="-64"/>
        </w:rPr>
        <w:t> </w:t>
      </w:r>
      <w:r>
        <w:rPr>
          <w:spacing w:val="-64"/>
        </w:rPr>
      </w:r>
      <w:r>
        <w:rPr/>
        <w:t>利润分配以外的其他所有者权益变动而确认的所有者权益，按比例结转入当期损益。 </w:t>
      </w:r>
      <w:r>
        <w:rPr>
          <w:spacing w:val="-2"/>
        </w:rPr>
        <w:t>采用成本法核算的长期股权投资，处置后剩余股权仍采用成本法核算的，其在取得对被投资单位的控制之前因采用权益法核</w:t>
      </w:r>
      <w:r>
        <w:rPr>
          <w:spacing w:val="-63"/>
        </w:rPr>
        <w:t> </w:t>
      </w:r>
      <w:r>
        <w:rPr>
          <w:spacing w:val="-63"/>
        </w:rPr>
      </w:r>
      <w:r>
        <w:rPr>
          <w:spacing w:val="-2"/>
        </w:rPr>
        <w:t>算或金融工具确认和计量准则核算而确认的其他综合收益，采用与被投资单位直接处置相关资产或负债相同的基础进行会计</w:t>
      </w:r>
      <w:r>
        <w:rPr>
          <w:spacing w:val="-64"/>
        </w:rPr>
        <w:t> </w:t>
      </w:r>
      <w:r>
        <w:rPr>
          <w:spacing w:val="-64"/>
        </w:rPr>
      </w:r>
      <w:r>
        <w:rPr>
          <w:spacing w:val="-2"/>
        </w:rPr>
        <w:t>处理，并按比例结转当期损益；因采用权益法核算而确认的被投资单位净资产中除净损益、其他综合收益和利润分配以外的</w:t>
      </w:r>
      <w:r>
        <w:rPr>
          <w:spacing w:val="-63"/>
        </w:rPr>
        <w:t> </w:t>
      </w:r>
      <w:r>
        <w:rPr>
          <w:spacing w:val="-63"/>
        </w:rPr>
      </w:r>
      <w:r>
        <w:rPr/>
        <w:t>其他所有者权益变动按比例结转当期损益。 </w:t>
      </w:r>
      <w:r>
        <w:rPr>
          <w:spacing w:val="-2"/>
        </w:rPr>
        <w:t>本集团因处置部分股权投资丧失了对被投资单位的控制的，在编制个别财务报表时，处置后的剩余股权能够对被投资单位实</w:t>
      </w:r>
      <w:r>
        <w:rPr>
          <w:spacing w:val="-64"/>
        </w:rPr>
        <w:t> </w:t>
      </w:r>
      <w:r>
        <w:rPr>
          <w:spacing w:val="-64"/>
        </w:rPr>
      </w:r>
      <w:r>
        <w:rPr>
          <w:spacing w:val="-2"/>
        </w:rPr>
        <w:t>施共同控制或施加重大影响的，改按权益法核算，并对该剩余股权视同自取得时即采用权益法核算进行调整；处置后的剩余</w:t>
      </w:r>
      <w:r>
        <w:rPr>
          <w:spacing w:val="-66"/>
        </w:rPr>
        <w:t> </w:t>
      </w:r>
      <w:r>
        <w:rPr>
          <w:spacing w:val="-66"/>
        </w:rPr>
      </w:r>
      <w:r>
        <w:rPr>
          <w:spacing w:val="-2"/>
        </w:rPr>
        <w:t>股权不能对被投资单位实施共同控制或施加重大影响的，改按金融工具确认和计量准则的有关规定进行会计处理，其在丧失</w:t>
      </w:r>
      <w:r>
        <w:rPr>
          <w:spacing w:val="-64"/>
        </w:rPr>
        <w:t> </w:t>
      </w:r>
      <w:r>
        <w:rPr>
          <w:spacing w:val="-64"/>
        </w:rPr>
      </w:r>
      <w:r>
        <w:rPr>
          <w:spacing w:val="-2"/>
        </w:rPr>
        <w:t>控制之日的公允价值与账面价值之间的差额计入当期损益。对于本集团取得对被投资单位的控制之前，因采用权益法核算或</w:t>
      </w:r>
      <w:r>
        <w:rPr>
          <w:spacing w:val="-64"/>
        </w:rPr>
        <w:t> </w:t>
      </w:r>
      <w:r>
        <w:rPr>
          <w:spacing w:val="-64"/>
        </w:rPr>
      </w:r>
      <w:r>
        <w:rPr>
          <w:spacing w:val="-2"/>
        </w:rPr>
        <w:t>金融工具确认和计量准则核算而确认的其他综合收益，在丧失对被投资单位控制时采用与被投资单位直接处置相关资产或负</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0"/>
        <w:jc w:val="left"/>
      </w:pPr>
      <w:r>
        <w:rPr>
          <w:spacing w:val="-2"/>
        </w:rPr>
        <w:t>债相同的基础进行会计处理，因采用权益法核算而确认的被投资单位净资产中除净损益、其他综合收益和利润分配以外的其</w:t>
      </w:r>
      <w:r>
        <w:rPr>
          <w:spacing w:val="-64"/>
        </w:rPr>
        <w:t> </w:t>
      </w:r>
      <w:r>
        <w:rPr>
          <w:spacing w:val="-64"/>
        </w:rPr>
      </w:r>
      <w:r>
        <w:rPr>
          <w:spacing w:val="-2"/>
        </w:rPr>
        <w:t>他所有者权益变动在丧失对被投资单位控制时结转入当期损益。其中，处置后的剩余股权采用权益法核算的，其他综合收益</w:t>
      </w:r>
      <w:r>
        <w:rPr>
          <w:spacing w:val="-64"/>
        </w:rPr>
        <w:t> </w:t>
      </w:r>
      <w:r>
        <w:rPr>
          <w:spacing w:val="-64"/>
        </w:rPr>
      </w:r>
      <w:r>
        <w:rPr>
          <w:spacing w:val="-2"/>
        </w:rPr>
        <w:t>和其他所有者权益按比例结转；处置后的剩余股权改按金融工具确认和计量准则进行会计处理的，其他综合收益和其他所有</w:t>
      </w:r>
      <w:r>
        <w:rPr>
          <w:spacing w:val="-64"/>
        </w:rPr>
        <w:t> </w:t>
      </w:r>
      <w:r>
        <w:rPr>
          <w:spacing w:val="-64"/>
        </w:rPr>
      </w:r>
      <w:r>
        <w:rPr/>
        <w:t>者权益全部结转。 </w:t>
      </w:r>
      <w:r>
        <w:rPr>
          <w:spacing w:val="-2"/>
        </w:rPr>
        <w:t>本集团因处置部分股权投资丧失了对被投资单位的共同控制或重大影响的，处置后的剩余股权改按金融工具确认和计量准则</w:t>
      </w:r>
      <w:r>
        <w:rPr>
          <w:spacing w:val="-64"/>
        </w:rPr>
        <w:t> </w:t>
      </w:r>
      <w:r>
        <w:rPr>
          <w:spacing w:val="-64"/>
        </w:rPr>
      </w: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确认的其他综合收益，在终止采用权益法核算时采用与被投资单位直接处置相关资产或负债相同的基础进行会计处理，因被</w:t>
      </w:r>
      <w:r>
        <w:rPr>
          <w:spacing w:val="-64"/>
        </w:rPr>
        <w:t> </w:t>
      </w:r>
      <w:r>
        <w:rPr>
          <w:spacing w:val="-64"/>
        </w:rPr>
      </w:r>
      <w:r>
        <w:rPr>
          <w:spacing w:val="-2"/>
        </w:rPr>
        <w:t>投资方除净损益、其他综合收益和利润分配以外的其他所有者权益变动而确认的所有者权益，在终止采用权益法时全部转入</w:t>
      </w:r>
      <w:r>
        <w:rPr>
          <w:spacing w:val="-63"/>
        </w:rPr>
        <w:t> </w:t>
      </w:r>
      <w:r>
        <w:rPr>
          <w:spacing w:val="-63"/>
        </w:rPr>
      </w:r>
      <w:r>
        <w:rPr/>
        <w:t>当期投资收益。 </w:t>
      </w:r>
      <w:r>
        <w:rPr>
          <w:spacing w:val="-2"/>
        </w:rPr>
        <w:t>本集团通过多次交易分步处置对子公司股权投资直至丧失控制权，如果上述交易属于一揽子交易的，将各项交易作为一项处</w:t>
      </w:r>
      <w:r>
        <w:rPr>
          <w:spacing w:val="-64"/>
        </w:rPr>
        <w:t> </w:t>
      </w:r>
      <w:r>
        <w:rPr>
          <w:spacing w:val="-64"/>
        </w:rPr>
      </w:r>
      <w:r>
        <w:rPr>
          <w:spacing w:val="-2"/>
        </w:rPr>
        <w:t>置子公司股权投资并丧失控制权的交易进行会计处理，在丧失控制权之前每一次处置价款与所处置的股权对应的长期股权投</w:t>
      </w:r>
      <w:r>
        <w:rPr>
          <w:spacing w:val="-64"/>
        </w:rPr>
        <w:t> </w:t>
      </w:r>
      <w:r>
        <w:rPr>
          <w:spacing w:val="-64"/>
        </w:rPr>
      </w:r>
      <w:r>
        <w:rPr/>
        <w:t>资账面价值之间的差额，先确认为其他综合收益，到丧失控制权时再一并转入丧失控制权的当期损益。</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23、投资性房地产" w:id="188"/>
      <w:bookmarkEnd w:id="188"/>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954"/>
        <w:jc w:val="left"/>
      </w:pPr>
      <w:r>
        <w:rPr/>
        <w:t>投资性房地产计量模式 成本法计量 折旧或摊销方法</w:t>
      </w:r>
    </w:p>
    <w:p>
      <w:pPr>
        <w:pStyle w:val="BodyText"/>
        <w:spacing w:line="316" w:lineRule="auto" w:before="29"/>
        <w:ind w:right="1034"/>
        <w:jc w:val="left"/>
      </w:pPr>
      <w:r>
        <w:rPr>
          <w:spacing w:val="-2"/>
        </w:rPr>
        <w:t>投资性房地产是指为赚取租金或资本增值，或两者兼有而持有的房地产。包括已出租的土地使用权、持有并准备增值后转让</w:t>
      </w:r>
      <w:r>
        <w:rPr>
          <w:spacing w:val="-62"/>
        </w:rPr>
        <w:t> </w:t>
      </w:r>
      <w:r>
        <w:rPr>
          <w:spacing w:val="-62"/>
        </w:rPr>
      </w:r>
      <w:r>
        <w:rPr/>
        <w:t>的土地使用权、已出租的建筑物等。 </w:t>
      </w:r>
      <w:r>
        <w:rPr>
          <w:spacing w:val="-2"/>
        </w:rPr>
        <w:t>投资性房地产按成本进行初始计量。与投资性房地产有关的后续支出，如果与该资产有关的经济利益很可能流入且其成本能</w:t>
      </w:r>
      <w:r>
        <w:rPr>
          <w:spacing w:val="-64"/>
        </w:rPr>
        <w:t> </w:t>
      </w:r>
      <w:r>
        <w:rPr>
          <w:spacing w:val="-64"/>
        </w:rPr>
      </w:r>
      <w:r>
        <w:rPr/>
        <w:t>可靠地计量，则计入投资性房地产成本。其他后续支出，在发生时计入当期损益。 本集团采用成本模式对投资性房地产进行后续计量，并按照与房屋建筑物或土地使用权一致的政策进行折旧或摊销。 投资性房地产的减值测试方法和减值准备计提方法详见附注五、</w:t>
      </w:r>
      <w:r>
        <w:rPr>
          <w:rFonts w:ascii="宋体" w:hAnsi="宋体" w:cs="宋体" w:eastAsia="宋体" w:hint="default"/>
        </w:rPr>
        <w:t>31</w:t>
      </w:r>
      <w:r>
        <w:rPr/>
        <w:t>“长期资产减值”。</w:t>
      </w:r>
      <w:r>
        <w:rPr>
          <w:spacing w:val="-87"/>
        </w:rPr>
        <w:t> </w:t>
      </w:r>
      <w:r>
        <w:rPr/>
        <w:t>自用房地产或存货转换为投资性房地产或投资性房地产转换为自用房地产时，按转换前的账面价值作为转换后的入账价值。</w:t>
      </w:r>
      <w:r>
        <w:rPr/>
        <w:t> </w:t>
      </w:r>
      <w:r>
        <w:rPr>
          <w:spacing w:val="-2"/>
        </w:rPr>
        <w:t>投资性房地产的用途改变为自用时，自改变之日起，将该投资性房地产转换为固定资产或无形资产。自用房地产的用途改变</w:t>
      </w:r>
      <w:r>
        <w:rPr>
          <w:spacing w:val="-66"/>
        </w:rPr>
        <w:t> </w:t>
      </w:r>
      <w:r>
        <w:rPr>
          <w:spacing w:val="-66"/>
        </w:rPr>
      </w:r>
      <w:r>
        <w:rPr>
          <w:spacing w:val="-2"/>
        </w:rPr>
        <w:t>为赚取租金或资本增值时，自改变之日起，将固定资产或无形资产转换为投资性房地产。发生转换时，转换为采用成本模式</w:t>
      </w:r>
      <w:r>
        <w:rPr>
          <w:spacing w:val="-65"/>
        </w:rPr>
        <w:t> </w:t>
      </w:r>
      <w:r>
        <w:rPr>
          <w:spacing w:val="-65"/>
        </w:rPr>
      </w:r>
      <w:r>
        <w:rPr>
          <w:spacing w:val="-2"/>
        </w:rPr>
        <w:t>计量的投资性房地产的，以转换前的账面价值作为转换后的入账价值；转换为以公允价值模式计量的投资性房地产的，以转</w:t>
      </w:r>
      <w:r>
        <w:rPr>
          <w:spacing w:val="-63"/>
        </w:rPr>
        <w:t> </w:t>
      </w:r>
      <w:r>
        <w:rPr>
          <w:spacing w:val="-63"/>
        </w:rPr>
      </w:r>
      <w:r>
        <w:rPr/>
        <w:t>换日的公允价值作为转换后的入账价值。 </w:t>
      </w:r>
      <w:r>
        <w:rPr>
          <w:spacing w:val="-2"/>
        </w:rPr>
        <w:t>当投资性房地产被处置、或者永久退出使用且预计不能从其处置中取得经济利益时，终止确认该项投资性房地产。投资性房</w:t>
      </w:r>
      <w:r>
        <w:rPr>
          <w:spacing w:val="-61"/>
        </w:rPr>
        <w:t> </w:t>
      </w:r>
      <w:r>
        <w:rPr>
          <w:spacing w:val="-61"/>
        </w:rPr>
      </w:r>
      <w:r>
        <w:rPr/>
        <w:t>地产出售、转让、报废或毁损的处置收入扣除其账面价值和相关税费后计入当期损益。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4、固定资产" w:id="189"/>
      <w:bookmarkEnd w:id="189"/>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确认条件" w:id="190"/>
      <w:bookmarkEnd w:id="19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1"/>
        <w:jc w:val="both"/>
      </w:pPr>
      <w:r>
        <w:rPr>
          <w:spacing w:val="-2"/>
        </w:rPr>
        <w:t>固定资产是指为生产商品、提供劳务、出租或经营管理而持有的，使用寿命超过一个会计年度的有形资产。固定资产仅在与</w:t>
      </w:r>
      <w:r>
        <w:rPr>
          <w:spacing w:val="-65"/>
        </w:rPr>
        <w:t> </w:t>
      </w:r>
      <w:r>
        <w:rPr>
          <w:spacing w:val="-65"/>
        </w:rPr>
      </w:r>
      <w:r>
        <w:rPr>
          <w:spacing w:val="-2"/>
        </w:rPr>
        <w:t>其有关的经济利益很可能流入本集团，且其成本能够可靠地计量时才予以确认。固定资产按成本并考虑预计弃置费用因素的</w:t>
      </w:r>
      <w:r>
        <w:rPr>
          <w:spacing w:val="-64"/>
        </w:rPr>
        <w:t> </w:t>
      </w:r>
      <w:r>
        <w:rPr>
          <w:spacing w:val="-64"/>
        </w:rPr>
      </w:r>
      <w:r>
        <w:rPr/>
        <w:t>影响进行初始计量。</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bookmarkStart w:name="（2）折旧方法" w:id="191"/>
      <w:bookmarkEnd w:id="19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20.00-30.00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4.75-3.17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4.00-5.00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23.75-19.00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4.00-5.00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23.75-19.00</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3）融资租入固定资产的认定依据、计价和折旧方法" w:id="192"/>
      <w:bookmarkEnd w:id="192"/>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融资租赁为实质上转移了与资产所有权有关的全部风险和报酬的租赁，其所有权最终可能转移，也可能不转移。以融资租赁</w:t>
      </w:r>
      <w:r>
        <w:rPr>
          <w:spacing w:val="-66"/>
        </w:rPr>
        <w:t> </w:t>
      </w:r>
      <w:r>
        <w:rPr>
          <w:spacing w:val="-66"/>
        </w:rPr>
      </w:r>
      <w:r>
        <w:rPr/>
        <w:t>方式租入的固定资产采用与自有固定资产一致的政策计提租赁资产折旧。能够合理确定租赁期届满时取得租赁资产所有权 </w:t>
      </w:r>
      <w:r>
        <w:rPr>
          <w:spacing w:val="-2"/>
        </w:rPr>
        <w:t>的，在租赁资产使用寿命内计提折旧；无法合理确定租赁期届满能够取得租赁资产所有权的，在租赁期与租赁资产使用寿命</w:t>
      </w:r>
      <w:r>
        <w:rPr>
          <w:spacing w:val="-61"/>
        </w:rPr>
        <w:t> </w:t>
      </w:r>
      <w:r>
        <w:rPr>
          <w:spacing w:val="-61"/>
        </w:rPr>
      </w:r>
      <w:r>
        <w:rPr/>
        <w:t>两者中较短的期间内计提折旧。</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25、在建工程" w:id="193"/>
      <w:bookmarkEnd w:id="193"/>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在建工程成本按实际工程支出确定，包括在建期间发生的各项工程支出以及其他相关费用等。在建工程在达到预定可使用状</w:t>
      </w:r>
      <w:r>
        <w:rPr>
          <w:spacing w:val="-64"/>
        </w:rPr>
        <w:t> </w:t>
      </w:r>
      <w:r>
        <w:rPr>
          <w:spacing w:val="-64"/>
        </w:rPr>
      </w:r>
      <w:r>
        <w:rPr/>
        <w:t>态后结转为固定资产。</w:t>
      </w:r>
    </w:p>
    <w:p>
      <w:pPr>
        <w:pStyle w:val="BodyText"/>
        <w:spacing w:line="240" w:lineRule="auto" w:before="57"/>
        <w:ind w:right="1133"/>
        <w:jc w:val="left"/>
      </w:pPr>
      <w:r>
        <w:rPr/>
        <w:t>在建工程的减值测试方法和减值准备计提方法详见附注五</w:t>
      </w:r>
      <w:r>
        <w:rPr>
          <w:spacing w:val="1"/>
        </w:rPr>
        <w:t>、</w:t>
      </w:r>
      <w:r>
        <w:rPr>
          <w:rFonts w:ascii="宋体" w:hAnsi="宋体" w:cs="宋体" w:eastAsia="宋体" w:hint="default"/>
          <w:spacing w:val="1"/>
        </w:rPr>
        <w:t>31</w:t>
      </w:r>
      <w:r>
        <w:rPr/>
        <w:t>“长期资产减值</w:t>
      </w:r>
      <w:r>
        <w:rPr>
          <w:spacing w:val="-92"/>
        </w:rPr>
        <w:t>”</w:t>
      </w:r>
      <w:r>
        <w:rPr/>
        <w:t>。</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6、借款费用" w:id="194"/>
      <w:bookmarkEnd w:id="194"/>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jc w:val="both"/>
      </w:pPr>
      <w:r>
        <w:rPr>
          <w:spacing w:val="-2"/>
        </w:rPr>
        <w:t>借款费用包括借款利息、折价或溢价的摊销、辅助费用以及因外币借款而发生的汇兑差额等。可直接归属于符合资本化条件</w:t>
      </w:r>
      <w:r>
        <w:rPr>
          <w:spacing w:val="-63"/>
        </w:rPr>
        <w:t> </w:t>
      </w:r>
      <w:r>
        <w:rPr>
          <w:spacing w:val="-63"/>
        </w:rPr>
      </w:r>
      <w:r>
        <w:rPr>
          <w:spacing w:val="-2"/>
        </w:rPr>
        <w:t>的资产的购建或者生产的借款费用，在资产支出已经发生、借款费用已经发生、为使资产达到预定可使用或可销售状态所必</w:t>
      </w:r>
      <w:r>
        <w:rPr>
          <w:spacing w:val="-65"/>
        </w:rPr>
        <w:t> </w:t>
      </w:r>
      <w:r>
        <w:rPr>
          <w:spacing w:val="-65"/>
        </w:rPr>
      </w:r>
      <w:r>
        <w:rPr>
          <w:spacing w:val="-2"/>
        </w:rPr>
        <w:t>要的购建或生产活动已经开始时，开始资本化；构建或者生产的符合资本化条件的资产达到预定可使用状态或者可销售状态</w:t>
      </w:r>
      <w:r>
        <w:rPr>
          <w:spacing w:val="-64"/>
        </w:rPr>
        <w:t> </w:t>
      </w:r>
      <w:r>
        <w:rPr>
          <w:spacing w:val="-64"/>
        </w:rPr>
      </w:r>
      <w:r>
        <w:rPr/>
        <w:t>时，停止资本化。其余借款费用在发生当期确认为费用。</w:t>
      </w:r>
    </w:p>
    <w:p>
      <w:pPr>
        <w:pStyle w:val="BodyText"/>
        <w:spacing w:line="316" w:lineRule="auto" w:before="60"/>
        <w:ind w:right="1034"/>
        <w:jc w:val="left"/>
      </w:pPr>
      <w:r>
        <w:rPr>
          <w:spacing w:val="-2"/>
        </w:rPr>
        <w:t>专门借款当期实际发生的利息费用，减去尚未动用的借款资金存入银行取得的利息收入或进行暂时性投资取得的投资收益后</w:t>
      </w:r>
      <w:r>
        <w:rPr>
          <w:spacing w:val="-64"/>
        </w:rPr>
        <w:t> </w:t>
      </w:r>
      <w:r>
        <w:rPr>
          <w:spacing w:val="-64"/>
        </w:rPr>
      </w:r>
      <w:r>
        <w:rPr/>
        <w:t>的金额予以资本化；一般借款根据累计资产支出超过专门借款部分的资产支出加权平均数乘以所占用一般借款的资本化率， 确定资本化金额。资本化率根据一般借款的加权平均利率计算确定。</w:t>
      </w:r>
    </w:p>
    <w:p>
      <w:pPr>
        <w:pStyle w:val="BodyText"/>
        <w:spacing w:line="338" w:lineRule="auto" w:before="57"/>
        <w:ind w:right="0"/>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符合资本化条件的资产指需要经过相当长时间的购建或者生产活动才能达到预定可使用或可销售状态的固定资产、投资性房</w:t>
      </w:r>
      <w:r>
        <w:rPr>
          <w:spacing w:val="-64"/>
        </w:rPr>
        <w:t> </w:t>
      </w:r>
      <w:r>
        <w:rPr>
          <w:spacing w:val="-64"/>
        </w:rPr>
      </w:r>
      <w:r>
        <w:rPr/>
        <w:t>地产和存货等资产。</w:t>
      </w:r>
    </w:p>
    <w:p>
      <w:pPr>
        <w:pStyle w:val="BodyText"/>
        <w:spacing w:line="316" w:lineRule="auto" w:before="43"/>
        <w:ind w:right="1031"/>
        <w:jc w:val="left"/>
      </w:pPr>
      <w:r>
        <w:rPr>
          <w:spacing w:val="-3"/>
        </w:rPr>
        <w:t>如果符合资本化条件的资产在购建或生产过程中发生非正常中断、并且中断时间连续超过</w:t>
      </w:r>
      <w:r>
        <w:rPr>
          <w:spacing w:val="-28"/>
        </w:rPr>
        <w:t> </w:t>
      </w:r>
      <w:r>
        <w:rPr>
          <w:rFonts w:ascii="宋体" w:hAnsi="宋体" w:cs="宋体" w:eastAsia="宋体" w:hint="default"/>
        </w:rPr>
        <w:t>3</w:t>
      </w:r>
      <w:r>
        <w:rPr>
          <w:rFonts w:ascii="宋体" w:hAnsi="宋体" w:cs="宋体" w:eastAsia="宋体" w:hint="default"/>
          <w:spacing w:val="-32"/>
        </w:rPr>
        <w:t> </w:t>
      </w:r>
      <w:r>
        <w:rPr>
          <w:spacing w:val="-6"/>
        </w:rPr>
        <w:t>个月的，暂停借款费用的资本化，</w:t>
      </w:r>
      <w:r>
        <w:rPr>
          <w:spacing w:val="-88"/>
        </w:rPr>
        <w:t> </w:t>
      </w:r>
      <w:r>
        <w:rPr>
          <w:spacing w:val="-88"/>
        </w:rPr>
      </w:r>
      <w:r>
        <w:rPr/>
        <w:t>直至资产的购建或生产活动重新开始。</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bookmarkStart w:name="27、生物资产" w:id="195"/>
      <w:bookmarkEnd w:id="195"/>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28、油气资产" w:id="196"/>
      <w:bookmarkEnd w:id="196"/>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29、使用权资产" w:id="197"/>
      <w:bookmarkEnd w:id="197"/>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30、无形资产" w:id="198"/>
      <w:bookmarkEnd w:id="198"/>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计价方法、使用寿命、减值测试" w:id="199"/>
      <w:bookmarkEnd w:id="19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无形资产是指本集团拥有或者控制的没有实物形态的可辨认非货币性资产。</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jc w:val="both"/>
      </w:pPr>
      <w:r>
        <w:rPr>
          <w:spacing w:val="-2"/>
        </w:rPr>
        <w:t>无形资产按成本进行初始计量。与无形资产有关的支出，如果相关的经济利益很可能流入本集团且其成本能可靠地计量，则</w:t>
      </w:r>
      <w:r>
        <w:rPr>
          <w:spacing w:val="-65"/>
        </w:rPr>
        <w:t> </w:t>
      </w:r>
      <w:r>
        <w:rPr>
          <w:spacing w:val="-65"/>
        </w:rPr>
      </w:r>
      <w:r>
        <w:rPr/>
        <w:t>计入无形资产成本。除此以外的其他项目的支出，在发生时计入当期损益。</w:t>
      </w:r>
    </w:p>
    <w:p>
      <w:pPr>
        <w:pStyle w:val="BodyText"/>
        <w:spacing w:line="316" w:lineRule="auto" w:before="58"/>
        <w:ind w:right="1130"/>
        <w:jc w:val="both"/>
      </w:pPr>
      <w:r>
        <w:rPr>
          <w:spacing w:val="-2"/>
        </w:rPr>
        <w:t>取得的土地使用权通常作为无形资产核算。自行开发建造厂房等建筑物，相关的土地使用权支出和建筑物建造成本则分别作</w:t>
      </w:r>
      <w:r>
        <w:rPr>
          <w:spacing w:val="-64"/>
        </w:rPr>
        <w:t> </w:t>
      </w:r>
      <w:r>
        <w:rPr>
          <w:spacing w:val="-64"/>
        </w:rPr>
      </w:r>
      <w:r>
        <w:rPr>
          <w:spacing w:val="-2"/>
        </w:rPr>
        <w:t>为无形资产和固定资产核算。如为外购的房屋及建筑物，则将有关价款在土地使用权和建筑物之间进行分配，难以合理分配</w:t>
      </w:r>
      <w:r>
        <w:rPr>
          <w:spacing w:val="-63"/>
        </w:rPr>
        <w:t> </w:t>
      </w:r>
      <w:r>
        <w:rPr>
          <w:spacing w:val="-63"/>
        </w:rPr>
      </w:r>
      <w:r>
        <w:rPr/>
        <w:t>的，全部作为固定资产处理。</w:t>
      </w:r>
    </w:p>
    <w:p>
      <w:pPr>
        <w:pStyle w:val="BodyText"/>
        <w:spacing w:line="316" w:lineRule="auto" w:before="57"/>
        <w:ind w:right="1133"/>
        <w:jc w:val="both"/>
      </w:pPr>
      <w:r>
        <w:rPr>
          <w:spacing w:val="-2"/>
        </w:rPr>
        <w:t>使用寿命有限的无形资产自可供使用时起，对其原值在其预计使用寿命内采用直线法分期平均摊销。使用寿命不确定的无形</w:t>
      </w:r>
      <w:r>
        <w:rPr>
          <w:spacing w:val="-64"/>
        </w:rPr>
        <w:t> </w:t>
      </w:r>
      <w:r>
        <w:rPr>
          <w:spacing w:val="-64"/>
        </w:rPr>
      </w:r>
      <w:r>
        <w:rPr/>
        <w:t>资产不予摊销。</w:t>
      </w:r>
    </w:p>
    <w:p>
      <w:pPr>
        <w:pStyle w:val="BodyText"/>
        <w:spacing w:line="240" w:lineRule="auto" w:before="59"/>
        <w:ind w:right="0"/>
        <w:jc w:val="both"/>
      </w:pPr>
      <w:r>
        <w:rPr/>
        <w:t>其中，知识产权类无形资产项目的使用寿命及摊销方法如下：</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2"/>
        <w:gridCol w:w="1702"/>
        <w:gridCol w:w="4962"/>
      </w:tblGrid>
      <w:tr>
        <w:trPr>
          <w:trHeight w:val="42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使用寿命</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摊销方法</w:t>
            </w:r>
          </w:p>
        </w:tc>
      </w:tr>
      <w:tr>
        <w:trPr>
          <w:trHeight w:val="4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计算机软件著作权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2"/>
                <w:sz w:val="18"/>
                <w:szCs w:val="18"/>
              </w:rPr>
              <w:t> </w:t>
            </w:r>
            <w:r>
              <w:rPr>
                <w:rFonts w:ascii="宋体" w:hAnsi="宋体" w:cs="宋体" w:eastAsia="宋体" w:hint="default"/>
                <w:sz w:val="18"/>
                <w:szCs w:val="18"/>
              </w:rPr>
              <w:t>年</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参考能为公司带来经济利益的期限确定使用寿命</w:t>
            </w:r>
          </w:p>
        </w:tc>
      </w:tr>
    </w:tbl>
    <w:p>
      <w:pPr>
        <w:pStyle w:val="BodyText"/>
        <w:spacing w:line="319" w:lineRule="auto" w:before="49"/>
        <w:ind w:right="1131"/>
        <w:jc w:val="both"/>
      </w:pPr>
      <w:r>
        <w:rPr>
          <w:spacing w:val="-2"/>
        </w:rPr>
        <w:t>期末，对使用寿命有限的无形资产的使用寿命和摊销方法进行复核，如发生变更则作为会计估计变更处理。此外，还对使用</w:t>
      </w:r>
      <w:r>
        <w:rPr>
          <w:spacing w:val="-64"/>
        </w:rPr>
        <w:t> </w:t>
      </w:r>
      <w:r>
        <w:rPr>
          <w:spacing w:val="-64"/>
        </w:rPr>
      </w:r>
      <w:r>
        <w:rPr>
          <w:spacing w:val="-2"/>
        </w:rPr>
        <w:t>寿命不确定的无形资产的使用寿命进行复核，如果有证据表明该无形资产为企业带来经济利益的期限是可预见的，则估计其</w:t>
      </w:r>
      <w:r>
        <w:rPr>
          <w:spacing w:val="-64"/>
        </w:rPr>
        <w:t> </w:t>
      </w:r>
      <w:r>
        <w:rPr>
          <w:spacing w:val="-64"/>
        </w:rPr>
      </w:r>
      <w:r>
        <w:rPr/>
        <w:t>使用寿命并按照使用寿命有限的无形资产的摊销政策进行摊销。</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2）内部研究开发支出会计政策" w:id="200"/>
      <w:bookmarkEnd w:id="20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2114"/>
        <w:jc w:val="left"/>
      </w:pPr>
      <w:r>
        <w:rPr/>
        <w:t>本集团内部研究开发项目的支出分为研究阶段支出与开发阶段支出。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right="1133"/>
        <w:jc w:val="left"/>
      </w:pPr>
      <w:r>
        <w:rPr/>
        <w:t>①完成该无形资产以使其能够使用或出售在技术上具有可行性；</w:t>
      </w:r>
    </w:p>
    <w:p>
      <w:pPr>
        <w:pStyle w:val="BodyText"/>
        <w:spacing w:line="240" w:lineRule="auto" w:before="76"/>
        <w:ind w:right="1133"/>
        <w:jc w:val="left"/>
      </w:pPr>
      <w:r>
        <w:rPr/>
        <w:t>②具有完成该无形资产并使用或出售的意图；</w:t>
      </w:r>
    </w:p>
    <w:p>
      <w:pPr>
        <w:pStyle w:val="BodyText"/>
        <w:spacing w:line="319" w:lineRule="auto" w:before="76"/>
        <w:ind w:right="0"/>
        <w:jc w:val="left"/>
      </w:pPr>
      <w:r>
        <w:rPr>
          <w:spacing w:val="-2"/>
        </w:rPr>
        <w:t>③无形资产产生经济利益的方式，包括能够证明运用该无形资产生产的产品存在市场或无形资产自身存在市场，无形资产将</w:t>
      </w:r>
      <w:r>
        <w:rPr>
          <w:spacing w:val="-64"/>
        </w:rPr>
        <w:t> </w:t>
      </w:r>
      <w:r>
        <w:rPr>
          <w:spacing w:val="-64"/>
        </w:rPr>
      </w:r>
      <w:r>
        <w:rPr/>
        <w:t>在内部使用的，能够证明其有用性；</w:t>
      </w:r>
    </w:p>
    <w:p>
      <w:pPr>
        <w:pStyle w:val="BodyText"/>
        <w:spacing w:line="240" w:lineRule="auto" w:before="17"/>
        <w:ind w:right="1133"/>
        <w:jc w:val="left"/>
      </w:pPr>
      <w:r>
        <w:rPr/>
        <w:t>④有足够的技术、财务资源和其他资源支持，以完成该无形资产的开发，并有能力使用或出售该无形资产；</w:t>
      </w:r>
    </w:p>
    <w:p>
      <w:pPr>
        <w:pStyle w:val="BodyText"/>
        <w:spacing w:line="316" w:lineRule="auto" w:before="76"/>
        <w:ind w:right="4274"/>
        <w:jc w:val="left"/>
      </w:pPr>
      <w:r>
        <w:rPr/>
        <w:t>⑤归属于该无形资产开发阶段的支出能够可靠地计量。 无法区分研究阶段支出和开发阶段支出的，将发生的研发支出全部计入当期损益。 </w:t>
      </w:r>
      <w:r>
        <w:rPr>
          <w:rFonts w:ascii="宋体" w:hAnsi="宋体" w:cs="宋体" w:eastAsia="宋体" w:hint="default"/>
        </w:rPr>
        <w:t>1.</w:t>
      </w:r>
      <w:r>
        <w:rPr/>
        <w:t>无形资产的减值测试方法及减值准备计提方法 无形资产的减值测试方法和减值准备计提方法详见附注五、</w:t>
      </w:r>
      <w:r>
        <w:rPr>
          <w:rFonts w:ascii="宋体" w:hAnsi="宋体" w:cs="宋体" w:eastAsia="宋体" w:hint="default"/>
        </w:rPr>
        <w:t>31</w:t>
      </w:r>
      <w:r>
        <w:rPr/>
        <w:t>“长期资产减值”。</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31、长期资产减值" w:id="201"/>
      <w:bookmarkEnd w:id="201"/>
      <w:r>
        <w:rPr>
          <w:b w:val="0"/>
          <w:bCs w:val="0"/>
        </w:rPr>
      </w:r>
      <w:r>
        <w:rPr>
          <w:rFonts w:ascii="Times New Roman" w:hAnsi="Times New Roman" w:cs="Times New Roman" w:eastAsia="Times New Roman" w:hint="default"/>
        </w:rPr>
        <w:t>31</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对于固定资产、在建工程、使用寿命有限的无形资产、以成本模式计量的投资性房地产及对子公司、合营企业、联营企业的</w:t>
      </w:r>
      <w:r>
        <w:rPr>
          <w:spacing w:val="-67"/>
        </w:rPr>
        <w:t> </w:t>
      </w:r>
      <w:r>
        <w:rPr>
          <w:spacing w:val="-67"/>
        </w:rPr>
      </w:r>
      <w:r>
        <w:rPr>
          <w:spacing w:val="-2"/>
        </w:rPr>
        <w:t>长期股权投资等非流动非金融资产，本集团于资产负债表日判断是否存在减值迹象。如存在减值迹象的，则估计其可收回金</w:t>
      </w:r>
      <w:r>
        <w:rPr>
          <w:spacing w:val="-63"/>
        </w:rPr>
        <w:t> </w:t>
      </w:r>
      <w:r>
        <w:rPr>
          <w:spacing w:val="-63"/>
        </w:rPr>
      </w:r>
      <w:r>
        <w:rPr>
          <w:spacing w:val="-2"/>
        </w:rPr>
        <w:t>额，进行减值测试。商誉、使用寿命不确定的无形资产和尚未达到可使用状态的无形资产，无论是否存在减值迹象，每年均</w:t>
      </w:r>
      <w:r>
        <w:rPr>
          <w:spacing w:val="-63"/>
        </w:rPr>
        <w:t> </w:t>
      </w:r>
      <w:r>
        <w:rPr>
          <w:spacing w:val="-63"/>
        </w:rPr>
      </w:r>
      <w:r>
        <w:rPr/>
        <w:t>进行减值测试。 </w:t>
      </w:r>
      <w:r>
        <w:rPr>
          <w:spacing w:val="-2"/>
        </w:rPr>
        <w:t>减值测试结果表明资产的可收回金额低于其账面价值的，按其差额计提减值准备并计入减值损失。可收回金额为资产的公允</w:t>
      </w:r>
      <w:r>
        <w:rPr>
          <w:spacing w:val="-64"/>
        </w:rPr>
        <w:t> </w:t>
      </w:r>
      <w:r>
        <w:rPr>
          <w:spacing w:val="-64"/>
        </w:rPr>
      </w:r>
      <w:r>
        <w:rPr>
          <w:spacing w:val="-2"/>
        </w:rPr>
        <w:t>价值减去处置费用后的净额与资产预计未来现金流量的现值两者之间的较高者。资产的公允价值根据公平交易中销售协议价</w:t>
      </w:r>
      <w:r>
        <w:rPr>
          <w:spacing w:val="-64"/>
        </w:rPr>
        <w:t> </w:t>
      </w:r>
      <w:r>
        <w:rPr>
          <w:spacing w:val="-64"/>
        </w:rPr>
      </w:r>
      <w:r>
        <w:rPr>
          <w:spacing w:val="-4"/>
        </w:rPr>
        <w:t>格确定；不存在销售协议但存在资产活跃市场的，公允价值按照该资产的买方出价确定；不存在销售协议和资产活跃市场的，</w:t>
      </w:r>
      <w:r>
        <w:rPr>
          <w:spacing w:val="-44"/>
        </w:rPr>
        <w:t> </w:t>
      </w:r>
      <w:r>
        <w:rPr>
          <w:spacing w:val="-44"/>
        </w:rPr>
      </w:r>
      <w:r>
        <w:rPr>
          <w:spacing w:val="-2"/>
        </w:rPr>
        <w:t>则以可获取的最佳信息为基础估计资产的公允价值。处置费用包括与资产处置有关的法律费用、相关税费、搬运费以及为使</w:t>
      </w:r>
      <w:r>
        <w:rPr>
          <w:spacing w:val="-66"/>
        </w:rPr>
        <w:t> </w:t>
      </w:r>
      <w:r>
        <w:rPr>
          <w:spacing w:val="-66"/>
        </w:rPr>
      </w:r>
      <w:r>
        <w:rPr>
          <w:spacing w:val="-2"/>
        </w:rPr>
        <w:t>资产达到可销售状态所发生的直接费用。资产预计未来现金流量的现值，按照资产在持续使用过程中和最终处置时所产生的</w:t>
      </w:r>
      <w:r>
        <w:rPr>
          <w:spacing w:val="-63"/>
        </w:rPr>
        <w:t> </w:t>
      </w:r>
      <w:r>
        <w:rPr>
          <w:spacing w:val="-63"/>
        </w:rPr>
      </w:r>
      <w:r>
        <w:rPr>
          <w:spacing w:val="-2"/>
        </w:rPr>
        <w:t>预计未来现金流量，选择恰当的折现率对其进行折现后的金额加以确定。资产减值准备按单项资产为基础计算并确认，如果</w:t>
      </w:r>
      <w:r>
        <w:rPr>
          <w:spacing w:val="-63"/>
        </w:rPr>
        <w:t> </w:t>
      </w:r>
      <w:r>
        <w:rPr>
          <w:spacing w:val="-63"/>
        </w:rPr>
      </w:r>
      <w:r>
        <w:rPr>
          <w:spacing w:val="-2"/>
        </w:rPr>
        <w:t>难以对单项资产的可收回金额进行估计的，以该资产所属的资产组确定资产组的可收回金额。资产组是能够独立产生现金流</w:t>
      </w:r>
      <w:r>
        <w:rPr>
          <w:spacing w:val="-64"/>
        </w:rPr>
        <w:t> </w:t>
      </w:r>
      <w:r>
        <w:rPr>
          <w:spacing w:val="-64"/>
        </w:rPr>
      </w:r>
      <w:r>
        <w:rPr/>
        <w:t>入的最小资产组合。</w:t>
      </w:r>
    </w:p>
    <w:p>
      <w:pPr>
        <w:spacing w:after="0" w:line="316" w:lineRule="auto"/>
        <w:jc w:val="left"/>
        <w:sectPr>
          <w:footerReference w:type="default" r:id="rId13"/>
          <w:pgSz w:w="11910" w:h="16840"/>
          <w:pgMar w:footer="980" w:header="74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4"/>
        <w:jc w:val="left"/>
      </w:pPr>
      <w:r>
        <w:rPr>
          <w:spacing w:val="-2"/>
        </w:rPr>
        <w:t>在财务报表中单独列示的商誉，在进行减值测试时，将商誉的账面价值分摊至预期从企业合并的协同效应中受益的资产组或</w:t>
      </w:r>
      <w:r>
        <w:rPr>
          <w:spacing w:val="-64"/>
        </w:rPr>
        <w:t> </w:t>
      </w:r>
      <w:r>
        <w:rPr>
          <w:spacing w:val="-64"/>
        </w:rPr>
      </w:r>
      <w:r>
        <w:rPr/>
        <w:t>资产组组合。测试结果表明包含分摊的商誉的资产组或资产组组合的可收回金额低于其账面价值的，确认相应的减值损失。 </w:t>
      </w:r>
      <w:r>
        <w:rPr>
          <w:spacing w:val="-2"/>
        </w:rPr>
        <w:t>减值损失金额先抵减分摊至该资产组或资产组组合的商誉的账面价值，再根据资产组或资产组组合中除商誉以外的其他各项</w:t>
      </w:r>
      <w:r>
        <w:rPr>
          <w:spacing w:val="-64"/>
        </w:rPr>
        <w:t> </w:t>
      </w:r>
      <w:r>
        <w:rPr>
          <w:spacing w:val="-64"/>
        </w:rPr>
      </w:r>
      <w:r>
        <w:rPr/>
        <w:t>资产的账面价值所占比重，按比例抵减其他各项资产的账面价值。 上述资产减值损失一经确认，以后期间不予转回价值得以恢复的部分。</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32、长期待摊费用" w:id="202"/>
      <w:bookmarkEnd w:id="202"/>
      <w:r>
        <w:rPr>
          <w:b w:val="0"/>
          <w:bCs w:val="0"/>
        </w:rPr>
      </w:r>
      <w:r>
        <w:rPr>
          <w:rFonts w:ascii="Times New Roman" w:hAnsi="Times New Roman" w:cs="Times New Roman" w:eastAsia="Times New Roman" w:hint="default"/>
        </w:rPr>
        <w:t>32</w:t>
      </w:r>
      <w:r>
        <w:rPr/>
        <w:t>、长期待摊费用</w:t>
      </w:r>
      <w:r>
        <w:rPr>
          <w:b w:val="0"/>
          <w:bCs w:val="0"/>
        </w:rPr>
      </w:r>
    </w:p>
    <w:p>
      <w:pPr>
        <w:spacing w:line="240" w:lineRule="auto" w:before="10"/>
        <w:rPr>
          <w:rFonts w:ascii="宋体" w:hAnsi="宋体" w:cs="宋体" w:eastAsia="宋体" w:hint="default"/>
          <w:b/>
          <w:bCs/>
          <w:sz w:val="24"/>
          <w:szCs w:val="24"/>
        </w:rPr>
      </w:pPr>
    </w:p>
    <w:p>
      <w:pPr>
        <w:spacing w:line="273" w:lineRule="auto" w:before="0"/>
        <w:ind w:left="152" w:right="1133" w:firstLine="0"/>
        <w:jc w:val="left"/>
        <w:rPr>
          <w:rFonts w:ascii="宋体" w:hAnsi="宋体" w:cs="宋体" w:eastAsia="宋体" w:hint="default"/>
          <w:sz w:val="21"/>
          <w:szCs w:val="21"/>
        </w:rPr>
      </w:pPr>
      <w:r>
        <w:rPr>
          <w:rFonts w:ascii="宋体" w:hAnsi="宋体" w:cs="宋体" w:eastAsia="宋体" w:hint="default"/>
          <w:spacing w:val="-2"/>
          <w:sz w:val="21"/>
          <w:szCs w:val="21"/>
        </w:rPr>
        <w:t>长期待摊费用为已经发生但应由报告期和以后各期负担的分摊期限在一年以上的各项费用。本公司的长期</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待摊费用主要包括装修费等。长期待摊费用在预计受益期间按直线法摊销。</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bookmarkStart w:name="33、合同负债" w:id="203"/>
      <w:bookmarkEnd w:id="203"/>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34、职工薪酬" w:id="204"/>
      <w:bookmarkEnd w:id="204"/>
      <w:r>
        <w:rPr>
          <w:b w:val="0"/>
          <w:bCs w:val="0"/>
        </w:rPr>
      </w:r>
      <w:r>
        <w:rPr>
          <w:rFonts w:ascii="Times New Roman" w:hAnsi="Times New Roman" w:cs="Times New Roman" w:eastAsia="Times New Roman" w:hint="default"/>
        </w:rPr>
        <w:t>34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短期薪酬的会计处理方法" w:id="205"/>
      <w:bookmarkEnd w:id="20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jc w:val="both"/>
      </w:pPr>
      <w:r>
        <w:rPr>
          <w:spacing w:val="-2"/>
        </w:rPr>
        <w:t>短期薪酬主要包括工资、奖金、津贴和补贴、职工福利费、医疗保险费、生育保险费、工伤保险费、住房公积金、工会经费</w:t>
      </w:r>
      <w:r>
        <w:rPr>
          <w:spacing w:val="-65"/>
        </w:rPr>
        <w:t> </w:t>
      </w:r>
      <w:r>
        <w:rPr>
          <w:spacing w:val="-65"/>
        </w:rPr>
      </w:r>
      <w:r>
        <w:rPr>
          <w:spacing w:val="-2"/>
        </w:rPr>
        <w:t>和职工教育经费、非货币性福利等。本集团在职工为本集团提供服务的会计期间将实际发生的短期职工薪酬确认为负债，并</w:t>
      </w:r>
      <w:r>
        <w:rPr>
          <w:spacing w:val="-63"/>
        </w:rPr>
        <w:t> </w:t>
      </w:r>
      <w:r>
        <w:rPr>
          <w:spacing w:val="-63"/>
        </w:rPr>
      </w:r>
      <w:r>
        <w:rPr/>
        <w:t>计入当期损益或相关资产成本。其中非货币性福利按公允价值计量。</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离职后福利的会计处理方法" w:id="206"/>
      <w:bookmarkEnd w:id="20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jc w:val="left"/>
      </w:pPr>
      <w:r>
        <w:rPr>
          <w:spacing w:val="-2"/>
        </w:rPr>
        <w:t>离职后福利主要包括基本养老保险、失业保险。离职后福利计划包括设定提存计划。采用设定提存计划的，相应的应缴存金</w:t>
      </w:r>
      <w:r>
        <w:rPr>
          <w:spacing w:val="-64"/>
        </w:rPr>
        <w:t> </w:t>
      </w:r>
      <w:r>
        <w:rPr>
          <w:spacing w:val="-64"/>
        </w:rPr>
      </w:r>
      <w:r>
        <w:rPr/>
        <w:t>额于发生时计入相关资产成本或当期损益。</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3）辞退福利的会计处理方法" w:id="207"/>
      <w:bookmarkEnd w:id="20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4"/>
        <w:jc w:val="left"/>
      </w:pPr>
      <w:r>
        <w:rPr>
          <w:spacing w:val="-2"/>
        </w:rPr>
        <w:t>在职工劳动合同到期之前解除与职工的劳动关系，或为鼓励职工自愿接受裁减而提出给予补偿的建议，在本集团不能单方面</w:t>
      </w:r>
      <w:r>
        <w:rPr>
          <w:spacing w:val="-63"/>
        </w:rPr>
        <w:t> </w:t>
      </w:r>
      <w:r>
        <w:rPr>
          <w:spacing w:val="-63"/>
        </w:rPr>
      </w:r>
      <w:r>
        <w:rPr/>
        <w:t>撤回因解除劳动关系计划或裁减建议所提供的辞退福利时，和本集团确认与涉及支付辞退福利的重组相关的成本两者孰早</w:t>
      </w:r>
      <w:r>
        <w:rPr>
          <w:spacing w:val="-11"/>
        </w:rPr>
        <w:t> </w:t>
      </w:r>
      <w:r>
        <w:rPr>
          <w:spacing w:val="-11"/>
        </w:rPr>
      </w:r>
      <w:r>
        <w:rPr/>
        <w:t>日，确认辞退福利产生的职工薪酬负债，并计入当期损益。但辞退福利预期在年度报告期结束后十二个月不能完全支付的， 按照其他长期职工薪酬处理。 </w:t>
      </w:r>
      <w:r>
        <w:rPr>
          <w:spacing w:val="-2"/>
        </w:rPr>
        <w:t>职工内部退休计划采用与上述辞退福利相同的原则处理。本集团将自职工停止提供服务日至正常退休日的期间拟支付的内退</w:t>
      </w:r>
      <w:r>
        <w:rPr>
          <w:spacing w:val="-64"/>
        </w:rPr>
        <w:t> </w:t>
      </w:r>
      <w:r>
        <w:rPr>
          <w:spacing w:val="-64"/>
        </w:rPr>
      </w:r>
      <w:r>
        <w:rPr/>
        <w:t>人员工资和缴纳的社会保险费等，在符合预计负债确认条件时，计入当期损益（辞退福利）。</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4）其他长期职工福利的会计处理方法" w:id="208"/>
      <w:bookmarkEnd w:id="20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jc w:val="left"/>
      </w:pPr>
      <w:r>
        <w:rPr>
          <w:spacing w:val="-2"/>
        </w:rPr>
        <w:t>本集团向职工提供的其他长期职工福利，符合设定提存计划的，按照设定提存计划进行会计处理，除此之外按照设定受益计</w:t>
      </w:r>
      <w:r>
        <w:rPr>
          <w:spacing w:val="-63"/>
        </w:rPr>
        <w:t> </w:t>
      </w:r>
      <w:r>
        <w:rPr>
          <w:spacing w:val="-63"/>
        </w:rPr>
      </w:r>
      <w:r>
        <w:rPr/>
        <w:t>划进行会计处理。</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35、租赁负债" w:id="209"/>
      <w:bookmarkEnd w:id="209"/>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36、预计负债" w:id="210"/>
      <w:bookmarkEnd w:id="210"/>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当与或有事项相关的义务同时符合以下条件，确认为预计负债：（</w:t>
      </w:r>
      <w:r>
        <w:rPr>
          <w:rFonts w:ascii="宋体" w:hAnsi="宋体" w:cs="宋体" w:eastAsia="宋体" w:hint="default"/>
        </w:rPr>
        <w:t>1</w:t>
      </w:r>
      <w:r>
        <w:rPr/>
        <w:t>）该义务是本集团承担的现时义务；（</w:t>
      </w:r>
      <w:r>
        <w:rPr>
          <w:rFonts w:ascii="宋体" w:hAnsi="宋体" w:cs="宋体" w:eastAsia="宋体" w:hint="default"/>
        </w:rPr>
        <w:t>2</w:t>
      </w:r>
      <w:r>
        <w:rPr/>
        <w:t>）履行该义务很</w:t>
      </w:r>
    </w:p>
    <w:p>
      <w:pPr>
        <w:spacing w:after="0" w:line="240" w:lineRule="auto"/>
        <w:jc w:val="left"/>
        <w:sectPr>
          <w:footerReference w:type="default" r:id="rId14"/>
          <w:pgSz w:w="11910" w:h="16840"/>
          <w:pgMar w:footer="980" w:header="745" w:top="1060" w:bottom="1160" w:left="980" w:right="0"/>
          <w:pgNumType w:start="101"/>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t>可能导致经济利益流出；（</w:t>
      </w:r>
      <w:r>
        <w:rPr>
          <w:rFonts w:ascii="宋体" w:hAnsi="宋体" w:cs="宋体" w:eastAsia="宋体" w:hint="default"/>
        </w:rPr>
        <w:t>3</w:t>
      </w:r>
      <w:r>
        <w:rPr/>
        <w:t>）该义务的金额能够可靠地计量。 </w:t>
      </w:r>
      <w:r>
        <w:rPr>
          <w:spacing w:val="-2"/>
        </w:rPr>
        <w:t>在资产负债表日，考虑与或有事项有关的风险、不确定性和货币时间价值等因素，按照履行相关现时义务所需支出的最佳估</w:t>
      </w:r>
      <w:r>
        <w:rPr>
          <w:spacing w:val="-63"/>
        </w:rPr>
        <w:t> </w:t>
      </w:r>
      <w:r>
        <w:rPr>
          <w:spacing w:val="-63"/>
        </w:rPr>
      </w:r>
      <w:r>
        <w:rPr/>
        <w:t>计数对预计负债进行计量。 </w:t>
      </w:r>
      <w:r>
        <w:rPr>
          <w:spacing w:val="-2"/>
        </w:rPr>
        <w:t>如果清偿预计负债所需支出全部或部分预期由第三方补偿的，补偿金额在基本确定能够收到时，作为资产单独确认，且确认</w:t>
      </w:r>
      <w:r>
        <w:rPr>
          <w:spacing w:val="-65"/>
        </w:rPr>
        <w:t> </w:t>
      </w:r>
      <w:r>
        <w:rPr>
          <w:spacing w:val="-65"/>
        </w:rPr>
      </w:r>
      <w:r>
        <w:rPr/>
        <w:t>的补偿金额不超过预计负债的账面价值。</w:t>
      </w:r>
    </w:p>
    <w:p>
      <w:pPr>
        <w:pStyle w:val="BodyText"/>
        <w:spacing w:line="316" w:lineRule="auto" w:before="17"/>
        <w:ind w:right="1119"/>
        <w:jc w:val="left"/>
      </w:pPr>
      <w:r>
        <w:rPr/>
        <w:t>（</w:t>
      </w:r>
      <w:r>
        <w:rPr>
          <w:rFonts w:ascii="宋体" w:hAnsi="宋体" w:cs="宋体" w:eastAsia="宋体" w:hint="default"/>
        </w:rPr>
        <w:t>1</w:t>
      </w:r>
      <w:r>
        <w:rPr/>
        <w:t>）亏损合同 </w:t>
      </w:r>
      <w:r>
        <w:rPr>
          <w:spacing w:val="-2"/>
        </w:rPr>
        <w:t>亏损合同是履行合同义务不可避免会发生的成本超过预期经济利益的合同。待执行合同变成亏损合同，且该亏损合同产生的</w:t>
      </w:r>
      <w:r>
        <w:rPr>
          <w:spacing w:val="-64"/>
        </w:rPr>
        <w:t> </w:t>
      </w:r>
      <w:r>
        <w:rPr>
          <w:spacing w:val="-64"/>
        </w:rPr>
      </w:r>
      <w:r>
        <w:rPr>
          <w:spacing w:val="-2"/>
        </w:rPr>
        <w:t>义务满足上述预计负债的确认条件的，将合同预计损失超过合同标的资产已确认的减值损失（如有）的部分，确认为预计负</w:t>
      </w:r>
      <w:r>
        <w:rPr>
          <w:spacing w:val="-66"/>
        </w:rPr>
        <w:t> </w:t>
      </w:r>
      <w:r>
        <w:rPr>
          <w:spacing w:val="-66"/>
        </w:rPr>
      </w:r>
      <w:r>
        <w:rPr/>
        <w:t>债。</w:t>
      </w:r>
    </w:p>
    <w:p>
      <w:pPr>
        <w:pStyle w:val="BodyText"/>
        <w:spacing w:line="316" w:lineRule="auto" w:before="19"/>
        <w:ind w:right="1119"/>
        <w:jc w:val="left"/>
      </w:pPr>
      <w:r>
        <w:rPr/>
        <w:t>（</w:t>
      </w:r>
      <w:r>
        <w:rPr>
          <w:rFonts w:ascii="宋体" w:hAnsi="宋体" w:cs="宋体" w:eastAsia="宋体" w:hint="default"/>
        </w:rPr>
        <w:t>2</w:t>
      </w:r>
      <w:r>
        <w:rPr/>
        <w:t>）重组义务 </w:t>
      </w:r>
      <w:r>
        <w:rPr>
          <w:spacing w:val="-2"/>
        </w:rPr>
        <w:t>对于有详细、正式并且已经对外公告的重组计划，在满足前述预计负债的确认条件的情况下，按照与重组有关的直接支出确</w:t>
      </w:r>
      <w:r>
        <w:rPr>
          <w:spacing w:val="-63"/>
        </w:rPr>
        <w:t> </w:t>
      </w:r>
      <w:r>
        <w:rPr>
          <w:spacing w:val="-63"/>
        </w:rPr>
      </w:r>
      <w:r>
        <w:rPr/>
        <w:t>定预计负债金额。</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37、股份支付" w:id="211"/>
      <w:bookmarkEnd w:id="211"/>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rFonts w:ascii="宋体" w:hAnsi="宋体" w:cs="宋体" w:eastAsia="宋体" w:hint="default"/>
        </w:rPr>
        <w:t>1.</w:t>
      </w:r>
      <w:r>
        <w:rPr/>
        <w:t>股份支付的会计处理方法 </w:t>
      </w:r>
      <w:r>
        <w:rPr>
          <w:spacing w:val="-2"/>
        </w:rPr>
        <w:t>股份支付是为了获取职工或其他方提供服务而授予权益工具或者承担以权益工具为基础确定的负债的交易。股份支付分为以</w:t>
      </w:r>
      <w:r>
        <w:rPr>
          <w:spacing w:val="-64"/>
        </w:rPr>
        <w:t> </w:t>
      </w:r>
      <w:r>
        <w:rPr>
          <w:spacing w:val="-64"/>
        </w:rPr>
      </w:r>
      <w:r>
        <w:rPr/>
        <w:t>权益结算的股份支付和以现金结算的股份支付。</w:t>
      </w:r>
    </w:p>
    <w:p>
      <w:pPr>
        <w:pStyle w:val="BodyText"/>
        <w:spacing w:line="316" w:lineRule="auto" w:before="19"/>
        <w:ind w:right="0"/>
        <w:jc w:val="left"/>
      </w:pPr>
      <w:r>
        <w:rPr/>
        <w:t>①以权益结算的股份支付 </w:t>
      </w:r>
      <w:r>
        <w:rPr>
          <w:spacing w:val="-2"/>
        </w:rPr>
        <w:t>用以换取职工提供的服务的权益结算的股份支付，以授予职工权益工具在授予日的公允价值计量。该公允价值的金额在完成</w:t>
      </w:r>
      <w:r>
        <w:rPr>
          <w:spacing w:val="-64"/>
        </w:rPr>
        <w:t> </w:t>
      </w:r>
      <w:r>
        <w:rPr>
          <w:spacing w:val="-64"/>
        </w:rPr>
      </w:r>
      <w:r>
        <w:rPr>
          <w:spacing w:val="-2"/>
        </w:rPr>
        <w:t>等待期内的服务或达到规定业绩条件才可行权的情况下，在等待期内以对可行权权益工具数量的最佳估计为基础，按直线法</w:t>
      </w:r>
      <w:r>
        <w:rPr>
          <w:spacing w:val="-64"/>
        </w:rPr>
        <w:t> </w:t>
      </w:r>
      <w:r>
        <w:rPr>
          <w:spacing w:val="-64"/>
        </w:rPr>
      </w:r>
      <w:r>
        <w:rPr/>
        <w:t>计算计入相关成本或费用</w:t>
      </w:r>
      <w:r>
        <w:rPr>
          <w:rFonts w:ascii="宋体" w:hAnsi="宋体" w:cs="宋体" w:eastAsia="宋体" w:hint="default"/>
        </w:rPr>
        <w:t>/</w:t>
      </w:r>
      <w:r>
        <w:rPr/>
        <w:t>在授予后立即可行权时，在授予日计入相关成本或费用，相应增加资本公积。 </w:t>
      </w:r>
      <w:r>
        <w:rPr>
          <w:spacing w:val="-2"/>
        </w:rPr>
        <w:t>在等待期内每个资产负债表日，本集团根据最新取得的可行权职工人数变动等后续信息做出最佳估计，修正预计可行权的权</w:t>
      </w:r>
      <w:r>
        <w:rPr>
          <w:spacing w:val="-64"/>
        </w:rPr>
        <w:t> </w:t>
      </w:r>
      <w:r>
        <w:rPr>
          <w:spacing w:val="-64"/>
        </w:rPr>
      </w:r>
      <w:r>
        <w:rPr/>
        <w:t>益工具数量。上述估计的影响计入当期相关成本或费用，并相应调整资本公积。 </w:t>
      </w:r>
      <w:r>
        <w:rPr>
          <w:spacing w:val="-2"/>
        </w:rPr>
        <w:t>用以换取其他方服务的权益结算的股份支付，如果其他方服务的公允价值能够可靠计量，按照其他方服务在取得日的公允价</w:t>
      </w:r>
      <w:r>
        <w:rPr>
          <w:spacing w:val="-64"/>
        </w:rPr>
        <w:t> </w:t>
      </w:r>
      <w:r>
        <w:rPr>
          <w:spacing w:val="-64"/>
        </w:rPr>
      </w:r>
      <w:r>
        <w:rPr>
          <w:spacing w:val="-2"/>
        </w:rPr>
        <w:t>值计量，如果其他方服务的公允价值不能可靠计量，但权益工具的公允价值能够可靠计量的，按照权益工具在服务取得日的</w:t>
      </w:r>
      <w:r>
        <w:rPr>
          <w:spacing w:val="-63"/>
        </w:rPr>
        <w:t> </w:t>
      </w:r>
      <w:r>
        <w:rPr>
          <w:spacing w:val="-63"/>
        </w:rPr>
      </w:r>
      <w:r>
        <w:rPr/>
        <w:t>公允价值计量，计入相关成本或费用，相应增加股东权益。</w:t>
      </w:r>
    </w:p>
    <w:p>
      <w:pPr>
        <w:pStyle w:val="BodyText"/>
        <w:spacing w:line="316" w:lineRule="auto" w:before="19"/>
        <w:ind w:right="1031"/>
        <w:jc w:val="left"/>
      </w:pPr>
      <w:r>
        <w:rPr/>
        <w:t>②以现金结算的股份支付 </w:t>
      </w:r>
      <w:r>
        <w:rPr>
          <w:spacing w:val="-4"/>
        </w:rPr>
        <w:t>以现金结算的股份支付，按照本集团承担的以股份或其他权益工具为基础确定的负债的公允价值计量。如授予后立即可行权，</w:t>
      </w:r>
      <w:r>
        <w:rPr>
          <w:spacing w:val="-43"/>
        </w:rPr>
        <w:t> </w:t>
      </w:r>
      <w:r>
        <w:rPr>
          <w:spacing w:val="-43"/>
        </w:rPr>
      </w:r>
      <w:r>
        <w:rPr>
          <w:spacing w:val="-2"/>
        </w:rPr>
        <w:t>在授予日计入相关成本或费用，相应增加负债；如须完成等待期内的服务或达到规定业绩条件以后才可行权，在等待期的每</w:t>
      </w:r>
      <w:r>
        <w:rPr>
          <w:spacing w:val="-66"/>
        </w:rPr>
        <w:t> </w:t>
      </w:r>
      <w:r>
        <w:rPr>
          <w:spacing w:val="-66"/>
        </w:rPr>
      </w:r>
      <w:r>
        <w:rPr>
          <w:spacing w:val="-2"/>
        </w:rPr>
        <w:t>个资产负债表日，以对可行权情况的最佳估计为基础，按照本集团承担负债的公允价值金额，将当期取得的服务计入成本或</w:t>
      </w:r>
      <w:r>
        <w:rPr>
          <w:spacing w:val="-63"/>
        </w:rPr>
        <w:t> </w:t>
      </w:r>
      <w:r>
        <w:rPr>
          <w:spacing w:val="-63"/>
        </w:rPr>
      </w:r>
      <w:r>
        <w:rPr/>
        <w:t>费用，相应增加负债。 在相关负债结算前的每个资产负债表日以及结算日，对负债的公允价值重新计量，其变动计入当期损益。 </w:t>
      </w:r>
      <w:r>
        <w:rPr>
          <w:rFonts w:ascii="宋体" w:hAnsi="宋体" w:cs="宋体" w:eastAsia="宋体" w:hint="default"/>
        </w:rPr>
        <w:t>2.</w:t>
      </w:r>
      <w:r>
        <w:rPr/>
        <w:t>修改、终止股份支付计划的相关会计处理 </w:t>
      </w:r>
      <w:r>
        <w:rPr>
          <w:spacing w:val="-2"/>
        </w:rPr>
        <w:t>本集团对股份支付计划进行修改时，若修改增加了所授予权益工具的公允价值，按照权益工具公允价值的增加相应确认取得</w:t>
      </w:r>
      <w:r>
        <w:rPr>
          <w:spacing w:val="-63"/>
        </w:rPr>
        <w:t> </w:t>
      </w:r>
      <w:r>
        <w:rPr>
          <w:spacing w:val="-63"/>
        </w:rPr>
      </w:r>
      <w:r>
        <w:rPr>
          <w:spacing w:val="-2"/>
        </w:rPr>
        <w:t>服务的增加。权益工具公允价值的增加是指修改前后的权益工具在修改日的公允价值之间的差额。若修改减少了股份支付公</w:t>
      </w:r>
      <w:r>
        <w:rPr>
          <w:spacing w:val="-64"/>
        </w:rPr>
        <w:t> </w:t>
      </w:r>
      <w:r>
        <w:rPr>
          <w:spacing w:val="-64"/>
        </w:rPr>
      </w:r>
      <w:r>
        <w:rPr>
          <w:spacing w:val="-2"/>
        </w:rPr>
        <w:t>允价值总额或采用了其他不利于职工的方式，则仍继续对取得的服务进行会计处理，视同该变更从未发生，除非本集团取消</w:t>
      </w:r>
      <w:r>
        <w:rPr>
          <w:spacing w:val="-63"/>
        </w:rPr>
        <w:t> </w:t>
      </w:r>
      <w:r>
        <w:rPr>
          <w:spacing w:val="-63"/>
        </w:rPr>
      </w:r>
      <w:r>
        <w:rPr/>
        <w:t>了部分或全部已授予的权益工具。 </w:t>
      </w:r>
      <w:r>
        <w:rPr>
          <w:spacing w:val="-2"/>
        </w:rPr>
        <w:t>在等待期内，如果取消了授予的权益工具，本集团对取消所授予的权益性工具作为加速行权处理，将剩余等待期内应确认的</w:t>
      </w:r>
      <w:r>
        <w:rPr>
          <w:spacing w:val="-63"/>
        </w:rPr>
        <w:t> </w:t>
      </w:r>
      <w:r>
        <w:rPr>
          <w:spacing w:val="-63"/>
        </w:rPr>
      </w:r>
      <w:r>
        <w:rPr>
          <w:spacing w:val="-2"/>
        </w:rPr>
        <w:t>金额立即计入当期损益，同时确认资本公积。职工或其他方能够选择满足非可行权条件但在等待期内未满足的，本集团将其</w:t>
      </w:r>
      <w:r>
        <w:rPr>
          <w:spacing w:val="-63"/>
        </w:rPr>
        <w:t> </w:t>
      </w:r>
      <w:r>
        <w:rPr>
          <w:spacing w:val="-63"/>
        </w:rPr>
      </w:r>
      <w:r>
        <w:rPr/>
        <w:t>作为授予权益工具的取消处理。</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8、优先股、永续债等其他金融工具" w:id="212"/>
      <w:bookmarkEnd w:id="212"/>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9、收入" w:id="213"/>
      <w:bookmarkEnd w:id="213"/>
      <w:r>
        <w:rPr>
          <w:b w:val="0"/>
          <w:bCs w:val="0"/>
        </w:rPr>
      </w:r>
      <w:r>
        <w:rPr>
          <w:rFonts w:ascii="Times New Roman" w:hAnsi="Times New Roman" w:cs="Times New Roman" w:eastAsia="Times New Roman" w:hint="default"/>
        </w:rPr>
        <w:t>39</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357" w:lineRule="auto" w:before="117"/>
        <w:ind w:right="9494"/>
        <w:jc w:val="left"/>
      </w:pPr>
      <w:r>
        <w:rPr/>
        <w:t>□是√否 </w:t>
      </w:r>
      <w:r>
        <w:rPr>
          <w:rFonts w:ascii="宋体" w:hAnsi="宋体" w:cs="宋体" w:eastAsia="宋体" w:hint="default"/>
        </w:rPr>
        <w:t>1.</w:t>
      </w:r>
      <w:r>
        <w:rPr/>
        <w:t>商品销售收入</w:t>
      </w:r>
    </w:p>
    <w:p>
      <w:pPr>
        <w:pStyle w:val="BodyText"/>
        <w:spacing w:line="224" w:lineRule="exact"/>
        <w:ind w:right="0"/>
        <w:jc w:val="left"/>
      </w:pPr>
      <w:r>
        <w:rPr/>
        <w:t>在已将商品所有权上的主要风险和报酬转移给买方，既没有保留通常与所有权相联系的继续管理权，也没有对已售商品实施</w:t>
      </w:r>
    </w:p>
    <w:p>
      <w:pPr>
        <w:pStyle w:val="BodyText"/>
        <w:spacing w:line="316" w:lineRule="auto" w:before="76"/>
        <w:ind w:right="0"/>
        <w:jc w:val="left"/>
      </w:pPr>
      <w:r>
        <w:rPr>
          <w:spacing w:val="-4"/>
        </w:rPr>
        <w:t>有效控制，收入的金额能够可靠地计量，相关的经济利益很可能流入企业，相关的已发生或将发生的成本能够可靠地计量时，</w:t>
      </w:r>
      <w:r>
        <w:rPr>
          <w:spacing w:val="-44"/>
        </w:rPr>
        <w:t> </w:t>
      </w:r>
      <w:r>
        <w:rPr>
          <w:spacing w:val="-44"/>
        </w:rPr>
      </w:r>
      <w:r>
        <w:rPr/>
        <w:t>确认商品销售收入的实现。</w:t>
      </w:r>
    </w:p>
    <w:p>
      <w:pPr>
        <w:pStyle w:val="BodyText"/>
        <w:spacing w:line="240" w:lineRule="auto" w:before="19"/>
        <w:ind w:right="1133"/>
        <w:jc w:val="left"/>
      </w:pPr>
      <w:r>
        <w:rPr/>
        <w:t>本公司按照销售商品收入确认方法，制定如下具体收入确认方法：</w:t>
      </w:r>
    </w:p>
    <w:p>
      <w:pPr>
        <w:pStyle w:val="BodyText"/>
        <w:spacing w:line="319" w:lineRule="auto" w:before="76"/>
        <w:ind w:right="0"/>
        <w:jc w:val="left"/>
      </w:pPr>
      <w:r>
        <w:rPr>
          <w:spacing w:val="-2"/>
        </w:rPr>
        <w:t>①系统集成销售收入确认原则：公司系统集成类产品的销售包括为客户提供方案设计、设备安装、调试及系统试运行等配套</w:t>
      </w:r>
      <w:r>
        <w:rPr>
          <w:spacing w:val="-61"/>
        </w:rPr>
        <w:t> </w:t>
      </w:r>
      <w:r>
        <w:rPr>
          <w:spacing w:val="-61"/>
        </w:rPr>
      </w:r>
      <w:r>
        <w:rPr/>
        <w:t>服务，经验收合格后确认销售收入。</w:t>
      </w:r>
    </w:p>
    <w:p>
      <w:pPr>
        <w:pStyle w:val="BodyText"/>
        <w:spacing w:line="316" w:lineRule="auto" w:before="17"/>
        <w:ind w:right="6074"/>
        <w:jc w:val="left"/>
      </w:pPr>
      <w:r>
        <w:rPr/>
        <w:t>②其他一般销售商品收入，于发货经客户签收时确认收入。 </w:t>
      </w:r>
      <w:r>
        <w:rPr>
          <w:rFonts w:ascii="宋体" w:hAnsi="宋体" w:cs="宋体" w:eastAsia="宋体" w:hint="default"/>
        </w:rPr>
        <w:t>2.</w:t>
      </w:r>
      <w:r>
        <w:rPr/>
        <w:t>提供劳务收入</w:t>
      </w:r>
    </w:p>
    <w:p>
      <w:pPr>
        <w:pStyle w:val="BodyText"/>
        <w:spacing w:line="316" w:lineRule="auto" w:before="19"/>
        <w:ind w:right="1034"/>
        <w:jc w:val="left"/>
      </w:pPr>
      <w:r>
        <w:rPr>
          <w:spacing w:val="-2"/>
        </w:rPr>
        <w:t>在提供劳务交易的结果能够可靠估计的情况下，于资产负债表日按照完工百分比法确认提供的劳务收入。劳务交易的完工进</w:t>
      </w:r>
      <w:r>
        <w:rPr>
          <w:spacing w:val="-64"/>
        </w:rPr>
        <w:t> </w:t>
      </w:r>
      <w:r>
        <w:rPr>
          <w:spacing w:val="-64"/>
        </w:rPr>
      </w:r>
      <w:r>
        <w:rPr/>
        <w:t>度按照累计实际发生的合同成本占合同预计总成本的比例确定。 </w:t>
      </w:r>
      <w:r>
        <w:rPr>
          <w:spacing w:val="-2"/>
        </w:rPr>
        <w:t>提供劳务交易的结果能够可靠估计是指同时满足：①收入的金额能够可靠地计量；②相关的经济利益很可能流入企业；③交</w:t>
      </w:r>
      <w:r>
        <w:rPr>
          <w:spacing w:val="-63"/>
        </w:rPr>
        <w:t> </w:t>
      </w:r>
      <w:r>
        <w:rPr>
          <w:spacing w:val="-63"/>
        </w:rPr>
      </w:r>
      <w:r>
        <w:rPr/>
        <w:t>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如果提供劳务交易的结果不能够可靠估计，则按已经发生并预计能够得到补偿的劳务成本金额确认提供的劳务收入，并将已</w:t>
      </w:r>
      <w:r>
        <w:rPr>
          <w:spacing w:val="-63"/>
        </w:rPr>
        <w:t> </w:t>
      </w:r>
      <w:r>
        <w:rPr>
          <w:spacing w:val="-63"/>
        </w:rPr>
      </w:r>
      <w:r>
        <w:rPr>
          <w:spacing w:val="-2"/>
        </w:rPr>
        <w:t>发生的劳务成本作为当期费用。已经发生的劳务成本如预计不能得到补偿的，则不确认收入，已发生的劳务成本计入当期损</w:t>
      </w:r>
      <w:r>
        <w:rPr>
          <w:spacing w:val="-63"/>
        </w:rPr>
        <w:t> </w:t>
      </w:r>
      <w:r>
        <w:rPr>
          <w:spacing w:val="-63"/>
        </w:rPr>
      </w:r>
      <w:r>
        <w:rPr/>
        <w:t>益。 本集团与其他企业签订的合同或协议包括销售商品和提供劳务时，如销售商品部分和提供劳务部分能够区分并单独计量的， 将销售商品部分和提供劳务部分分别处理；如销售商品部分和提供劳务部分不能够区分，或虽能区分但不能够单独计量的， 将该合同全部作为销售商品处理。</w:t>
      </w:r>
    </w:p>
    <w:p>
      <w:pPr>
        <w:pStyle w:val="BodyText"/>
        <w:spacing w:line="316" w:lineRule="auto" w:before="19"/>
        <w:ind w:right="1034"/>
        <w:jc w:val="left"/>
      </w:pPr>
      <w:r>
        <w:rPr>
          <w:rFonts w:ascii="宋体" w:hAnsi="宋体" w:cs="宋体" w:eastAsia="宋体" w:hint="default"/>
        </w:rPr>
        <w:t>3.</w:t>
      </w:r>
      <w:r>
        <w:rPr/>
        <w:t>建造合同收入 </w:t>
      </w:r>
      <w:r>
        <w:rPr>
          <w:spacing w:val="-2"/>
        </w:rPr>
        <w:t>在建造合同的结果能够可靠估计的情况下，于资产负债表日按照完工百分比法确认合同收入和合同费用。合同完工进度按累</w:t>
      </w:r>
      <w:r>
        <w:rPr>
          <w:spacing w:val="-63"/>
        </w:rPr>
        <w:t> </w:t>
      </w:r>
      <w:r>
        <w:rPr>
          <w:spacing w:val="-63"/>
        </w:rPr>
      </w:r>
      <w:r>
        <w:rPr/>
        <w:t>计实际发生的合同成本占合同预计总成本的比例确定。 </w:t>
      </w:r>
      <w:r>
        <w:rPr>
          <w:spacing w:val="-2"/>
        </w:rPr>
        <w:t>建造合同的结果能够可靠估计是指同时满足：①合同总收入能够可靠地计量；②与合同相关的经济利益很可能流入企业；③</w:t>
      </w:r>
      <w:r>
        <w:rPr>
          <w:spacing w:val="-63"/>
        </w:rPr>
        <w:t> </w:t>
      </w:r>
      <w:r>
        <w:rPr>
          <w:spacing w:val="-63"/>
        </w:rPr>
      </w:r>
      <w:r>
        <w:rPr/>
        <w:t>实际发生的合同成本能够清楚地区分和可靠地计量；④合同完工进度和为完成合同尚需发生的成本能够可靠地确定。 </w:t>
      </w:r>
      <w:r>
        <w:rPr>
          <w:spacing w:val="-2"/>
        </w:rPr>
        <w:t>如建造合同的结果不能可靠地估计，但合同成本能够收回的，合同收入根据能够收回的实际合同成本予以确认，合同成本在</w:t>
      </w:r>
      <w:r>
        <w:rPr>
          <w:spacing w:val="-63"/>
        </w:rPr>
        <w:t> </w:t>
      </w:r>
      <w:r>
        <w:rPr>
          <w:spacing w:val="-63"/>
        </w:rPr>
      </w:r>
      <w:r>
        <w:rPr>
          <w:spacing w:val="-2"/>
        </w:rPr>
        <w:t>其发生的当期确认为合同费用；合同成本不可能收回的，在发生时立即确认为合同费用，不确认合同收入。使建造合同的结</w:t>
      </w:r>
      <w:r>
        <w:rPr>
          <w:spacing w:val="-64"/>
        </w:rPr>
        <w:t> </w:t>
      </w:r>
      <w:r>
        <w:rPr>
          <w:spacing w:val="-64"/>
        </w:rPr>
      </w:r>
      <w:r>
        <w:rPr/>
        <w:t>果不能可靠估计的不确定因素不复存在的，按照完工百分比法确定与建造合同有关的收入和费用。 合同预计总成本超过合同总收入的，将预计损失确认为当期费用。 </w:t>
      </w:r>
      <w:r>
        <w:rPr>
          <w:spacing w:val="-2"/>
        </w:rPr>
        <w:t>在建合同累计已发生的成本和累计已确认的毛利</w:t>
      </w:r>
      <w:r>
        <w:rPr>
          <w:rFonts w:ascii="宋体" w:hAnsi="宋体" w:cs="宋体" w:eastAsia="宋体" w:hint="default"/>
          <w:spacing w:val="-2"/>
        </w:rPr>
        <w:t>(</w:t>
      </w:r>
      <w:r>
        <w:rPr>
          <w:spacing w:val="-2"/>
        </w:rPr>
        <w:t>亏损</w:t>
      </w:r>
      <w:r>
        <w:rPr>
          <w:rFonts w:ascii="宋体" w:hAnsi="宋体" w:cs="宋体" w:eastAsia="宋体" w:hint="default"/>
          <w:spacing w:val="-2"/>
        </w:rPr>
        <w:t>)</w:t>
      </w:r>
      <w:r>
        <w:rPr>
          <w:spacing w:val="-2"/>
        </w:rPr>
        <w:t>与已结算的价款在资产负债表中以抵销后的净额列示。在建合同累计</w:t>
      </w:r>
      <w:r>
        <w:rPr>
          <w:spacing w:val="-62"/>
        </w:rPr>
        <w:t> </w:t>
      </w:r>
      <w:r>
        <w:rPr>
          <w:spacing w:val="-62"/>
        </w:rPr>
      </w:r>
      <w:r>
        <w:rPr>
          <w:spacing w:val="-2"/>
        </w:rPr>
        <w:t>已发生的成本和累计已确认的毛利</w:t>
      </w:r>
      <w:r>
        <w:rPr>
          <w:rFonts w:ascii="宋体" w:hAnsi="宋体" w:cs="宋体" w:eastAsia="宋体" w:hint="default"/>
          <w:spacing w:val="-2"/>
        </w:rPr>
        <w:t>(</w:t>
      </w:r>
      <w:r>
        <w:rPr>
          <w:spacing w:val="-2"/>
        </w:rPr>
        <w:t>亏损</w:t>
      </w:r>
      <w:r>
        <w:rPr>
          <w:rFonts w:ascii="宋体" w:hAnsi="宋体" w:cs="宋体" w:eastAsia="宋体" w:hint="default"/>
          <w:spacing w:val="-2"/>
        </w:rPr>
        <w:t>)</w:t>
      </w:r>
      <w:r>
        <w:rPr>
          <w:spacing w:val="-2"/>
        </w:rPr>
        <w:t>之和超过已结算价款的部分作为存货列示；在建合同已结算的价款超过累计已发生</w:t>
      </w:r>
      <w:r>
        <w:rPr>
          <w:spacing w:val="-62"/>
        </w:rPr>
        <w:t> </w:t>
      </w:r>
      <w:r>
        <w:rPr>
          <w:spacing w:val="-62"/>
        </w:rPr>
      </w:r>
      <w:r>
        <w:rPr/>
        <w:t>的成本与累计已确认的毛利</w:t>
      </w:r>
      <w:r>
        <w:rPr>
          <w:rFonts w:ascii="宋体" w:hAnsi="宋体" w:cs="宋体" w:eastAsia="宋体" w:hint="default"/>
        </w:rPr>
        <w:t>(</w:t>
      </w:r>
      <w:r>
        <w:rPr/>
        <w:t>亏损</w:t>
      </w:r>
      <w:r>
        <w:rPr>
          <w:rFonts w:ascii="宋体" w:hAnsi="宋体" w:cs="宋体" w:eastAsia="宋体" w:hint="default"/>
        </w:rPr>
        <w:t>)</w:t>
      </w:r>
      <w:r>
        <w:rPr/>
        <w:t>之和的部分作为预收款项列示。 公司</w:t>
      </w:r>
      <w:r>
        <w:rPr>
          <w:rFonts w:ascii="宋体" w:hAnsi="宋体" w:cs="宋体" w:eastAsia="宋体" w:hint="default"/>
        </w:rPr>
        <w:t>BT</w:t>
      </w:r>
      <w:r>
        <w:rPr/>
        <w:t>业务的按照《企业会计准</w:t>
      </w:r>
      <w:r>
        <w:rPr>
          <w:rFonts w:ascii="宋体" w:hAnsi="宋体" w:cs="宋体" w:eastAsia="宋体" w:hint="default"/>
        </w:rPr>
        <w:t>15</w:t>
      </w:r>
      <w:r>
        <w:rPr/>
        <w:t>号——建造合同》确认相关的收入和成本，建造合同收入按应收取对价的公允价值计量， </w:t>
      </w:r>
      <w:r>
        <w:rPr>
          <w:spacing w:val="-4"/>
        </w:rPr>
        <w:t>同时确认长期应收款。长期应收款采用摊余成本计量并按期确认利息收入，实际利率在长期应收款存续期间内一般保持不变。</w:t>
      </w:r>
      <w:r>
        <w:rPr>
          <w:spacing w:val="-44"/>
        </w:rPr>
        <w:t> </w:t>
      </w:r>
      <w:r>
        <w:rPr>
          <w:spacing w:val="-44"/>
        </w:rPr>
      </w:r>
      <w:r>
        <w:rPr>
          <w:rFonts w:ascii="宋体" w:hAnsi="宋体" w:cs="宋体" w:eastAsia="宋体" w:hint="default"/>
          <w:spacing w:val="-2"/>
        </w:rPr>
        <w:t>BT</w:t>
      </w:r>
      <w:r>
        <w:rPr>
          <w:spacing w:val="-2"/>
        </w:rPr>
        <w:t>项目涉及的长期应收款项未超过合同约定的收款时点的，暂不计提坏账准备。对超过长期应收款项对应合同约定的收款时</w:t>
      </w:r>
      <w:r>
        <w:rPr>
          <w:spacing w:val="-63"/>
        </w:rPr>
        <w:t> </w:t>
      </w:r>
      <w:r>
        <w:rPr>
          <w:spacing w:val="-63"/>
        </w:rPr>
      </w:r>
      <w:r>
        <w:rPr/>
        <w:t>点尚未收回款项的坏账准备计提方法详见本附注五、</w:t>
      </w:r>
      <w:r>
        <w:rPr>
          <w:rFonts w:ascii="宋体" w:hAnsi="宋体" w:cs="宋体" w:eastAsia="宋体" w:hint="default"/>
        </w:rPr>
        <w:t>21</w:t>
      </w:r>
      <w:r>
        <w:rPr/>
        <w:t>“长期应收款”（</w:t>
      </w:r>
      <w:r>
        <w:rPr>
          <w:rFonts w:ascii="宋体" w:hAnsi="宋体" w:cs="宋体" w:eastAsia="宋体" w:hint="default"/>
        </w:rPr>
        <w:t>5</w:t>
      </w:r>
      <w:r>
        <w:rPr/>
        <w:t>）④所示。</w:t>
      </w:r>
    </w:p>
    <w:p>
      <w:pPr>
        <w:pStyle w:val="BodyText"/>
        <w:spacing w:line="316" w:lineRule="auto" w:before="19"/>
        <w:ind w:right="6974"/>
        <w:jc w:val="left"/>
      </w:pPr>
      <w:r>
        <w:rPr>
          <w:rFonts w:ascii="宋体" w:hAnsi="宋体" w:cs="宋体" w:eastAsia="宋体" w:hint="default"/>
        </w:rPr>
        <w:t>4.</w:t>
      </w:r>
      <w:r>
        <w:rPr/>
        <w:t>使用费收入 根据有关合同或协议，按权责发生制确认收入。 </w:t>
      </w:r>
      <w:r>
        <w:rPr>
          <w:rFonts w:ascii="宋体" w:hAnsi="宋体" w:cs="宋体" w:eastAsia="宋体" w:hint="default"/>
        </w:rPr>
        <w:t>5.</w:t>
      </w:r>
      <w:r>
        <w:rPr/>
        <w:t>利息收入</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按照他人使用本集团货币资金的时间和实际利率计算确定。</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0、政府补助" w:id="214"/>
      <w:bookmarkEnd w:id="214"/>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政府补助是指本集团从政府无偿取得货币性资产和非货币性资产，不包括政府以投资者身份并享有相应所有者权益而投入的</w:t>
      </w:r>
      <w:r>
        <w:rPr>
          <w:spacing w:val="-63"/>
        </w:rPr>
        <w:t> </w:t>
      </w:r>
      <w:r>
        <w:rPr>
          <w:spacing w:val="-63"/>
        </w:rPr>
      </w:r>
      <w:r>
        <w:rPr>
          <w:spacing w:val="-2"/>
        </w:rPr>
        <w:t>资本。政府补助分为与资产相关的政府补助和与收益相关的政府补助。本集团将所取得的用于购建或以其他方式形成长期资</w:t>
      </w:r>
      <w:r>
        <w:rPr>
          <w:spacing w:val="-64"/>
        </w:rPr>
        <w:t> </w:t>
      </w:r>
      <w:r>
        <w:rPr>
          <w:spacing w:val="-64"/>
        </w:rPr>
      </w:r>
      <w:r>
        <w:rPr>
          <w:spacing w:val="-4"/>
        </w:rPr>
        <w:t>产的政府补助界定为与资产相关的政府补助；其余政府补助界定为与收益相关的政府补助。若政府文件未明确规定补助对象，</w:t>
      </w:r>
      <w:r>
        <w:rPr>
          <w:spacing w:val="-44"/>
        </w:rPr>
        <w:t> </w:t>
      </w:r>
      <w:r>
        <w:rPr>
          <w:spacing w:val="-44"/>
        </w:rPr>
      </w:r>
      <w:r>
        <w:rPr/>
        <w:t>则采用以下方式将补助款划分为与收益相关的政府补助和与资产相关的政府补助：（</w:t>
      </w:r>
      <w:r>
        <w:rPr>
          <w:rFonts w:ascii="宋体" w:hAnsi="宋体" w:cs="宋体" w:eastAsia="宋体" w:hint="default"/>
        </w:rPr>
        <w:t>1</w:t>
      </w:r>
      <w:r>
        <w:rPr/>
        <w:t>）政府文件明确了补助所针对的特定</w:t>
      </w:r>
      <w:r>
        <w:rPr>
          <w:spacing w:val="-83"/>
        </w:rPr>
        <w:t> </w:t>
      </w:r>
      <w:r>
        <w:rPr>
          <w:spacing w:val="-83"/>
        </w:rPr>
      </w:r>
      <w:r>
        <w:rPr>
          <w:spacing w:val="-2"/>
        </w:rPr>
        <w:t>项目的，根据该特定项目的预算中将形成资产的支出金额和计入费用的支出金额的相对比例进行划分，对该划分比例需在每</w:t>
      </w:r>
      <w:r>
        <w:rPr>
          <w:spacing w:val="-64"/>
        </w:rPr>
        <w:t> </w:t>
      </w:r>
      <w:r>
        <w:rPr>
          <w:spacing w:val="-64"/>
        </w:rPr>
      </w:r>
      <w:r>
        <w:rPr/>
        <w:t>个资产负债表日进行复核，必要时进行变更；（</w:t>
      </w:r>
      <w:r>
        <w:rPr>
          <w:rFonts w:ascii="宋体" w:hAnsi="宋体" w:cs="宋体" w:eastAsia="宋体" w:hint="default"/>
        </w:rPr>
        <w:t>2</w:t>
      </w:r>
      <w:r>
        <w:rPr/>
        <w:t>）政府文件中对用途仅作一般性表述，没有指明特定项目的，作为与收益</w:t>
      </w:r>
      <w:r>
        <w:rPr>
          <w:spacing w:val="-84"/>
        </w:rPr>
        <w:t> </w:t>
      </w:r>
      <w:r>
        <w:rPr>
          <w:spacing w:val="-84"/>
        </w:rPr>
      </w:r>
      <w:r>
        <w:rPr>
          <w:spacing w:val="-4"/>
        </w:rPr>
        <w:t>相关的政府补助。政府补助为货币性资产的，按照收到或应收的金额计量。政府补助为非货币性资产的，按照公允价值计量；</w:t>
      </w:r>
      <w:r>
        <w:rPr>
          <w:spacing w:val="-46"/>
        </w:rPr>
        <w:t> </w:t>
      </w:r>
      <w:r>
        <w:rPr>
          <w:spacing w:val="-46"/>
        </w:rPr>
      </w:r>
      <w:r>
        <w:rPr/>
        <w:t>公允价值不能够可靠取得的，按照名义金额计量。按照名义金额计量的政府补助，直接计入当期损益。 </w:t>
      </w:r>
      <w:r>
        <w:rPr>
          <w:spacing w:val="-2"/>
        </w:rPr>
        <w:t>本集团对于政府补助通常在实际收到时，按照实收金额予以确认和计量。但对于期末有确凿证据表明能够符合财政扶持政策</w:t>
      </w:r>
      <w:r>
        <w:rPr>
          <w:spacing w:val="-64"/>
        </w:rPr>
        <w:t> </w:t>
      </w:r>
      <w:r>
        <w:rPr>
          <w:spacing w:val="-64"/>
        </w:rPr>
      </w:r>
      <w:r>
        <w:rPr>
          <w:spacing w:val="-5"/>
        </w:rPr>
        <w:t>规定的相关条件预计能够收到财政扶持资金，按照应收的金额计量。按照应收金额计量的政府补助应同时符合以下条件：（</w:t>
      </w:r>
      <w:r>
        <w:rPr>
          <w:rFonts w:ascii="宋体" w:hAnsi="宋体" w:cs="宋体" w:eastAsia="宋体" w:hint="default"/>
          <w:spacing w:val="-5"/>
        </w:rPr>
        <w:t>1</w:t>
      </w:r>
      <w:r>
        <w:rPr>
          <w:spacing w:val="-5"/>
        </w:rPr>
        <w:t>）</w:t>
      </w:r>
      <w:r>
        <w:rPr>
          <w:spacing w:val="-67"/>
        </w:rPr>
        <w:t> </w:t>
      </w:r>
      <w:r>
        <w:rPr>
          <w:spacing w:val="-2"/>
        </w:rPr>
        <w:t>应收补助款的金额已经过有权政府部门发文确认，或者可根据正式发布的财政资金管理办法的有关规定自行合理测算，且预</w:t>
      </w:r>
      <w:r>
        <w:rPr>
          <w:spacing w:val="-64"/>
        </w:rPr>
        <w:t> </w:t>
      </w:r>
      <w:r>
        <w:rPr>
          <w:spacing w:val="-64"/>
        </w:rPr>
      </w:r>
      <w:r>
        <w:rPr/>
        <w:t>计其金额不存在重大不确定性；（</w:t>
      </w:r>
      <w:r>
        <w:rPr>
          <w:rFonts w:ascii="宋体" w:hAnsi="宋体" w:cs="宋体" w:eastAsia="宋体" w:hint="default"/>
        </w:rPr>
        <w:t>2</w:t>
      </w:r>
      <w:r>
        <w:rPr/>
        <w:t>）所依据的是当地财政部门正式发布并按照《政府信息公开条例》的规定予以主动公开</w:t>
      </w:r>
      <w:r>
        <w:rPr>
          <w:spacing w:val="-83"/>
        </w:rPr>
        <w:t> </w:t>
      </w:r>
      <w:r>
        <w:rPr>
          <w:spacing w:val="-83"/>
        </w:rPr>
      </w:r>
      <w:r>
        <w:rPr>
          <w:spacing w:val="-2"/>
        </w:rPr>
        <w:t>的财政扶持项目及其财政资金管理办法，且该管理办法应当是普惠性的（任何符合规定条件的企业均可申请），而不是专门</w:t>
      </w:r>
      <w:r>
        <w:rPr>
          <w:spacing w:val="-64"/>
        </w:rPr>
        <w:t> </w:t>
      </w:r>
      <w:r>
        <w:rPr>
          <w:spacing w:val="-64"/>
        </w:rPr>
      </w:r>
      <w:r>
        <w:rPr/>
        <w:t>针对特定企业制定的；（</w:t>
      </w:r>
      <w:r>
        <w:rPr>
          <w:rFonts w:ascii="宋体" w:hAnsi="宋体" w:cs="宋体" w:eastAsia="宋体" w:hint="default"/>
        </w:rPr>
        <w:t>3</w:t>
      </w:r>
      <w:r>
        <w:rPr/>
        <w:t>）相关的补助款批文中已明确承诺了拨付期限，且该款项的拨付是有相应财政预算作为保障的，</w:t>
      </w:r>
      <w:r>
        <w:rPr>
          <w:spacing w:val="-84"/>
        </w:rPr>
        <w:t> </w:t>
      </w:r>
      <w:r>
        <w:rPr>
          <w:spacing w:val="-84"/>
        </w:rPr>
      </w:r>
      <w:r>
        <w:rPr/>
        <w:t>因而可以合理保证其可在规定期限内收到；（</w:t>
      </w:r>
      <w:r>
        <w:rPr>
          <w:rFonts w:ascii="宋体" w:hAnsi="宋体" w:cs="宋体" w:eastAsia="宋体" w:hint="default"/>
        </w:rPr>
        <w:t>4</w:t>
      </w:r>
      <w:r>
        <w:rPr/>
        <w:t>）根据本集团和该补助事项的具体情况，应满足的其他相关条件（如有）。 </w:t>
      </w:r>
      <w:r>
        <w:rPr>
          <w:spacing w:val="-2"/>
        </w:rPr>
        <w:t>与资产相关的政府补助，确认为递延收益，并在相关资产的使用寿命内按照合理、系统的方法分期计入当期损益。与收益相</w:t>
      </w:r>
      <w:r>
        <w:rPr>
          <w:spacing w:val="-65"/>
        </w:rPr>
        <w:t> </w:t>
      </w:r>
      <w:r>
        <w:rPr>
          <w:spacing w:val="-65"/>
        </w:rPr>
      </w:r>
      <w:r>
        <w:rPr>
          <w:spacing w:val="-2"/>
        </w:rPr>
        <w:t>关的政府补助，用于补偿以后期间的相关成本费用或损失的，确认为递延收益，并在确认相关成本费用或损失的期间计入当</w:t>
      </w:r>
      <w:r>
        <w:rPr>
          <w:spacing w:val="-66"/>
        </w:rPr>
        <w:t> </w:t>
      </w:r>
      <w:r>
        <w:rPr>
          <w:spacing w:val="-66"/>
        </w:rPr>
      </w:r>
      <w:r>
        <w:rPr/>
        <w:t>期损益；用于补偿已经发生的相关成本费用或损失的，直接计入当期损益 </w:t>
      </w:r>
      <w:r>
        <w:rPr>
          <w:spacing w:val="-2"/>
        </w:rPr>
        <w:t>同时包含与资产相关部分和与收益相关部分的政府补助，区分不同部分分别进行会计处理；难以区分的，将其整体归类为与</w:t>
      </w:r>
      <w:r>
        <w:rPr>
          <w:spacing w:val="-66"/>
        </w:rPr>
        <w:t> </w:t>
      </w:r>
      <w:r>
        <w:rPr>
          <w:spacing w:val="-66"/>
        </w:rPr>
      </w:r>
      <w:r>
        <w:rPr/>
        <w:t>收益相关的政府补助。 </w:t>
      </w:r>
      <w:r>
        <w:rPr>
          <w:spacing w:val="-4"/>
        </w:rPr>
        <w:t>与本集团日常活动相关的政府补助，按照经济业务的实质，计入其他收益或冲减相关成本费用；与日常活动无关的政府补助，</w:t>
      </w:r>
      <w:r>
        <w:rPr>
          <w:spacing w:val="-43"/>
        </w:rPr>
        <w:t> </w:t>
      </w:r>
      <w:r>
        <w:rPr>
          <w:spacing w:val="-43"/>
        </w:rPr>
      </w:r>
      <w:r>
        <w:rPr/>
        <w:t>计入营业外收支。 </w:t>
      </w:r>
      <w:r>
        <w:rPr>
          <w:spacing w:val="-2"/>
        </w:rPr>
        <w:t>已确认的政府补助需要退回时，存在相关递延收益余额的，冲减相关递延收益账面余额，超出部分计入当期损益；属于其他</w:t>
      </w:r>
      <w:r>
        <w:rPr>
          <w:spacing w:val="-64"/>
        </w:rPr>
        <w:t> </w:t>
      </w:r>
      <w:r>
        <w:rPr>
          <w:spacing w:val="-64"/>
        </w:rPr>
      </w:r>
      <w:r>
        <w:rPr/>
        <w:t>情况的，直接计入当期损益。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41、递延所得税资产/递延所得税负债" w:id="215"/>
      <w:bookmarkEnd w:id="215"/>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19"/>
        <w:jc w:val="left"/>
      </w:pPr>
      <w:r>
        <w:rPr>
          <w:rFonts w:ascii="宋体" w:hAnsi="宋体" w:cs="宋体" w:eastAsia="宋体" w:hint="default"/>
        </w:rPr>
        <w:t>1.</w:t>
      </w:r>
      <w:r>
        <w:rPr/>
        <w:t>当期所得税 </w:t>
      </w:r>
      <w:r>
        <w:rPr>
          <w:spacing w:val="-2"/>
        </w:rPr>
        <w:t>资产负债表日，对于当期和以前期间形成的当期所得税负债（或资产），以按照税法规定计算的预期应交纳（或返还）的所</w:t>
      </w:r>
      <w:r>
        <w:rPr>
          <w:spacing w:val="-68"/>
        </w:rPr>
        <w:t> </w:t>
      </w:r>
      <w:r>
        <w:rPr>
          <w:spacing w:val="-68"/>
        </w:rPr>
      </w:r>
      <w:r>
        <w:rPr>
          <w:spacing w:val="-2"/>
        </w:rPr>
        <w:t>得税金额计量。计算当期所得税费用所依据的应纳税所得额系根据有关税法规定对本报告期税前会计利润作相应调整后计算</w:t>
      </w:r>
      <w:r>
        <w:rPr>
          <w:spacing w:val="-64"/>
        </w:rPr>
        <w:t> </w:t>
      </w:r>
      <w:r>
        <w:rPr>
          <w:spacing w:val="-64"/>
        </w:rPr>
      </w:r>
      <w:r>
        <w:rPr/>
        <w:t>得出。</w:t>
      </w:r>
    </w:p>
    <w:p>
      <w:pPr>
        <w:pStyle w:val="BodyText"/>
        <w:spacing w:line="316" w:lineRule="auto" w:before="19"/>
        <w:ind w:right="1119"/>
        <w:jc w:val="left"/>
      </w:pPr>
      <w:r>
        <w:rPr>
          <w:rFonts w:ascii="宋体" w:hAnsi="宋体" w:cs="宋体" w:eastAsia="宋体" w:hint="default"/>
        </w:rPr>
        <w:t>2.</w:t>
      </w:r>
      <w:r>
        <w:rPr/>
        <w:t>递延所得税资产及递延所得税负债 </w:t>
      </w:r>
      <w:r>
        <w:rPr>
          <w:spacing w:val="-2"/>
        </w:rPr>
        <w:t>某些资产、负债项目的账面价值与其计税基础之间的差额，以及未作为资产和负债确认但按照税法规定可以确定其计税基础</w:t>
      </w:r>
      <w:r>
        <w:rPr>
          <w:spacing w:val="-64"/>
        </w:rPr>
        <w:t> </w:t>
      </w:r>
      <w:r>
        <w:rPr>
          <w:spacing w:val="-64"/>
        </w:rPr>
      </w:r>
      <w:r>
        <w:rPr/>
        <w:t>的项目的账面价值与计税基础之间的差额产生的暂时性差异，采用资产负债表债务法确认递延所得税资产及递延所得税负</w:t>
      </w:r>
      <w:r>
        <w:rPr>
          <w:spacing w:val="-11"/>
        </w:rPr>
        <w:t> </w:t>
      </w:r>
      <w:r>
        <w:rPr>
          <w:spacing w:val="-11"/>
        </w:rPr>
      </w:r>
      <w:r>
        <w:rPr/>
        <w:t>债。 </w:t>
      </w:r>
      <w:r>
        <w:rPr>
          <w:spacing w:val="-2"/>
        </w:rPr>
        <w:t>与商誉的初始确认有关，以及与既不是企业合并、发生时也不影响会计利润和应纳税所得额（或可抵扣亏损）的交易中产生</w:t>
      </w:r>
      <w:r>
        <w:rPr>
          <w:spacing w:val="-64"/>
        </w:rPr>
        <w:t> </w:t>
      </w:r>
      <w:r>
        <w:rPr>
          <w:spacing w:val="-64"/>
        </w:rPr>
      </w:r>
      <w:r>
        <w:rPr>
          <w:spacing w:val="-2"/>
        </w:rPr>
        <w:t>的资产或负债的初始确认有关的应纳税暂时性差异，不予确认有关的递延所得税负债。此外，对与子公司、联营企业及合营</w:t>
      </w:r>
      <w:r>
        <w:rPr>
          <w:spacing w:val="-64"/>
        </w:rPr>
        <w:t> </w:t>
      </w:r>
      <w:r>
        <w:rPr>
          <w:spacing w:val="-64"/>
        </w:rPr>
      </w:r>
      <w:r>
        <w:rPr>
          <w:spacing w:val="-2"/>
        </w:rPr>
        <w:t>企业投资相关的应纳税暂时性差异，如果本集团能够控制暂时性差异转回的时间，而且该暂时性差异在可预见的未来很可能</w:t>
      </w:r>
      <w:r>
        <w:rPr>
          <w:spacing w:val="-63"/>
        </w:rPr>
        <w:t> </w:t>
      </w:r>
      <w:r>
        <w:rPr>
          <w:spacing w:val="-63"/>
        </w:rPr>
      </w:r>
      <w:r>
        <w:rPr>
          <w:spacing w:val="-2"/>
        </w:rPr>
        <w:t>不会转回，也不予确认有关的递延所得税负债。除上述例外情况，本集团确认其他所有应纳税暂时性差异产生的递延所得税</w:t>
      </w:r>
      <w:r>
        <w:rPr>
          <w:spacing w:val="-63"/>
        </w:rPr>
        <w:t> </w:t>
      </w:r>
      <w:r>
        <w:rPr>
          <w:spacing w:val="-63"/>
        </w:rPr>
      </w:r>
      <w:r>
        <w:rPr/>
        <w:t>负债。 </w:t>
      </w:r>
      <w:r>
        <w:rPr>
          <w:spacing w:val="-2"/>
        </w:rPr>
        <w:t>与既不是企业合并、发生时也不影响会计利润和应纳税所得额（或可抵扣亏损）的交易中产生的资产或负债的初始确认有关</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034"/>
        <w:jc w:val="left"/>
      </w:pPr>
      <w:r>
        <w:rPr>
          <w:spacing w:val="-2"/>
        </w:rPr>
        <w:t>的可抵扣暂时性差异，不予确认有关的递延所得税资产。此外，对与子公司、联营企业及合营企业投资相关的可抵扣暂时性</w:t>
      </w:r>
      <w:r>
        <w:rPr>
          <w:spacing w:val="-64"/>
        </w:rPr>
        <w:t> </w:t>
      </w:r>
      <w:r>
        <w:rPr>
          <w:spacing w:val="-64"/>
        </w:rPr>
      </w:r>
      <w:r>
        <w:rPr>
          <w:spacing w:val="-2"/>
        </w:rPr>
        <w:t>差异，如果暂时性差异在可预见的未来不是很可能转回，或者未来不是很可能获得用来抵扣可抵扣暂时性差异的应纳税所得</w:t>
      </w:r>
      <w:r>
        <w:rPr>
          <w:spacing w:val="-64"/>
        </w:rPr>
        <w:t> </w:t>
      </w:r>
      <w:r>
        <w:rPr>
          <w:spacing w:val="-64"/>
        </w:rPr>
      </w:r>
      <w:r>
        <w:rPr>
          <w:spacing w:val="-2"/>
        </w:rPr>
        <w:t>额，不予确认有关的递延所得税资产。除上述例外情况，本集团以很可能取得用来抵扣可抵扣暂时性差异的应纳税所得额为</w:t>
      </w:r>
      <w:r>
        <w:rPr>
          <w:spacing w:val="-65"/>
        </w:rPr>
        <w:t> </w:t>
      </w:r>
      <w:r>
        <w:rPr>
          <w:spacing w:val="-65"/>
        </w:rPr>
      </w:r>
      <w:r>
        <w:rPr/>
        <w:t>限，确认其他可抵扣暂时性差异产生的递延所得税资产。 对于能够结转以后年度的可抵扣亏损和税款抵减，以很可能获得用来抵扣可抵扣亏损和税款抵减的未来应纳税所得额为限， 确认相应的递延所得税资产。 </w:t>
      </w:r>
      <w:r>
        <w:rPr>
          <w:spacing w:val="-2"/>
        </w:rPr>
        <w:t>资产负债表日，对于递延所得税资产和递延所得税负债，根据税法规定，按照预期收回相关资产或清偿相关负债期间的适用</w:t>
      </w:r>
      <w:r>
        <w:rPr>
          <w:spacing w:val="-63"/>
        </w:rPr>
        <w:t> </w:t>
      </w:r>
      <w:r>
        <w:rPr>
          <w:spacing w:val="-63"/>
        </w:rPr>
      </w:r>
      <w:r>
        <w:rPr/>
        <w:t>税率计量。 </w:t>
      </w:r>
      <w:r>
        <w:rPr>
          <w:spacing w:val="-2"/>
        </w:rPr>
        <w:t>于资产负债表日，对递延所得税资产的账面价值进行复核，如果未来很可能无法获得足够的应纳税所得额用以抵扣递延所得</w:t>
      </w:r>
      <w:r>
        <w:rPr>
          <w:spacing w:val="-64"/>
        </w:rPr>
        <w:t> </w:t>
      </w:r>
      <w:r>
        <w:rPr>
          <w:spacing w:val="-64"/>
        </w:rPr>
      </w:r>
      <w:r>
        <w:rPr/>
        <w:t>税资产的利益，则减记递延所得税资产的账面价值。在很可能获得足够的应纳税所得额时，减记的金额予以转回。 </w:t>
      </w:r>
      <w:r>
        <w:rPr>
          <w:rFonts w:ascii="宋体" w:hAnsi="宋体" w:cs="宋体" w:eastAsia="宋体" w:hint="default"/>
        </w:rPr>
        <w:t>3.</w:t>
      </w:r>
      <w:r>
        <w:rPr/>
        <w:t>所得税费用</w:t>
      </w:r>
    </w:p>
    <w:p>
      <w:pPr>
        <w:pStyle w:val="BodyText"/>
        <w:spacing w:line="316" w:lineRule="auto" w:before="19"/>
        <w:ind w:right="1119"/>
        <w:jc w:val="left"/>
      </w:pPr>
      <w:r>
        <w:rPr/>
        <w:t>所得税费用包括当期所得税和递延所得税。 </w:t>
      </w:r>
      <w:r>
        <w:rPr>
          <w:spacing w:val="-2"/>
        </w:rPr>
        <w:t>除确认为其他综合收益或直接计入股东权益的交易和事项相关的当期所得税和递延所得税计入其他综合收益或股东权益，以</w:t>
      </w:r>
      <w:r>
        <w:rPr>
          <w:spacing w:val="-64"/>
        </w:rPr>
        <w:t> </w:t>
      </w:r>
      <w:r>
        <w:rPr>
          <w:spacing w:val="-64"/>
        </w:rPr>
      </w:r>
      <w:r>
        <w:rPr/>
        <w:t>及企业合并产生的递延所得税调整商誉的账面价值外，其余当期所得税和递延所得税费用或收益计入当期损益。 </w:t>
      </w:r>
      <w:r>
        <w:rPr>
          <w:rFonts w:ascii="宋体" w:hAnsi="宋体" w:cs="宋体" w:eastAsia="宋体" w:hint="default"/>
        </w:rPr>
        <w:t>4.</w:t>
      </w:r>
      <w:r>
        <w:rPr/>
        <w:t>所得税的抵销 </w:t>
      </w:r>
      <w:r>
        <w:rPr>
          <w:spacing w:val="-2"/>
        </w:rPr>
        <w:t>当拥有以净额结算的法定权利，且意图以净额结算或取得资产、清偿负债同时进行时，本集团当期所得税资产及当期所得税</w:t>
      </w:r>
      <w:r>
        <w:rPr>
          <w:spacing w:val="-66"/>
        </w:rPr>
        <w:t> </w:t>
      </w:r>
      <w:r>
        <w:rPr>
          <w:spacing w:val="-66"/>
        </w:rPr>
      </w:r>
      <w:r>
        <w:rPr/>
        <w:t>负债以抵销后的净额列报。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的期间内，涉及的纳税主体意图以净额结算当期所得税资产和负债或是同时取得资产、清偿负债时，本集团递延所得税资产</w:t>
      </w:r>
      <w:r>
        <w:rPr>
          <w:spacing w:val="-63"/>
        </w:rPr>
        <w:t> </w:t>
      </w:r>
      <w:r>
        <w:rPr>
          <w:spacing w:val="-63"/>
        </w:rPr>
      </w:r>
      <w:r>
        <w:rPr/>
        <w:t>及递延所得税负债以抵销后的净额列报。</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42、租赁" w:id="216"/>
      <w:bookmarkEnd w:id="216"/>
      <w:r>
        <w:rPr>
          <w:b w:val="0"/>
          <w:bCs w:val="0"/>
        </w:rPr>
      </w:r>
      <w:r>
        <w:rPr>
          <w:rFonts w:ascii="Times New Roman" w:hAnsi="Times New Roman" w:cs="Times New Roman" w:eastAsia="Times New Roman" w:hint="default"/>
        </w:rPr>
        <w:t>42</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经营租赁的会计处理方法" w:id="217"/>
      <w:bookmarkEnd w:id="21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融资租赁为实质上转移了与资产所有权有关的全部风险和报酬的租赁，其所有权最终可能转移，也可能不转移。融资租赁以</w:t>
      </w:r>
      <w:r>
        <w:rPr>
          <w:spacing w:val="-66"/>
        </w:rPr>
        <w:t> </w:t>
      </w:r>
      <w:r>
        <w:rPr>
          <w:spacing w:val="-66"/>
        </w:rPr>
      </w:r>
      <w:r>
        <w:rPr/>
        <w:t>外的其他租赁为经营租赁。</w:t>
      </w:r>
    </w:p>
    <w:p>
      <w:pPr>
        <w:pStyle w:val="BodyText"/>
        <w:spacing w:line="316" w:lineRule="auto" w:before="19"/>
        <w:ind w:right="0"/>
        <w:jc w:val="left"/>
      </w:pPr>
      <w:r>
        <w:rPr>
          <w:rFonts w:ascii="宋体" w:hAnsi="宋体" w:cs="宋体" w:eastAsia="宋体" w:hint="default"/>
        </w:rPr>
        <w:t>1.</w:t>
      </w:r>
      <w:r>
        <w:rPr/>
        <w:t>本集团作为承租人记录经营租赁业务 </w:t>
      </w:r>
      <w:r>
        <w:rPr>
          <w:spacing w:val="-2"/>
        </w:rPr>
        <w:t>经营租赁的租金支出在租赁期内的各个期间按直线法计入相关资产成本或当期损益。初始直接费用计入当期损益。或有租金</w:t>
      </w:r>
      <w:r>
        <w:rPr>
          <w:spacing w:val="-64"/>
        </w:rPr>
        <w:t> </w:t>
      </w:r>
      <w:r>
        <w:rPr>
          <w:spacing w:val="-64"/>
        </w:rPr>
      </w:r>
      <w:r>
        <w:rPr/>
        <w:t>于实际发生时计入当期损益。</w:t>
      </w:r>
    </w:p>
    <w:p>
      <w:pPr>
        <w:pStyle w:val="BodyText"/>
        <w:spacing w:line="316" w:lineRule="auto" w:before="19"/>
        <w:ind w:right="1034"/>
        <w:jc w:val="left"/>
      </w:pPr>
      <w:r>
        <w:rPr>
          <w:rFonts w:ascii="宋体" w:hAnsi="宋体" w:cs="宋体" w:eastAsia="宋体" w:hint="default"/>
        </w:rPr>
        <w:t>2.</w:t>
      </w:r>
      <w:r>
        <w:rPr/>
        <w:t>本集团作为出租人记录经营租赁业务 </w:t>
      </w:r>
      <w:r>
        <w:rPr>
          <w:spacing w:val="-2"/>
        </w:rPr>
        <w:t>经营租赁的租金收入在租赁期内的各个期间按直线法确认为当期损益。对金额较大的初始直接费用于发生时予以资本化，在</w:t>
      </w:r>
      <w:r>
        <w:rPr>
          <w:spacing w:val="-64"/>
        </w:rPr>
        <w:t> </w:t>
      </w:r>
      <w:r>
        <w:rPr>
          <w:spacing w:val="-64"/>
        </w:rPr>
      </w:r>
      <w:r>
        <w:rPr/>
        <w:t>整个租赁期间内按照与确认租金收入相同的基础分期计入当期损益；其他金额较小的初始直接费用于发生时计入当期损益。 或有租金于实际发生时计入当期损益。</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2）融资租赁的会计处理方法" w:id="218"/>
      <w:bookmarkEnd w:id="21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9"/>
        <w:jc w:val="left"/>
      </w:pPr>
      <w:r>
        <w:rPr>
          <w:rFonts w:ascii="宋体" w:hAnsi="宋体" w:cs="宋体" w:eastAsia="宋体" w:hint="default"/>
        </w:rPr>
        <w:t>1.</w:t>
      </w:r>
      <w:r>
        <w:rPr/>
        <w:t>本集团作为承租人记录融资租赁业务 </w:t>
      </w:r>
      <w:r>
        <w:rPr>
          <w:spacing w:val="-2"/>
        </w:rPr>
        <w:t>于租赁期开始日，将租赁开始日租赁资产的公允价值与最低租赁付款额现值两者中较低者作为租入资产的入账价值，将最低</w:t>
      </w:r>
      <w:r>
        <w:rPr>
          <w:spacing w:val="-64"/>
        </w:rPr>
        <w:t> </w:t>
      </w:r>
      <w:r>
        <w:rPr>
          <w:spacing w:val="-64"/>
        </w:rPr>
      </w:r>
      <w:r>
        <w:rPr>
          <w:spacing w:val="-2"/>
        </w:rPr>
        <w:t>租赁付款额作为长期应付款的入账价值，其差额作为未确认融资费用。此外，在租赁谈判和签订租赁合同过程中发生的，可</w:t>
      </w:r>
      <w:r>
        <w:rPr>
          <w:spacing w:val="-66"/>
        </w:rPr>
        <w:t> </w:t>
      </w:r>
      <w:r>
        <w:rPr>
          <w:spacing w:val="-66"/>
        </w:rPr>
      </w:r>
      <w:r>
        <w:rPr>
          <w:spacing w:val="-2"/>
        </w:rPr>
        <w:t>归属于租赁项目的初始直接费用也计入租入资产价值。最低租赁付款额扣除未确认融资费用后的余额分别长期负债和一年内</w:t>
      </w:r>
      <w:r>
        <w:rPr>
          <w:spacing w:val="-64"/>
        </w:rPr>
        <w:t> </w:t>
      </w:r>
      <w:r>
        <w:rPr>
          <w:spacing w:val="-64"/>
        </w:rPr>
      </w:r>
      <w:r>
        <w:rPr/>
        <w:t>到期的长期负债列示。 未确认融资费用在租赁期内采用实际利率法计算确认当期的融资费用。或有租金于实际发生时计入当期损益。 </w:t>
      </w:r>
      <w:r>
        <w:rPr>
          <w:rFonts w:ascii="宋体" w:hAnsi="宋体" w:cs="宋体" w:eastAsia="宋体" w:hint="default"/>
        </w:rPr>
        <w:t>2.</w:t>
      </w:r>
      <w:r>
        <w:rPr/>
        <w:t>本集团作为出租人记录融资租赁业务</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4"/>
        </w:rPr>
        <w:t>于租赁期开始日，将租赁开始日最低租赁收款额与初始直接费用之和作为应收融资租赁款的入账价值，同时记录未担保余值；</w:t>
      </w:r>
      <w:r>
        <w:rPr>
          <w:spacing w:val="-44"/>
        </w:rPr>
        <w:t> </w:t>
      </w:r>
      <w:r>
        <w:rPr>
          <w:spacing w:val="-44"/>
        </w:rPr>
      </w:r>
      <w:r>
        <w:rPr>
          <w:spacing w:val="-2"/>
        </w:rPr>
        <w:t>将最低租赁收款额、初始直接费用及未担保余值之和与其现值之和的差额确认为未实现融资收益。应收融资租赁款扣除未实</w:t>
      </w:r>
      <w:r>
        <w:rPr>
          <w:spacing w:val="-64"/>
        </w:rPr>
        <w:t> </w:t>
      </w:r>
      <w:r>
        <w:rPr>
          <w:spacing w:val="-64"/>
        </w:rPr>
      </w:r>
      <w:r>
        <w:rPr/>
        <w:t>现融资收益后的余额分别长期债权和一年内到期的长期债权列示。 未实现融资收益在租赁期内采用实际利率法计算确认当期的融资收入。或有租金于实际发生时计入当期损益。</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43、其他重要的会计政策和会计估计" w:id="219"/>
      <w:bookmarkEnd w:id="219"/>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034"/>
        <w:jc w:val="left"/>
      </w:pPr>
      <w:r>
        <w:rPr>
          <w:spacing w:val="-2"/>
        </w:rPr>
        <w:t>本集团在运用会计政策过程中，由于经营活动内在的不确定性，需要对无法准确计量的报表项目的账面价值进行判断、估计</w:t>
      </w:r>
      <w:r>
        <w:rPr>
          <w:spacing w:val="-61"/>
        </w:rPr>
        <w:t> </w:t>
      </w:r>
      <w:r>
        <w:rPr>
          <w:spacing w:val="-61"/>
        </w:rPr>
      </w:r>
      <w:r>
        <w:rPr/>
        <w:t>和假设。这些判断、估计和假设是基于本集团管理层过去的历史经验，并在考虑其他相关因素的基础上做出的。这些判断、 </w:t>
      </w:r>
      <w:r>
        <w:rPr>
          <w:spacing w:val="-2"/>
        </w:rPr>
        <w:t>估计和假设会影响收入、费用、资产和负债的报告金额以及资产负债表日或有负债的披露。然而，这些估计的不确定性所导</w:t>
      </w:r>
      <w:r>
        <w:rPr>
          <w:spacing w:val="-64"/>
        </w:rPr>
        <w:t> </w:t>
      </w:r>
      <w:r>
        <w:rPr>
          <w:spacing w:val="-64"/>
        </w:rPr>
      </w:r>
      <w:r>
        <w:rPr/>
        <w:t>致的实际结果可能与本集团管理层当前的估计存在差异，进而造成对未来受影响的资产或负债的账面金额进行重大调整。 </w:t>
      </w:r>
      <w:r>
        <w:rPr>
          <w:spacing w:val="-2"/>
        </w:rPr>
        <w:t>本集团对前述判断、估计和假设在持续经营的基础上进行定期复核，会计估计的变更仅影响变更当期的，其影响数在变更当</w:t>
      </w:r>
      <w:r>
        <w:rPr>
          <w:spacing w:val="-63"/>
        </w:rPr>
        <w:t> </w:t>
      </w:r>
      <w:r>
        <w:rPr>
          <w:spacing w:val="-63"/>
        </w:rPr>
      </w:r>
      <w:r>
        <w:rPr/>
        <w:t>期予以确认；既影响变更当期又影响未来期间的，其影响数在变更当期和未来期间予以确认。</w:t>
      </w:r>
      <w:r>
        <w:rPr/>
        <w:t> 于资产负债表日，本集团需对财务报表项目金额进行判断、估计和假设的重要领域如下：</w:t>
      </w:r>
    </w:p>
    <w:p>
      <w:pPr>
        <w:pStyle w:val="BodyText"/>
        <w:spacing w:line="316" w:lineRule="auto" w:before="17"/>
        <w:ind w:right="0"/>
        <w:jc w:val="left"/>
      </w:pPr>
      <w:r>
        <w:rPr>
          <w:rFonts w:ascii="宋体" w:hAnsi="宋体" w:cs="宋体" w:eastAsia="宋体" w:hint="default"/>
        </w:rPr>
        <w:t>1.</w:t>
      </w:r>
      <w:r>
        <w:rPr/>
        <w:t>收入确认——建造合同 </w:t>
      </w:r>
      <w:r>
        <w:rPr>
          <w:spacing w:val="-2"/>
        </w:rPr>
        <w:t>在建造合同结果可以可靠估计时，本集团采用完工百分比法在资产负债表日确认合同收入。合同的完工百分比是依照本附注</w:t>
      </w:r>
      <w:r>
        <w:rPr>
          <w:spacing w:val="-64"/>
        </w:rPr>
        <w:t> </w:t>
      </w:r>
      <w:r>
        <w:rPr>
          <w:spacing w:val="-64"/>
        </w:rPr>
      </w:r>
      <w:r>
        <w:rPr/>
        <w:t>五、</w:t>
      </w:r>
      <w:r>
        <w:rPr>
          <w:rFonts w:ascii="宋体" w:hAnsi="宋体" w:cs="宋体" w:eastAsia="宋体" w:hint="default"/>
        </w:rPr>
        <w:t>39</w:t>
      </w:r>
      <w:r>
        <w:rPr/>
        <w:t>、“收入”所述方法进行确认的，在执行各该建造合同的各会计年度内累积计算。 </w:t>
      </w:r>
      <w:r>
        <w:rPr>
          <w:spacing w:val="-2"/>
        </w:rPr>
        <w:t>在确定完工百分比、已发生的合同成本、预计合同总收入和总成本，以及合同可回收性时，需要作出重大判断。项目管理层</w:t>
      </w:r>
      <w:r>
        <w:rPr>
          <w:spacing w:val="-67"/>
        </w:rPr>
        <w:t> </w:t>
      </w:r>
      <w:r>
        <w:rPr>
          <w:spacing w:val="-67"/>
        </w:rPr>
      </w:r>
      <w:r>
        <w:rPr>
          <w:spacing w:val="-2"/>
        </w:rPr>
        <w:t>主要依靠过去的经验和工作作出判断。预计合同总收入和总成本，以及合同执行结果的估计变更都可能对变更当期或以后期</w:t>
      </w:r>
      <w:r>
        <w:rPr>
          <w:spacing w:val="-62"/>
        </w:rPr>
        <w:t> </w:t>
      </w:r>
      <w:r>
        <w:rPr>
          <w:spacing w:val="-62"/>
        </w:rPr>
      </w:r>
      <w:r>
        <w:rPr/>
        <w:t>间的营业收入、营业成本，以及期间损益产生影响，且可能构成重大影响。</w:t>
      </w:r>
    </w:p>
    <w:p>
      <w:pPr>
        <w:pStyle w:val="BodyText"/>
        <w:spacing w:line="316" w:lineRule="auto" w:before="19"/>
        <w:ind w:right="1119"/>
        <w:jc w:val="left"/>
      </w:pPr>
      <w:r>
        <w:rPr>
          <w:rFonts w:ascii="宋体" w:hAnsi="宋体" w:cs="宋体" w:eastAsia="宋体" w:hint="default"/>
        </w:rPr>
        <w:t>2.</w:t>
      </w:r>
      <w:r>
        <w:rPr/>
        <w:t>租赁的分类 </w:t>
      </w:r>
      <w:r>
        <w:rPr>
          <w:spacing w:val="-2"/>
        </w:rPr>
        <w:t>本集团根据《企业会计准则第</w:t>
      </w:r>
      <w:r>
        <w:rPr>
          <w:rFonts w:ascii="宋体" w:hAnsi="宋体" w:cs="宋体" w:eastAsia="宋体" w:hint="default"/>
          <w:spacing w:val="-2"/>
        </w:rPr>
        <w:t>21</w:t>
      </w:r>
      <w:r>
        <w:rPr>
          <w:spacing w:val="-2"/>
        </w:rPr>
        <w:t>号——租赁》的规定，将租赁归类为经营租赁和融资租赁，在进行归类时，管理层需要对是</w:t>
      </w:r>
      <w:r>
        <w:rPr>
          <w:spacing w:val="-63"/>
        </w:rPr>
        <w:t> </w:t>
      </w:r>
      <w:r>
        <w:rPr>
          <w:spacing w:val="-63"/>
        </w:rPr>
      </w:r>
      <w:r>
        <w:rPr>
          <w:spacing w:val="-2"/>
        </w:rPr>
        <w:t>否已将与租出资产所有权有关的全部风险和报酬实质上转移给承租人，或者本集团是否已经实质上承担与租入资产所有权有</w:t>
      </w:r>
      <w:r>
        <w:rPr>
          <w:spacing w:val="-64"/>
        </w:rPr>
        <w:t> </w:t>
      </w:r>
      <w:r>
        <w:rPr>
          <w:spacing w:val="-64"/>
        </w:rPr>
      </w:r>
      <w:r>
        <w:rPr/>
        <w:t>关的全部风险和报酬，作出分析和判断。</w:t>
      </w:r>
    </w:p>
    <w:p>
      <w:pPr>
        <w:pStyle w:val="BodyText"/>
        <w:spacing w:line="316" w:lineRule="auto" w:before="19"/>
        <w:ind w:right="0"/>
        <w:jc w:val="left"/>
      </w:pPr>
      <w:r>
        <w:rPr>
          <w:rFonts w:ascii="宋体" w:hAnsi="宋体" w:cs="宋体" w:eastAsia="宋体" w:hint="default"/>
        </w:rPr>
        <w:t>3.</w:t>
      </w:r>
      <w:r>
        <w:rPr/>
        <w:t>金融资产减值 </w:t>
      </w:r>
      <w:r>
        <w:rPr>
          <w:spacing w:val="-2"/>
        </w:rPr>
        <w:t>本集团采用预期信用损失模型对金融工具的减值进行评估，应用预期信用损失模型需要做出重大判断和估计，需考虑所有合</w:t>
      </w:r>
      <w:r>
        <w:rPr>
          <w:spacing w:val="-64"/>
        </w:rPr>
        <w:t> </w:t>
      </w:r>
      <w:r>
        <w:rPr>
          <w:spacing w:val="-64"/>
        </w:rPr>
      </w:r>
      <w:r>
        <w:rPr>
          <w:spacing w:val="-2"/>
        </w:rPr>
        <w:t>理且有依据的信息，包括前瞻性信息。在做出该等判断和估计时，本集团根据历史数据结合经济政策、宏观经济指标、行业</w:t>
      </w:r>
      <w:r>
        <w:rPr>
          <w:spacing w:val="-67"/>
        </w:rPr>
        <w:t> </w:t>
      </w:r>
      <w:r>
        <w:rPr>
          <w:spacing w:val="-67"/>
        </w:rPr>
      </w:r>
      <w:r>
        <w:rPr/>
        <w:t>风险、外部市场环境、技术环境、客户情况的变化等因素推断债务人信用风险的预期变动。</w:t>
      </w:r>
    </w:p>
    <w:p>
      <w:pPr>
        <w:pStyle w:val="BodyText"/>
        <w:spacing w:line="316" w:lineRule="auto" w:before="19"/>
        <w:ind w:right="0"/>
        <w:jc w:val="left"/>
      </w:pPr>
      <w:r>
        <w:rPr>
          <w:rFonts w:ascii="宋体" w:hAnsi="宋体" w:cs="宋体" w:eastAsia="宋体" w:hint="default"/>
        </w:rPr>
        <w:t>4.</w:t>
      </w:r>
      <w:r>
        <w:rPr/>
        <w:t>存货跌价准备 </w:t>
      </w:r>
      <w:r>
        <w:rPr>
          <w:spacing w:val="-2"/>
        </w:rPr>
        <w:t>本集团根据存货会计政策，按照成本与可变现净值孰低计量，对成本高于可变现净值及陈旧和滞销的存货，计提存货跌价准</w:t>
      </w:r>
      <w:r>
        <w:rPr>
          <w:spacing w:val="-63"/>
        </w:rPr>
        <w:t> </w:t>
      </w:r>
      <w:r>
        <w:rPr>
          <w:spacing w:val="-63"/>
        </w:rPr>
      </w:r>
      <w:r>
        <w:rPr>
          <w:spacing w:val="-2"/>
        </w:rPr>
        <w:t>备。存货减值至可变现净值是基于评估存货的可售性及其可变现净值。鉴定存货减值要求管理层在取得确凿证据，并且考虑</w:t>
      </w:r>
      <w:r>
        <w:rPr>
          <w:spacing w:val="-63"/>
        </w:rPr>
        <w:t> </w:t>
      </w:r>
      <w:r>
        <w:rPr>
          <w:spacing w:val="-63"/>
        </w:rPr>
      </w:r>
      <w:r>
        <w:rPr>
          <w:spacing w:val="-2"/>
        </w:rPr>
        <w:t>持有存货的目的、资产负债表日后事项的影响等因素的基础上作出判断和估计。实际的结果与原先估计的差异将在估计被改</w:t>
      </w:r>
      <w:r>
        <w:rPr>
          <w:spacing w:val="-64"/>
        </w:rPr>
        <w:t> </w:t>
      </w:r>
      <w:r>
        <w:rPr>
          <w:spacing w:val="-64"/>
        </w:rPr>
      </w:r>
      <w:r>
        <w:rPr/>
        <w:t>变的期间影响存货的账面价值及存货跌价准备的计提或转回。</w:t>
      </w:r>
    </w:p>
    <w:p>
      <w:pPr>
        <w:pStyle w:val="BodyText"/>
        <w:spacing w:line="316" w:lineRule="auto" w:before="19"/>
        <w:ind w:right="1034"/>
        <w:jc w:val="left"/>
      </w:pPr>
      <w:r>
        <w:rPr>
          <w:rFonts w:ascii="宋体" w:hAnsi="宋体" w:cs="宋体" w:eastAsia="宋体" w:hint="default"/>
        </w:rPr>
        <w:t>5.</w:t>
      </w:r>
      <w:r>
        <w:rPr/>
        <w:t>金融工具公允价值 对不存在活跃交易市场的金融工具，本集团通过各种估值方法确定其公允价值。这些估值方法包括贴现现金流模型分析等。 </w:t>
      </w:r>
      <w:r>
        <w:rPr>
          <w:spacing w:val="-2"/>
        </w:rPr>
        <w:t>估值时本集团需对未来现金流量、信用风险、市场波动率和相关性等方面进行估计，并选择适当的折现率。这些相关假设具</w:t>
      </w:r>
      <w:r>
        <w:rPr>
          <w:spacing w:val="-64"/>
        </w:rPr>
        <w:t> </w:t>
      </w:r>
      <w:r>
        <w:rPr>
          <w:spacing w:val="-64"/>
        </w:rPr>
      </w:r>
      <w:r>
        <w:rPr>
          <w:spacing w:val="-2"/>
        </w:rPr>
        <w:t>有不确定性，其变化会对金融工具的公允价值产生影响。权益工具投资或合同有公开报价的，本集团不将成本作为其公允价</w:t>
      </w:r>
      <w:r>
        <w:rPr>
          <w:spacing w:val="-63"/>
        </w:rPr>
        <w:t> </w:t>
      </w:r>
      <w:r>
        <w:rPr>
          <w:spacing w:val="-63"/>
        </w:rPr>
      </w:r>
      <w:r>
        <w:rPr/>
        <w:t>值的最佳估计。</w:t>
      </w:r>
    </w:p>
    <w:p>
      <w:pPr>
        <w:pStyle w:val="BodyText"/>
        <w:spacing w:line="316" w:lineRule="auto" w:before="19"/>
        <w:ind w:right="1034"/>
        <w:jc w:val="left"/>
      </w:pPr>
      <w:r>
        <w:rPr>
          <w:rFonts w:ascii="宋体" w:hAnsi="宋体" w:cs="宋体" w:eastAsia="宋体" w:hint="default"/>
        </w:rPr>
        <w:t>6.</w:t>
      </w:r>
      <w:r>
        <w:rPr/>
        <w:t>长期资产减值准备 本集团于资产负债表日对除金融资产之外的非流动资产判断是否存在可能发生减值的迹象。对使用寿命不确定的无形资产， </w:t>
      </w:r>
      <w:r>
        <w:rPr>
          <w:spacing w:val="-2"/>
        </w:rPr>
        <w:t>除每年进行的减值测试外，当其存在减值迹象时，也进行减值测试。其他除金融资产之外的非流动资产，当存在迹象表明其</w:t>
      </w:r>
      <w:r>
        <w:rPr>
          <w:spacing w:val="-65"/>
        </w:rPr>
        <w:t> </w:t>
      </w:r>
      <w:r>
        <w:rPr>
          <w:spacing w:val="-65"/>
        </w:rPr>
      </w:r>
      <w:r>
        <w:rPr/>
        <w:t>账面金额不可收回时，进行减值测试。 </w:t>
      </w:r>
      <w:r>
        <w:rPr>
          <w:spacing w:val="-2"/>
        </w:rPr>
        <w:t>当资产或资产组的账面价值高于可收回金额，即公允价值减去处置费用后的净额和预计未来现金流量的现值中的较高者，表</w:t>
      </w:r>
      <w:r>
        <w:rPr>
          <w:spacing w:val="-64"/>
        </w:rPr>
        <w:t> </w:t>
      </w:r>
      <w:r>
        <w:rPr>
          <w:spacing w:val="-64"/>
        </w:rPr>
      </w:r>
      <w:r>
        <w:rPr/>
        <w:t>明发生了减值。</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0"/>
        <w:jc w:val="left"/>
      </w:pPr>
      <w:r>
        <w:rPr>
          <w:spacing w:val="-2"/>
        </w:rPr>
        <w:t>公允价值减去处置费用后的净额，参考公平交易中类似资产的销售协议价格或可观察到的市场价格，减去可直接归属于该资</w:t>
      </w:r>
      <w:r>
        <w:rPr>
          <w:spacing w:val="-64"/>
        </w:rPr>
        <w:t> </w:t>
      </w:r>
      <w:r>
        <w:rPr>
          <w:spacing w:val="-64"/>
        </w:rPr>
      </w:r>
      <w:r>
        <w:rPr/>
        <w:t>产处置的增量成本确定。 </w:t>
      </w:r>
      <w:r>
        <w:rPr>
          <w:spacing w:val="-2"/>
        </w:rPr>
        <w:t>在预计未来现金流量现值时，需要对该资产（或资产组）的产量、售价、相关经营成本以及计算现值时使用的折现率等作出</w:t>
      </w:r>
      <w:r>
        <w:rPr>
          <w:spacing w:val="-66"/>
        </w:rPr>
        <w:t> </w:t>
      </w:r>
      <w:r>
        <w:rPr>
          <w:spacing w:val="-66"/>
        </w:rPr>
      </w:r>
      <w:r>
        <w:rPr>
          <w:spacing w:val="-2"/>
        </w:rPr>
        <w:t>重大判断。本集团在估计可收回金额时会采用所有能够获得的相关资料，包括根据合理和可支持的假设所作出有关产量、售</w:t>
      </w:r>
      <w:r>
        <w:rPr>
          <w:spacing w:val="-63"/>
        </w:rPr>
        <w:t> </w:t>
      </w:r>
      <w:r>
        <w:rPr>
          <w:spacing w:val="-63"/>
        </w:rPr>
      </w:r>
      <w:r>
        <w:rPr/>
        <w:t>价和相关经营成本的预测。 </w:t>
      </w:r>
      <w:r>
        <w:rPr>
          <w:spacing w:val="-2"/>
        </w:rPr>
        <w:t>本集团至少每年测试商誉是否发生减值。这要求对分配了商誉的资产组或者资产组组合的未来现金流量的现值进行预计。对</w:t>
      </w:r>
      <w:r>
        <w:rPr>
          <w:spacing w:val="-64"/>
        </w:rPr>
        <w:t> </w:t>
      </w:r>
      <w:r>
        <w:rPr>
          <w:spacing w:val="-64"/>
        </w:rPr>
      </w:r>
      <w:r>
        <w:rPr>
          <w:spacing w:val="-2"/>
        </w:rPr>
        <w:t>未来现金流量的现值进行预计时，本集团需要预计未来资产组或者资产组组合产生的现金流量，同时选择恰当的折现率确定</w:t>
      </w:r>
      <w:r>
        <w:rPr>
          <w:spacing w:val="-64"/>
        </w:rPr>
        <w:t> </w:t>
      </w:r>
      <w:r>
        <w:rPr>
          <w:spacing w:val="-64"/>
        </w:rPr>
      </w:r>
      <w:r>
        <w:rPr/>
        <w:t>未来现金流量的现值。</w:t>
      </w:r>
    </w:p>
    <w:p>
      <w:pPr>
        <w:pStyle w:val="BodyText"/>
        <w:spacing w:line="316" w:lineRule="auto" w:before="19"/>
        <w:ind w:right="1119"/>
        <w:jc w:val="left"/>
      </w:pPr>
      <w:r>
        <w:rPr>
          <w:rFonts w:ascii="宋体" w:hAnsi="宋体" w:cs="宋体" w:eastAsia="宋体" w:hint="default"/>
        </w:rPr>
        <w:t>7.</w:t>
      </w:r>
      <w:r>
        <w:rPr/>
        <w:t>折旧和摊销 </w:t>
      </w:r>
      <w:r>
        <w:rPr>
          <w:spacing w:val="-2"/>
        </w:rPr>
        <w:t>本集团对投资性房地产、固定资产和无形资产在考虑其残值后，在使用寿命内按直线法计提折旧和摊销。本集团定期复核使</w:t>
      </w:r>
      <w:r>
        <w:rPr>
          <w:spacing w:val="-61"/>
        </w:rPr>
        <w:t> </w:t>
      </w:r>
      <w:r>
        <w:rPr>
          <w:spacing w:val="-61"/>
        </w:rPr>
      </w:r>
      <w:r>
        <w:rPr>
          <w:spacing w:val="-2"/>
        </w:rPr>
        <w:t>用寿命，以决定将计入每个报告期的折旧和摊销费用数额。使用寿命是本集团根据对同类资产的以往经验并结合预期的技术</w:t>
      </w:r>
      <w:r>
        <w:rPr>
          <w:spacing w:val="-64"/>
        </w:rPr>
        <w:t> </w:t>
      </w:r>
      <w:r>
        <w:rPr>
          <w:spacing w:val="-64"/>
        </w:rPr>
      </w:r>
      <w:r>
        <w:rPr/>
        <w:t>更新而确定的。如果以前的估计发生重大变化，则会在未来期间对折旧和摊销费用进行调整。</w:t>
      </w:r>
    </w:p>
    <w:p>
      <w:pPr>
        <w:pStyle w:val="BodyText"/>
        <w:spacing w:line="316" w:lineRule="auto" w:before="19"/>
        <w:ind w:right="1034"/>
        <w:jc w:val="left"/>
      </w:pPr>
      <w:r>
        <w:rPr>
          <w:rFonts w:ascii="宋体" w:hAnsi="宋体" w:cs="宋体" w:eastAsia="宋体" w:hint="default"/>
        </w:rPr>
        <w:t>8.</w:t>
      </w:r>
      <w:r>
        <w:rPr/>
        <w:t>开发支出 确定资本化的金额时，本集团管理层需要作出有关资产的预计未来现金流量、适用的折现率以及预计受益期间的假设。 </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日本集团自行开发的计算机软件著作权无形资产在资产负债表中的余额为人民币</w:t>
      </w:r>
      <w:r>
        <w:rPr>
          <w:rFonts w:ascii="宋体" w:hAnsi="宋体" w:cs="宋体" w:eastAsia="宋体" w:hint="default"/>
          <w:spacing w:val="-2"/>
        </w:rPr>
        <w:t>162,591,046.06</w:t>
      </w:r>
      <w:r>
        <w:rPr>
          <w:spacing w:val="-2"/>
        </w:rPr>
        <w:t>元。本集团管</w:t>
      </w:r>
      <w:r>
        <w:rPr>
          <w:spacing w:val="-52"/>
        </w:rPr>
        <w:t> </w:t>
      </w:r>
      <w:r>
        <w:rPr>
          <w:spacing w:val="-52"/>
        </w:rPr>
      </w:r>
      <w:r>
        <w:rPr>
          <w:spacing w:val="-2"/>
        </w:rPr>
        <w:t>理层认为该业务的前景和目前的发展良好，市场对以该无形资产生产的产品的反应也证实了管理层之前对这一项目预期收入</w:t>
      </w:r>
      <w:r>
        <w:rPr>
          <w:spacing w:val="-63"/>
        </w:rPr>
        <w:t> </w:t>
      </w:r>
      <w:r>
        <w:rPr>
          <w:spacing w:val="-63"/>
        </w:rPr>
      </w:r>
      <w:r>
        <w:rPr/>
        <w:t>的估计。但是日益增加的竞争也使得管理层重新考虑对市场份额和有关产品的预计毛利等方面的假设。经过全面的检视后， </w:t>
      </w:r>
      <w:r>
        <w:rPr>
          <w:spacing w:val="-2"/>
        </w:rPr>
        <w:t>本集团管理层认为即使在产品回报率出现下调的情况下，仍可以全额收回计算机软件著作权无形资产账面价值。本集团将继</w:t>
      </w:r>
      <w:r>
        <w:rPr>
          <w:spacing w:val="-64"/>
        </w:rPr>
        <w:t> </w:t>
      </w:r>
      <w:r>
        <w:rPr>
          <w:spacing w:val="-64"/>
        </w:rPr>
      </w:r>
      <w:r>
        <w:rPr/>
        <w:t>续密切检视有关情况，一旦有迹象表明需要调整相关会计估计的假设，本集团将在有关迹象发生的期间作出调整。 </w:t>
      </w:r>
      <w:r>
        <w:rPr>
          <w:rFonts w:ascii="宋体" w:hAnsi="宋体" w:cs="宋体" w:eastAsia="宋体" w:hint="default"/>
        </w:rPr>
        <w:t>9.</w:t>
      </w:r>
      <w:r>
        <w:rPr/>
        <w:t>递延所得税资产 </w:t>
      </w:r>
      <w:r>
        <w:rPr>
          <w:spacing w:val="-2"/>
        </w:rPr>
        <w:t>在很有可能有足够的应纳税利润来抵扣亏损的限度内，本集团就所有未利用的税务亏损确认递延所得税资产。这需要本集团</w:t>
      </w:r>
      <w:r>
        <w:rPr>
          <w:spacing w:val="-64"/>
        </w:rPr>
        <w:t> </w:t>
      </w:r>
      <w:r>
        <w:rPr>
          <w:spacing w:val="-64"/>
        </w:rPr>
      </w:r>
      <w:r>
        <w:rPr>
          <w:spacing w:val="-2"/>
        </w:rPr>
        <w:t>管理层运用大量的判断来估计未来应纳税利润发生的时间和金额，结合纳税筹划策略，以决定应确认的递延所得税资产的金</w:t>
      </w:r>
      <w:r>
        <w:rPr>
          <w:spacing w:val="-64"/>
        </w:rPr>
        <w:t> </w:t>
      </w:r>
      <w:r>
        <w:rPr>
          <w:spacing w:val="-64"/>
        </w:rPr>
      </w:r>
      <w:r>
        <w:rPr/>
        <w:t>额。</w:t>
      </w:r>
    </w:p>
    <w:p>
      <w:pPr>
        <w:pStyle w:val="BodyText"/>
        <w:spacing w:line="319" w:lineRule="auto" w:before="19"/>
        <w:ind w:right="1119"/>
        <w:jc w:val="left"/>
      </w:pPr>
      <w:r>
        <w:rPr>
          <w:rFonts w:ascii="宋体" w:hAnsi="宋体" w:cs="宋体" w:eastAsia="宋体" w:hint="default"/>
        </w:rPr>
        <w:t>10.</w:t>
      </w:r>
      <w:r>
        <w:rPr/>
        <w:t>所得税</w:t>
      </w:r>
      <w:r>
        <w:rPr>
          <w:spacing w:val="-87"/>
        </w:rPr>
        <w:t> </w:t>
      </w:r>
      <w:r>
        <w:rPr>
          <w:spacing w:val="-2"/>
        </w:rPr>
        <w:t>本集团在正常的经营活动中，有部分交易其最终的税务处理和计算存在一定的不确定性。部分项目是否能够在税前列支需要</w:t>
      </w:r>
      <w:r>
        <w:rPr>
          <w:spacing w:val="-64"/>
        </w:rPr>
        <w:t> </w:t>
      </w:r>
      <w:r>
        <w:rPr>
          <w:spacing w:val="-64"/>
        </w:rPr>
      </w:r>
      <w:r>
        <w:rPr>
          <w:spacing w:val="-2"/>
        </w:rPr>
        <w:t>税收主管机关的审批。如果这些税务事项的最终认定结果同最初估计的金额存在差异，则该差异将对其最终认定期间的当期</w:t>
      </w:r>
      <w:r>
        <w:rPr>
          <w:spacing w:val="-64"/>
        </w:rPr>
        <w:t> </w:t>
      </w:r>
      <w:r>
        <w:rPr>
          <w:spacing w:val="-64"/>
        </w:rPr>
      </w:r>
      <w:r>
        <w:rPr/>
        <w:t>所得税和递延所得税产生影响。</w:t>
      </w:r>
    </w:p>
    <w:p>
      <w:pPr>
        <w:pStyle w:val="BodyText"/>
        <w:spacing w:line="316" w:lineRule="auto" w:before="17"/>
        <w:ind w:right="1034"/>
        <w:jc w:val="left"/>
      </w:pPr>
      <w:r>
        <w:rPr>
          <w:rFonts w:ascii="宋体" w:hAnsi="宋体" w:cs="宋体" w:eastAsia="宋体" w:hint="default"/>
        </w:rPr>
        <w:t>11.</w:t>
      </w:r>
      <w:r>
        <w:rPr/>
        <w:t>预计负债</w:t>
      </w:r>
      <w:r>
        <w:rPr>
          <w:spacing w:val="-87"/>
        </w:rPr>
        <w:t> </w:t>
      </w:r>
      <w:r>
        <w:rPr>
          <w:spacing w:val="-2"/>
        </w:rPr>
        <w:t>本集团根据合约条款、现有知识及历史经验，对产品质量保证、预计合同亏损、延迟交货违约金等估计并计提相应准备。在</w:t>
      </w:r>
      <w:r>
        <w:rPr>
          <w:spacing w:val="-67"/>
        </w:rPr>
        <w:t> </w:t>
      </w:r>
      <w:r>
        <w:rPr>
          <w:spacing w:val="-67"/>
        </w:rPr>
      </w:r>
      <w:r>
        <w:rPr>
          <w:spacing w:val="-2"/>
        </w:rPr>
        <w:t>该等或有事项已经形成一项现时义务，且履行该等现时义务很可能导致经济利益流出本集团的情况下，本集团对或有事项按</w:t>
      </w:r>
      <w:r>
        <w:rPr>
          <w:spacing w:val="-63"/>
        </w:rPr>
        <w:t> </w:t>
      </w:r>
      <w:r>
        <w:rPr>
          <w:spacing w:val="-63"/>
        </w:rPr>
      </w:r>
      <w:r>
        <w:rPr>
          <w:spacing w:val="-2"/>
        </w:rPr>
        <w:t>履行相关现时义务所需支出的最佳估计数确认为预计负债。预计负债的确认和计量在很大程度上依赖于管理层的判断。在进</w:t>
      </w:r>
      <w:r>
        <w:rPr>
          <w:spacing w:val="-64"/>
        </w:rPr>
        <w:t> </w:t>
      </w:r>
      <w:r>
        <w:rPr>
          <w:spacing w:val="-64"/>
        </w:rPr>
      </w:r>
      <w:r>
        <w:rPr/>
        <w:t>行判断过程中本集团需评估该等或有事项相关的风险、不确定性及货币时间价值等因素。 </w:t>
      </w:r>
      <w:r>
        <w:rPr>
          <w:spacing w:val="-2"/>
        </w:rPr>
        <w:t>其中，本集团会就出售、维修及改造所售商品向客户提供的售后质量维修承诺预计负债。预计负债时已考虑本集团近期的维</w:t>
      </w:r>
      <w:r>
        <w:rPr>
          <w:spacing w:val="-66"/>
        </w:rPr>
        <w:t> </w:t>
      </w:r>
      <w:r>
        <w:rPr>
          <w:spacing w:val="-66"/>
        </w:rPr>
      </w:r>
      <w:r>
        <w:rPr/>
        <w:t>修经验数据，但近期的维修经验可能无法反映将来的维修情况。这项准备的任何增加或减少，均可能影响未来年度的损益。 </w:t>
      </w:r>
      <w:r>
        <w:rPr>
          <w:rFonts w:ascii="宋体" w:hAnsi="宋体" w:cs="宋体" w:eastAsia="宋体" w:hint="default"/>
        </w:rPr>
        <w:t>12.</w:t>
      </w:r>
      <w:r>
        <w:rPr/>
        <w:t>公允价值计量</w:t>
      </w:r>
      <w:r>
        <w:rPr>
          <w:spacing w:val="-87"/>
        </w:rPr>
        <w:t> </w:t>
      </w:r>
      <w:r>
        <w:rPr>
          <w:spacing w:val="-2"/>
        </w:rPr>
        <w:t>本集团的某些资产和负债在财务报表中按公允价值计量。本集团的董事会已成立估价委员会（该估价委员会由本集团的首席</w:t>
      </w:r>
      <w:r>
        <w:rPr>
          <w:spacing w:val="-64"/>
        </w:rPr>
        <w:t> </w:t>
      </w:r>
      <w:r>
        <w:rPr>
          <w:spacing w:val="-64"/>
        </w:rPr>
      </w:r>
      <w:r>
        <w:rPr>
          <w:spacing w:val="-2"/>
        </w:rPr>
        <w:t>财务官领导），以便为公允价值计量确定适当的估值技术和输入值。在对某项资产或负债的公允价值作出估计时，本集团采</w:t>
      </w:r>
      <w:r>
        <w:rPr>
          <w:spacing w:val="-64"/>
        </w:rPr>
        <w:t> </w:t>
      </w:r>
      <w:r>
        <w:rPr>
          <w:spacing w:val="-64"/>
        </w:rPr>
      </w:r>
      <w:r>
        <w:rPr>
          <w:spacing w:val="-2"/>
        </w:rPr>
        <w:t>用可获得的可观察市场数据。如果无法获得第一层次输入值，本集团会聘用第三方有资质的评估师来执行估价。估价委员会</w:t>
      </w:r>
      <w:r>
        <w:rPr>
          <w:spacing w:val="-63"/>
        </w:rPr>
        <w:t> </w:t>
      </w:r>
      <w:r>
        <w:rPr>
          <w:spacing w:val="-63"/>
        </w:rPr>
      </w:r>
      <w:r>
        <w:rPr>
          <w:spacing w:val="-2"/>
        </w:rPr>
        <w:t>与有资质的外部估价师紧密合作，以确定适当的估值技术和相关模型的输入值。首席财务官每季度向本集团董事会呈报估价</w:t>
      </w:r>
      <w:r>
        <w:rPr>
          <w:spacing w:val="-64"/>
        </w:rPr>
        <w:t> </w:t>
      </w:r>
      <w:r>
        <w:rPr>
          <w:spacing w:val="-64"/>
        </w:rPr>
      </w:r>
      <w:r>
        <w:rPr>
          <w:spacing w:val="-2"/>
        </w:rPr>
        <w:t>委员会的发现，以说明导致相关资产和负债的公允价值发生波动的原因。在确定各类资产和负债的公允价值的过程中所采用</w:t>
      </w:r>
      <w:r>
        <w:rPr>
          <w:spacing w:val="-62"/>
        </w:rPr>
        <w:t> </w:t>
      </w:r>
      <w:r>
        <w:rPr>
          <w:spacing w:val="-62"/>
        </w:rPr>
      </w:r>
      <w:r>
        <w:rPr/>
        <w:t>的估值技术和输入值的相关信息在附注十中披露。</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44、重要会计政策和会计估计变更" w:id="220"/>
      <w:bookmarkEnd w:id="220"/>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重要会计政策变更" w:id="221"/>
      <w:bookmarkEnd w:id="22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329"/>
        <w:gridCol w:w="3049"/>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7"/>
              <w:jc w:val="left"/>
              <w:rPr>
                <w:rFonts w:ascii="宋体" w:hAnsi="宋体" w:cs="宋体" w:eastAsia="宋体" w:hint="default"/>
                <w:sz w:val="18"/>
                <w:szCs w:val="18"/>
              </w:rPr>
            </w:pPr>
            <w:r>
              <w:rPr>
                <w:rFonts w:ascii="宋体" w:hAnsi="宋体" w:cs="宋体" w:eastAsia="宋体" w:hint="default"/>
                <w:sz w:val="18"/>
                <w:szCs w:val="18"/>
              </w:rPr>
              <w:t>执行新金融工具准则导致的会计政策变 更</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第四届董事会第二十五次会议于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日决议通过</w:t>
            </w:r>
          </w:p>
        </w:tc>
        <w:tc>
          <w:tcPr>
            <w:tcW w:w="304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8"/>
        <w:ind w:right="0"/>
        <w:jc w:val="left"/>
      </w:pPr>
      <w:r>
        <w:rPr/>
        <w:t>执行新金融工具准则导致的会计政策变更 </w:t>
      </w:r>
      <w:r>
        <w:rPr>
          <w:spacing w:val="-3"/>
        </w:rPr>
        <w:t>财政部于</w:t>
      </w:r>
      <w:r>
        <w:rPr>
          <w:rFonts w:ascii="宋体" w:hAnsi="宋体" w:cs="宋体" w:eastAsia="宋体" w:hint="default"/>
          <w:spacing w:val="-3"/>
        </w:rPr>
        <w:t>2017</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31</w:t>
      </w:r>
      <w:r>
        <w:rPr>
          <w:spacing w:val="-3"/>
        </w:rPr>
        <w:t>日分别发布了《企业会计准则第</w:t>
      </w:r>
      <w:r>
        <w:rPr>
          <w:rFonts w:ascii="宋体" w:hAnsi="宋体" w:cs="宋体" w:eastAsia="宋体" w:hint="default"/>
          <w:spacing w:val="-3"/>
        </w:rPr>
        <w:t>22</w:t>
      </w:r>
      <w:r>
        <w:rPr>
          <w:spacing w:val="-3"/>
        </w:rPr>
        <w:t>号——金融工具确认和计量（</w:t>
      </w:r>
      <w:r>
        <w:rPr>
          <w:rFonts w:ascii="宋体" w:hAnsi="宋体" w:cs="宋体" w:eastAsia="宋体" w:hint="default"/>
          <w:spacing w:val="-3"/>
        </w:rPr>
        <w:t>2017</w:t>
      </w:r>
      <w:r>
        <w:rPr>
          <w:spacing w:val="-3"/>
        </w:rPr>
        <w:t>年修订）》（财会〔</w:t>
      </w:r>
      <w:r>
        <w:rPr>
          <w:rFonts w:ascii="宋体" w:hAnsi="宋体" w:cs="宋体" w:eastAsia="宋体" w:hint="default"/>
          <w:spacing w:val="-3"/>
        </w:rPr>
        <w:t>2017</w:t>
      </w:r>
      <w:r>
        <w:rPr>
          <w:spacing w:val="-3"/>
        </w:rPr>
        <w:t>〕</w:t>
      </w:r>
      <w:r>
        <w:rPr>
          <w:rFonts w:ascii="宋体" w:hAnsi="宋体" w:cs="宋体" w:eastAsia="宋体" w:hint="default"/>
          <w:spacing w:val="-3"/>
        </w:rPr>
        <w:t>7</w:t>
      </w:r>
      <w:r>
        <w:rPr>
          <w:spacing w:val="-3"/>
        </w:rPr>
        <w:t>号）、</w:t>
      </w:r>
    </w:p>
    <w:p>
      <w:pPr>
        <w:pStyle w:val="BodyText"/>
        <w:spacing w:line="316" w:lineRule="auto" w:before="19"/>
        <w:ind w:right="0"/>
        <w:jc w:val="left"/>
      </w:pPr>
      <w:r>
        <w:rPr>
          <w:spacing w:val="-6"/>
        </w:rPr>
        <w:t>《企业会计准则第</w:t>
      </w:r>
      <w:r>
        <w:rPr>
          <w:rFonts w:ascii="宋体" w:hAnsi="宋体" w:cs="宋体" w:eastAsia="宋体" w:hint="default"/>
          <w:spacing w:val="-6"/>
        </w:rPr>
        <w:t>23</w:t>
      </w:r>
      <w:r>
        <w:rPr>
          <w:spacing w:val="-6"/>
        </w:rPr>
        <w:t>号——金融资产转移（</w:t>
      </w:r>
      <w:r>
        <w:rPr>
          <w:rFonts w:ascii="宋体" w:hAnsi="宋体" w:cs="宋体" w:eastAsia="宋体" w:hint="default"/>
          <w:spacing w:val="-6"/>
        </w:rPr>
        <w:t>2017</w:t>
      </w:r>
      <w:r>
        <w:rPr>
          <w:spacing w:val="-6"/>
        </w:rPr>
        <w:t>年修订）》（财会〔</w:t>
      </w:r>
      <w:r>
        <w:rPr>
          <w:rFonts w:ascii="宋体" w:hAnsi="宋体" w:cs="宋体" w:eastAsia="宋体" w:hint="default"/>
          <w:spacing w:val="-6"/>
        </w:rPr>
        <w:t>2017</w:t>
      </w:r>
      <w:r>
        <w:rPr>
          <w:spacing w:val="-6"/>
        </w:rPr>
        <w:t>〕</w:t>
      </w:r>
      <w:r>
        <w:rPr>
          <w:rFonts w:ascii="宋体" w:hAnsi="宋体" w:cs="宋体" w:eastAsia="宋体" w:hint="default"/>
          <w:spacing w:val="-6"/>
        </w:rPr>
        <w:t>8</w:t>
      </w:r>
      <w:r>
        <w:rPr>
          <w:spacing w:val="-6"/>
        </w:rPr>
        <w:t>号）、《企业会计准则第</w:t>
      </w:r>
      <w:r>
        <w:rPr>
          <w:rFonts w:ascii="宋体" w:hAnsi="宋体" w:cs="宋体" w:eastAsia="宋体" w:hint="default"/>
          <w:spacing w:val="-6"/>
        </w:rPr>
        <w:t>24</w:t>
      </w:r>
      <w:r>
        <w:rPr>
          <w:spacing w:val="-6"/>
        </w:rPr>
        <w:t>号——套期会计（</w:t>
      </w:r>
      <w:r>
        <w:rPr>
          <w:rFonts w:ascii="宋体" w:hAnsi="宋体" w:cs="宋体" w:eastAsia="宋体" w:hint="default"/>
          <w:spacing w:val="-6"/>
        </w:rPr>
        <w:t>2017</w:t>
      </w:r>
      <w:r>
        <w:rPr>
          <w:rFonts w:ascii="宋体" w:hAnsi="宋体" w:cs="宋体" w:eastAsia="宋体" w:hint="default"/>
          <w:spacing w:val="-65"/>
        </w:rPr>
        <w:t> </w:t>
      </w:r>
      <w:r>
        <w:rPr>
          <w:rFonts w:ascii="宋体" w:hAnsi="宋体" w:cs="宋体" w:eastAsia="宋体" w:hint="default"/>
          <w:spacing w:val="-65"/>
        </w:rPr>
      </w:r>
      <w:r>
        <w:rPr/>
        <w:t>年修订）》（财会〔</w:t>
      </w:r>
      <w:r>
        <w:rPr>
          <w:rFonts w:ascii="宋体" w:hAnsi="宋体" w:cs="宋体" w:eastAsia="宋体" w:hint="default"/>
        </w:rPr>
        <w:t>2017</w:t>
      </w:r>
      <w:r>
        <w:rPr/>
        <w:t>〕</w:t>
      </w:r>
      <w:r>
        <w:rPr>
          <w:rFonts w:ascii="宋体" w:hAnsi="宋体" w:cs="宋体" w:eastAsia="宋体" w:hint="default"/>
        </w:rPr>
        <w:t>9</w:t>
      </w:r>
      <w:r>
        <w:rPr/>
        <w:t>号），于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w:t>
      </w:r>
      <w:r>
        <w:rPr/>
        <w:t>日发布了《企业会计准则第</w:t>
      </w:r>
      <w:r>
        <w:rPr>
          <w:rFonts w:ascii="宋体" w:hAnsi="宋体" w:cs="宋体" w:eastAsia="宋体" w:hint="default"/>
        </w:rPr>
        <w:t>37</w:t>
      </w:r>
      <w:r>
        <w:rPr/>
        <w:t>号——金融工具列报（</w:t>
      </w:r>
      <w:r>
        <w:rPr>
          <w:rFonts w:ascii="宋体" w:hAnsi="宋体" w:cs="宋体" w:eastAsia="宋体" w:hint="default"/>
        </w:rPr>
        <w:t>2017</w:t>
      </w:r>
      <w:r>
        <w:rPr/>
        <w:t>年修订）》（财 会〔</w:t>
      </w:r>
      <w:r>
        <w:rPr>
          <w:rFonts w:ascii="宋体" w:hAnsi="宋体" w:cs="宋体" w:eastAsia="宋体" w:hint="default"/>
        </w:rPr>
        <w:t>2017</w:t>
      </w:r>
      <w:r>
        <w:rPr/>
        <w:t>〕</w:t>
      </w:r>
      <w:r>
        <w:rPr>
          <w:rFonts w:ascii="宋体" w:hAnsi="宋体" w:cs="宋体" w:eastAsia="宋体" w:hint="default"/>
        </w:rPr>
        <w:t>14</w:t>
      </w:r>
      <w:r>
        <w:rPr/>
        <w:t>号）（上述准则统称“新金融工具准则”），要求境内上市企业自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日起执行新金融工具准则。 </w:t>
      </w:r>
      <w:r>
        <w:rPr>
          <w:spacing w:val="-2"/>
        </w:rPr>
        <w:t>经本公司第四届董事会第二十五次会议于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17</w:t>
      </w:r>
      <w:r>
        <w:rPr>
          <w:spacing w:val="-2"/>
        </w:rPr>
        <w:t>日决议通过，本集团于</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日起开始执行前述新金融工具准则。</w:t>
      </w:r>
      <w:r>
        <w:rPr>
          <w:spacing w:val="-54"/>
        </w:rPr>
        <w:t> </w:t>
      </w:r>
      <w:r>
        <w:rPr>
          <w:spacing w:val="-54"/>
        </w:rPr>
      </w:r>
      <w:r>
        <w:rPr>
          <w:spacing w:val="-2"/>
        </w:rPr>
        <w:t>在新金融工具准则下所有已确认金融资产，其后续均按摊余成本或公允价值计量。在新金融工具准则施行日，以本集团该日</w:t>
      </w:r>
      <w:r>
        <w:rPr>
          <w:spacing w:val="-62"/>
        </w:rPr>
        <w:t> </w:t>
      </w:r>
      <w:r>
        <w:rPr>
          <w:spacing w:val="-62"/>
        </w:rPr>
      </w:r>
      <w:r>
        <w:rPr>
          <w:spacing w:val="-2"/>
        </w:rPr>
        <w:t>既有事实和情况为基础评估管理金融资产的业务模式、以金融资产初始确认时的事实和情况为基础评估该金融资产上的合同</w:t>
      </w:r>
      <w:r>
        <w:rPr>
          <w:spacing w:val="-64"/>
        </w:rPr>
        <w:t> </w:t>
      </w:r>
      <w:r>
        <w:rPr>
          <w:spacing w:val="-64"/>
        </w:rPr>
      </w:r>
      <w:r>
        <w:rPr>
          <w:spacing w:val="-2"/>
        </w:rPr>
        <w:t>现金流量特征，将金融资产分为三类：按摊余成本计量、按公允价值计量且其变动计入其他综合收益及按公允价值计量且其</w:t>
      </w:r>
      <w:r>
        <w:rPr>
          <w:spacing w:val="-66"/>
        </w:rPr>
        <w:t> </w:t>
      </w:r>
      <w:r>
        <w:rPr>
          <w:spacing w:val="-66"/>
        </w:rPr>
      </w:r>
      <w:r>
        <w:rPr>
          <w:spacing w:val="-2"/>
        </w:rPr>
        <w:t>变动计入当期损益。其中，对于按公允价值计量且其变动计入其他综合收益的权益工具投资，当该金融资产终止确认时，之</w:t>
      </w:r>
      <w:r>
        <w:rPr>
          <w:spacing w:val="-66"/>
        </w:rPr>
        <w:t> </w:t>
      </w:r>
      <w:r>
        <w:rPr>
          <w:spacing w:val="-66"/>
        </w:rPr>
      </w:r>
      <w:r>
        <w:rPr/>
        <w:t>前计入其他综合收益的累计利得或损失将从其他综合收益转入留存收益，不计入当期损益。 </w:t>
      </w:r>
      <w:r>
        <w:rPr>
          <w:spacing w:val="-2"/>
        </w:rPr>
        <w:t>在新金融工具准则下，本集团以预期信用损失为基础，对以摊余成本计量的金融资产、以公允价值计量且其变动计入其他综</w:t>
      </w:r>
      <w:r>
        <w:rPr>
          <w:spacing w:val="-62"/>
        </w:rPr>
        <w:t> </w:t>
      </w:r>
      <w:r>
        <w:rPr>
          <w:spacing w:val="-62"/>
        </w:rPr>
      </w:r>
      <w:r>
        <w:rPr/>
        <w:t>合收益的债务工具投资、租赁应收款、合同资产及财务担保合同计提减值准备并确认信用减值损失。 </w:t>
      </w:r>
      <w:r>
        <w:rPr>
          <w:spacing w:val="-2"/>
        </w:rPr>
        <w:t>本集团追溯应用新金融工具准则，但对于分类和计量（含减值）涉及前期比较财务报表数据与新金融工具准则不一致的，本</w:t>
      </w:r>
      <w:r>
        <w:rPr>
          <w:spacing w:val="-66"/>
        </w:rPr>
        <w:t> </w:t>
      </w:r>
      <w:r>
        <w:rPr>
          <w:spacing w:val="-66"/>
        </w:rPr>
      </w:r>
      <w:r>
        <w:rPr>
          <w:spacing w:val="-2"/>
        </w:rPr>
        <w:t>集团选择不进行重述。因此，对于首次执行该准则的累积影响数，本集团调整</w:t>
      </w:r>
      <w:r>
        <w:rPr>
          <w:rFonts w:ascii="宋体" w:hAnsi="宋体" w:cs="宋体" w:eastAsia="宋体" w:hint="default"/>
          <w:spacing w:val="-2"/>
        </w:rPr>
        <w:t>2019</w:t>
      </w:r>
      <w:r>
        <w:rPr>
          <w:spacing w:val="-2"/>
        </w:rPr>
        <w:t>年年初留存收益或其他综合收益以及财务</w:t>
      </w:r>
      <w:r>
        <w:rPr>
          <w:spacing w:val="-62"/>
        </w:rPr>
        <w:t> </w:t>
      </w:r>
      <w:r>
        <w:rPr>
          <w:spacing w:val="-62"/>
        </w:rPr>
      </w:r>
      <w:r>
        <w:rPr/>
        <w:t>报表其他相关项目金额，</w:t>
      </w:r>
      <w:r>
        <w:rPr>
          <w:rFonts w:ascii="宋体" w:hAnsi="宋体" w:cs="宋体" w:eastAsia="宋体" w:hint="default"/>
        </w:rPr>
        <w:t>2018</w:t>
      </w:r>
      <w:r>
        <w:rPr/>
        <w:t>年度的财务报表未予重述。</w:t>
      </w:r>
    </w:p>
    <w:p>
      <w:pPr>
        <w:pStyle w:val="BodyText"/>
        <w:spacing w:line="240" w:lineRule="auto" w:before="19"/>
        <w:ind w:right="1133"/>
        <w:jc w:val="left"/>
      </w:pPr>
      <w:r>
        <w:rPr/>
        <w:t>执行新金融工具准则对本集团的主要变化和影响如下：</w:t>
      </w:r>
    </w:p>
    <w:p>
      <w:pPr>
        <w:pStyle w:val="BodyText"/>
        <w:spacing w:line="316" w:lineRule="auto" w:before="76"/>
        <w:ind w:right="1133"/>
        <w:jc w:val="left"/>
      </w:pPr>
      <w:r>
        <w:rPr/>
        <w:t>——本集团于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日及以后将持有的部分非交易性股权投资指定为以公允价值计量且其变动计入其他综合收益的金</w:t>
      </w:r>
      <w:r>
        <w:rPr>
          <w:spacing w:val="-8"/>
        </w:rPr>
        <w:t> </w:t>
      </w:r>
      <w:r>
        <w:rPr>
          <w:spacing w:val="-8"/>
        </w:rPr>
      </w:r>
      <w:r>
        <w:rPr/>
        <w:t>融资产，列报为其他权益工具投资。</w:t>
      </w:r>
    </w:p>
    <w:p>
      <w:pPr>
        <w:pStyle w:val="BodyText"/>
        <w:spacing w:line="316" w:lineRule="auto" w:before="19"/>
        <w:ind w:right="1130"/>
        <w:jc w:val="both"/>
      </w:pPr>
      <w:r>
        <w:rPr>
          <w:spacing w:val="-2"/>
        </w:rPr>
        <w:t>——本集团在日常资金管理中将部分银行承兑汇票背书或贴现，既以收取合同现金流量又以出售金融资产为目标，因此，本</w:t>
      </w:r>
      <w:r>
        <w:rPr>
          <w:spacing w:val="-63"/>
        </w:rPr>
        <w:t> </w:t>
      </w:r>
      <w:r>
        <w:rPr>
          <w:spacing w:val="-63"/>
        </w:rPr>
      </w:r>
      <w:r>
        <w:rPr>
          <w:spacing w:val="-2"/>
        </w:rPr>
        <w:t>集团在</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日及以后将该等应收票据重分类为以公允价值计量且其变动计入其他综合收益金融资产类别，列报为应收</w:t>
      </w:r>
      <w:r>
        <w:rPr>
          <w:spacing w:val="-61"/>
        </w:rPr>
        <w:t> </w:t>
      </w:r>
      <w:r>
        <w:rPr>
          <w:spacing w:val="-61"/>
        </w:rPr>
      </w:r>
      <w:r>
        <w:rPr/>
        <w:t>款项融资。</w:t>
      </w:r>
    </w:p>
    <w:p>
      <w:pPr>
        <w:pStyle w:val="BodyText"/>
        <w:spacing w:line="316" w:lineRule="auto" w:before="19"/>
        <w:ind w:right="7064"/>
        <w:jc w:val="left"/>
      </w:pPr>
      <w:r>
        <w:rPr>
          <w:rFonts w:ascii="宋体" w:hAnsi="宋体" w:cs="宋体" w:eastAsia="宋体" w:hint="default"/>
        </w:rPr>
        <w:t>A</w:t>
      </w:r>
      <w:r>
        <w:rPr/>
        <w:t>、首次执行日前后金融资产分类和计量对比表 </w:t>
      </w:r>
      <w:r>
        <w:rPr>
          <w:rFonts w:ascii="宋体" w:hAnsi="宋体" w:cs="宋体" w:eastAsia="宋体" w:hint="default"/>
        </w:rPr>
        <w:t>a</w:t>
      </w:r>
      <w:r>
        <w:rPr/>
        <w:t>、对合并财务报表的影响</w:t>
      </w:r>
    </w:p>
    <w:tbl>
      <w:tblPr>
        <w:tblW w:w="0" w:type="auto"/>
        <w:jc w:val="left"/>
        <w:tblInd w:w="148" w:type="dxa"/>
        <w:tblLayout w:type="fixed"/>
        <w:tblCellMar>
          <w:top w:w="0" w:type="dxa"/>
          <w:left w:w="0" w:type="dxa"/>
          <w:bottom w:w="0" w:type="dxa"/>
          <w:right w:w="0" w:type="dxa"/>
        </w:tblCellMar>
        <w:tblLook w:val="01E0"/>
      </w:tblPr>
      <w:tblGrid>
        <w:gridCol w:w="994"/>
        <w:gridCol w:w="1813"/>
        <w:gridCol w:w="1447"/>
        <w:gridCol w:w="1560"/>
        <w:gridCol w:w="1843"/>
        <w:gridCol w:w="1525"/>
      </w:tblGrid>
      <w:tr>
        <w:trPr>
          <w:trHeight w:val="341" w:hRule="exact"/>
        </w:trPr>
        <w:tc>
          <w:tcPr>
            <w:tcW w:w="4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日（变更前）</w:t>
            </w:r>
          </w:p>
        </w:tc>
        <w:tc>
          <w:tcPr>
            <w:tcW w:w="4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47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日（变更后）</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0"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56"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9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679,042,807.14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宋体" w:hAnsi="宋体" w:cs="宋体" w:eastAsia="宋体" w:hint="default"/>
                <w:sz w:val="18"/>
                <w:szCs w:val="18"/>
              </w:rPr>
            </w:pPr>
            <w:r>
              <w:rPr>
                <w:rFonts w:ascii="宋体"/>
                <w:spacing w:val="-1"/>
                <w:sz w:val="18"/>
              </w:rPr>
              <w:t>679,042,807.14</w:t>
            </w:r>
          </w:p>
        </w:tc>
      </w:tr>
      <w:tr>
        <w:trPr>
          <w:trHeight w:val="343"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13"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20"/>
              <w:ind w:left="263" w:right="0"/>
              <w:jc w:val="left"/>
              <w:rPr>
                <w:rFonts w:ascii="宋体" w:hAnsi="宋体" w:cs="宋体" w:eastAsia="宋体" w:hint="default"/>
                <w:sz w:val="18"/>
                <w:szCs w:val="18"/>
              </w:rPr>
            </w:pPr>
            <w:r>
              <w:rPr>
                <w:rFonts w:ascii="宋体"/>
                <w:sz w:val="18"/>
              </w:rPr>
              <w:t>11,244,658.81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884,658.81</w:t>
            </w:r>
          </w:p>
        </w:tc>
      </w:tr>
      <w:tr>
        <w:trPr>
          <w:trHeight w:val="653" w:hRule="exact"/>
        </w:trPr>
        <w:tc>
          <w:tcPr>
            <w:tcW w:w="994" w:type="dxa"/>
            <w:vMerge/>
            <w:tcBorders>
              <w:left w:val="single" w:sz="4" w:space="0" w:color="000000"/>
              <w:bottom w:val="single" w:sz="4" w:space="0" w:color="000000"/>
              <w:right w:val="single" w:sz="4" w:space="0" w:color="000000"/>
            </w:tcBorders>
          </w:tcPr>
          <w:p>
            <w:pPr/>
          </w:p>
        </w:tc>
        <w:tc>
          <w:tcPr>
            <w:tcW w:w="1813" w:type="dxa"/>
            <w:vMerge/>
            <w:tcBorders>
              <w:left w:val="single" w:sz="4" w:space="0" w:color="000000"/>
              <w:bottom w:val="single" w:sz="4" w:space="0" w:color="000000"/>
              <w:right w:val="single" w:sz="4" w:space="0" w:color="000000"/>
            </w:tcBorders>
          </w:tcPr>
          <w:p>
            <w:pPr/>
          </w:p>
        </w:tc>
        <w:tc>
          <w:tcPr>
            <w:tcW w:w="1447"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1"/>
                <w:sz w:val="18"/>
                <w:szCs w:val="18"/>
              </w:rPr>
              <w:t> </w:t>
            </w:r>
            <w:r>
              <w:rPr>
                <w:rFonts w:ascii="宋体" w:hAnsi="宋体" w:cs="宋体" w:eastAsia="宋体" w:hint="default"/>
                <w:sz w:val="18"/>
                <w:szCs w:val="18"/>
              </w:rPr>
              <w:t>动计入其他综合收益</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10,360,000.00</w:t>
            </w:r>
          </w:p>
        </w:tc>
      </w:tr>
      <w:tr>
        <w:trPr>
          <w:trHeight w:val="343"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13"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1,323,138,742.0</w:t>
            </w:r>
          </w:p>
          <w:p>
            <w:pPr>
              <w:pStyle w:val="TableParagraph"/>
              <w:spacing w:line="240" w:lineRule="auto" w:before="76"/>
              <w:ind w:right="1"/>
              <w:jc w:val="right"/>
              <w:rPr>
                <w:rFonts w:ascii="宋体" w:hAnsi="宋体" w:cs="宋体" w:eastAsia="宋体" w:hint="default"/>
                <w:sz w:val="18"/>
                <w:szCs w:val="18"/>
              </w:rPr>
            </w:pPr>
            <w:r>
              <w:rPr>
                <w:rFonts w:ascii="宋体"/>
                <w:sz w:val="18"/>
              </w:rPr>
              <w:t>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1,323,138,742.09</w:t>
            </w:r>
          </w:p>
        </w:tc>
      </w:tr>
      <w:tr>
        <w:trPr>
          <w:trHeight w:val="653" w:hRule="exact"/>
        </w:trPr>
        <w:tc>
          <w:tcPr>
            <w:tcW w:w="994" w:type="dxa"/>
            <w:vMerge/>
            <w:tcBorders>
              <w:left w:val="single" w:sz="4" w:space="0" w:color="000000"/>
              <w:bottom w:val="single" w:sz="4" w:space="0" w:color="000000"/>
              <w:right w:val="single" w:sz="4" w:space="0" w:color="000000"/>
            </w:tcBorders>
          </w:tcPr>
          <w:p>
            <w:pPr/>
          </w:p>
        </w:tc>
        <w:tc>
          <w:tcPr>
            <w:tcW w:w="1813" w:type="dxa"/>
            <w:vMerge/>
            <w:tcBorders>
              <w:left w:val="single" w:sz="4" w:space="0" w:color="000000"/>
              <w:bottom w:val="single" w:sz="4" w:space="0" w:color="000000"/>
              <w:right w:val="single" w:sz="4" w:space="0" w:color="000000"/>
            </w:tcBorders>
          </w:tcPr>
          <w:p>
            <w:pPr/>
          </w:p>
        </w:tc>
        <w:tc>
          <w:tcPr>
            <w:tcW w:w="1447"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1"/>
                <w:sz w:val="18"/>
                <w:szCs w:val="18"/>
              </w:rPr>
              <w:t> </w:t>
            </w:r>
            <w:r>
              <w:rPr>
                <w:rFonts w:ascii="宋体" w:hAnsi="宋体" w:cs="宋体" w:eastAsia="宋体" w:hint="default"/>
                <w:sz w:val="18"/>
                <w:szCs w:val="18"/>
              </w:rPr>
              <w:t>动计入其他综合收益</w:t>
            </w: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261,318,822.39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261,318,822.39</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pacing w:val="14"/>
                <w:sz w:val="18"/>
                <w:szCs w:val="18"/>
              </w:rPr>
              <w:t>可供出售金</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17"/>
              <w:jc w:val="left"/>
              <w:rPr>
                <w:rFonts w:ascii="宋体" w:hAnsi="宋体" w:cs="宋体" w:eastAsia="宋体" w:hint="default"/>
                <w:sz w:val="18"/>
                <w:szCs w:val="18"/>
              </w:rPr>
            </w:pPr>
            <w:r>
              <w:rPr>
                <w:rFonts w:ascii="宋体" w:hAnsi="宋体" w:cs="宋体" w:eastAsia="宋体" w:hint="default"/>
                <w:spacing w:val="18"/>
                <w:sz w:val="18"/>
                <w:szCs w:val="18"/>
              </w:rPr>
              <w:t>以公允价值计量且其</w:t>
            </w:r>
            <w:r>
              <w:rPr>
                <w:rFonts w:ascii="宋体" w:hAnsi="宋体" w:cs="宋体" w:eastAsia="宋体" w:hint="default"/>
                <w:spacing w:val="-69"/>
                <w:sz w:val="18"/>
                <w:szCs w:val="18"/>
              </w:rPr>
              <w:t> </w:t>
            </w:r>
            <w:r>
              <w:rPr>
                <w:rFonts w:ascii="宋体" w:hAnsi="宋体" w:cs="宋体" w:eastAsia="宋体" w:hint="default"/>
                <w:sz w:val="18"/>
                <w:szCs w:val="18"/>
              </w:rPr>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215,581,350.60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z w:val="18"/>
                <w:szCs w:val="18"/>
              </w:rPr>
              <w:t>/</w:t>
            </w:r>
            <w:r>
              <w:rPr>
                <w:rFonts w:ascii="宋体" w:hAnsi="宋体" w:cs="宋体" w:eastAsia="宋体" w:hint="default"/>
                <w:sz w:val="18"/>
                <w:szCs w:val="18"/>
              </w:rPr>
              <w:t>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以公允价值计量且其变</w:t>
            </w:r>
          </w:p>
        </w:tc>
        <w:tc>
          <w:tcPr>
            <w:tcW w:w="15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94"/>
        <w:gridCol w:w="1813"/>
        <w:gridCol w:w="1447"/>
        <w:gridCol w:w="1560"/>
        <w:gridCol w:w="1843"/>
        <w:gridCol w:w="1525"/>
      </w:tblGrid>
      <w:tr>
        <w:trPr>
          <w:trHeight w:val="653"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 w:right="-17"/>
              <w:jc w:val="left"/>
              <w:rPr>
                <w:rFonts w:ascii="宋体" w:hAnsi="宋体" w:cs="宋体" w:eastAsia="宋体" w:hint="default"/>
                <w:sz w:val="18"/>
                <w:szCs w:val="18"/>
              </w:rPr>
            </w:pPr>
            <w:r>
              <w:rPr>
                <w:rFonts w:ascii="宋体" w:hAnsi="宋体" w:cs="宋体" w:eastAsia="宋体" w:hint="default"/>
                <w:spacing w:val="18"/>
                <w:sz w:val="18"/>
                <w:szCs w:val="18"/>
              </w:rPr>
              <w:t>变动计入其他综合收</w:t>
            </w:r>
            <w:r>
              <w:rPr>
                <w:rFonts w:ascii="宋体" w:hAnsi="宋体" w:cs="宋体" w:eastAsia="宋体" w:hint="default"/>
                <w:spacing w:val="-85"/>
                <w:sz w:val="18"/>
                <w:szCs w:val="18"/>
              </w:rPr>
              <w:t> </w:t>
            </w:r>
            <w:r>
              <w:rPr>
                <w:rFonts w:ascii="宋体" w:hAnsi="宋体" w:cs="宋体" w:eastAsia="宋体" w:hint="default"/>
                <w:sz w:val="18"/>
                <w:szCs w:val="18"/>
              </w:rPr>
              <w:t>益（权益工具）</w:t>
            </w:r>
          </w:p>
        </w:tc>
        <w:tc>
          <w:tcPr>
            <w:tcW w:w="144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他非流动金融资产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动计入当期损益</w:t>
            </w: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994" w:type="dxa"/>
            <w:vMerge/>
            <w:tcBorders>
              <w:left w:val="single" w:sz="4" w:space="0" w:color="000000"/>
              <w:bottom w:val="single" w:sz="4" w:space="0" w:color="000000"/>
              <w:right w:val="single" w:sz="4" w:space="0" w:color="000000"/>
            </w:tcBorders>
          </w:tcPr>
          <w:p>
            <w:pP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7"/>
              <w:jc w:val="left"/>
              <w:rPr>
                <w:rFonts w:ascii="宋体" w:hAnsi="宋体" w:cs="宋体" w:eastAsia="宋体" w:hint="default"/>
                <w:sz w:val="18"/>
                <w:szCs w:val="18"/>
              </w:rPr>
            </w:pPr>
            <w:r>
              <w:rPr>
                <w:rFonts w:ascii="宋体" w:hAnsi="宋体" w:cs="宋体" w:eastAsia="宋体" w:hint="default"/>
                <w:spacing w:val="18"/>
                <w:sz w:val="18"/>
                <w:szCs w:val="18"/>
              </w:rPr>
              <w:t>以成本计量（权益工</w:t>
            </w:r>
            <w:r>
              <w:rPr>
                <w:rFonts w:ascii="宋体" w:hAnsi="宋体" w:cs="宋体" w:eastAsia="宋体" w:hint="default"/>
                <w:spacing w:val="-85"/>
                <w:sz w:val="18"/>
                <w:szCs w:val="18"/>
              </w:rPr>
              <w:t> </w:t>
            </w:r>
            <w:r>
              <w:rPr>
                <w:rFonts w:ascii="宋体" w:hAnsi="宋体" w:cs="宋体" w:eastAsia="宋体" w:hint="default"/>
                <w:sz w:val="18"/>
                <w:szCs w:val="18"/>
              </w:rPr>
              <w:t>具）</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207,550,943.16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1"/>
                <w:sz w:val="18"/>
                <w:szCs w:val="18"/>
              </w:rPr>
              <w:t> </w:t>
            </w:r>
            <w:r>
              <w:rPr>
                <w:rFonts w:ascii="宋体" w:hAnsi="宋体" w:cs="宋体" w:eastAsia="宋体" w:hint="default"/>
                <w:sz w:val="18"/>
                <w:szCs w:val="18"/>
              </w:rPr>
              <w:t>动计入其他综合收益</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423,117,293.76</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88,428,034.89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88,428,034.89</w:t>
            </w:r>
          </w:p>
        </w:tc>
      </w:tr>
    </w:tbl>
    <w:p>
      <w:pPr>
        <w:pStyle w:val="BodyText"/>
        <w:spacing w:line="240" w:lineRule="auto" w:before="8"/>
        <w:ind w:right="1133"/>
        <w:jc w:val="left"/>
      </w:pPr>
      <w:r>
        <w:rPr>
          <w:rFonts w:ascii="宋体" w:hAnsi="宋体" w:cs="宋体" w:eastAsia="宋体" w:hint="default"/>
        </w:rPr>
        <w:t>b</w:t>
      </w:r>
      <w:r>
        <w:rPr/>
        <w:t>、对公司财务报表的影响</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994"/>
        <w:gridCol w:w="1841"/>
        <w:gridCol w:w="115"/>
        <w:gridCol w:w="1303"/>
        <w:gridCol w:w="1560"/>
        <w:gridCol w:w="1843"/>
        <w:gridCol w:w="1525"/>
      </w:tblGrid>
      <w:tr>
        <w:trPr>
          <w:trHeight w:val="341" w:hRule="exact"/>
        </w:trPr>
        <w:tc>
          <w:tcPr>
            <w:tcW w:w="4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日（变更前）</w:t>
            </w:r>
          </w:p>
        </w:tc>
        <w:tc>
          <w:tcPr>
            <w:tcW w:w="4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47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日（变更后）</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54"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4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56"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9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44" w:right="0"/>
              <w:jc w:val="left"/>
              <w:rPr>
                <w:rFonts w:ascii="宋体" w:hAnsi="宋体" w:cs="宋体" w:eastAsia="宋体" w:hint="default"/>
                <w:sz w:val="18"/>
                <w:szCs w:val="18"/>
              </w:rPr>
            </w:pPr>
            <w:r>
              <w:rPr>
                <w:rFonts w:ascii="宋体"/>
                <w:sz w:val="18"/>
              </w:rPr>
              <w:t>597,191,759.44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597,191,759.44</w:t>
            </w:r>
          </w:p>
        </w:tc>
      </w:tr>
      <w:tr>
        <w:trPr>
          <w:trHeight w:val="343"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18" w:type="dxa"/>
            <w:gridSpan w:val="2"/>
            <w:vMerge w:val="restart"/>
            <w:tcBorders>
              <w:top w:val="single" w:sz="4" w:space="0" w:color="000000"/>
              <w:left w:val="single" w:sz="4" w:space="0" w:color="000000"/>
              <w:right w:val="single" w:sz="4" w:space="0" w:color="000000"/>
            </w:tcBorders>
          </w:tcPr>
          <w:p>
            <w:pPr>
              <w:pStyle w:val="TableParagraph"/>
              <w:spacing w:line="240" w:lineRule="auto" w:before="17"/>
              <w:ind w:left="232" w:right="0"/>
              <w:jc w:val="left"/>
              <w:rPr>
                <w:rFonts w:ascii="宋体" w:hAnsi="宋体" w:cs="宋体" w:eastAsia="宋体" w:hint="default"/>
                <w:sz w:val="18"/>
                <w:szCs w:val="18"/>
              </w:rPr>
            </w:pPr>
            <w:r>
              <w:rPr>
                <w:rFonts w:ascii="宋体"/>
                <w:sz w:val="18"/>
              </w:rPr>
              <w:t>10,821,606.81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461,606.81</w:t>
            </w:r>
          </w:p>
        </w:tc>
      </w:tr>
      <w:tr>
        <w:trPr>
          <w:trHeight w:val="653" w:hRule="exact"/>
        </w:trPr>
        <w:tc>
          <w:tcPr>
            <w:tcW w:w="99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1418" w:type="dxa"/>
            <w:gridSpan w:val="2"/>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1"/>
                <w:sz w:val="18"/>
                <w:szCs w:val="18"/>
              </w:rPr>
              <w:t> </w:t>
            </w:r>
            <w:r>
              <w:rPr>
                <w:rFonts w:ascii="宋体" w:hAnsi="宋体" w:cs="宋体" w:eastAsia="宋体" w:hint="default"/>
                <w:sz w:val="18"/>
                <w:szCs w:val="18"/>
              </w:rPr>
              <w:t>动计入其他综合收益</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10,360,000.00</w:t>
            </w:r>
          </w:p>
        </w:tc>
      </w:tr>
      <w:tr>
        <w:trPr>
          <w:trHeight w:val="343"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18" w:type="dxa"/>
            <w:gridSpan w:val="2"/>
            <w:vMerge w:val="restart"/>
            <w:tcBorders>
              <w:top w:val="single" w:sz="4" w:space="0" w:color="000000"/>
              <w:left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1,305,578,798.6</w:t>
            </w:r>
          </w:p>
          <w:p>
            <w:pPr>
              <w:pStyle w:val="TableParagraph"/>
              <w:spacing w:line="240" w:lineRule="auto" w:before="76"/>
              <w:ind w:right="5"/>
              <w:jc w:val="right"/>
              <w:rPr>
                <w:rFonts w:ascii="宋体" w:hAnsi="宋体" w:cs="宋体" w:eastAsia="宋体" w:hint="default"/>
                <w:sz w:val="18"/>
                <w:szCs w:val="18"/>
              </w:rPr>
            </w:pPr>
            <w:r>
              <w:rPr>
                <w:rFonts w:ascii="宋体"/>
                <w:sz w:val="18"/>
              </w:rPr>
              <w:t>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1,305,578,798.62</w:t>
            </w:r>
          </w:p>
        </w:tc>
      </w:tr>
      <w:tr>
        <w:trPr>
          <w:trHeight w:val="653" w:hRule="exact"/>
        </w:trPr>
        <w:tc>
          <w:tcPr>
            <w:tcW w:w="99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1418" w:type="dxa"/>
            <w:gridSpan w:val="2"/>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1"/>
                <w:sz w:val="18"/>
                <w:szCs w:val="18"/>
              </w:rPr>
              <w:t> </w:t>
            </w:r>
            <w:r>
              <w:rPr>
                <w:rFonts w:ascii="宋体" w:hAnsi="宋体" w:cs="宋体" w:eastAsia="宋体" w:hint="default"/>
                <w:sz w:val="18"/>
                <w:szCs w:val="18"/>
              </w:rPr>
              <w:t>动计入其他综合收益</w:t>
            </w: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44" w:right="0"/>
              <w:jc w:val="left"/>
              <w:rPr>
                <w:rFonts w:ascii="宋体" w:hAnsi="宋体" w:cs="宋体" w:eastAsia="宋体" w:hint="default"/>
                <w:sz w:val="18"/>
                <w:szCs w:val="18"/>
              </w:rPr>
            </w:pPr>
            <w:r>
              <w:rPr>
                <w:rFonts w:ascii="宋体"/>
                <w:sz w:val="18"/>
              </w:rPr>
              <w:t>665,913,614.36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665,913,614.36</w:t>
            </w:r>
          </w:p>
        </w:tc>
      </w:tr>
      <w:tr>
        <w:trPr>
          <w:trHeight w:val="965" w:hRule="exact"/>
        </w:trPr>
        <w:tc>
          <w:tcPr>
            <w:tcW w:w="994" w:type="dxa"/>
            <w:vMerge w:val="restart"/>
            <w:tcBorders>
              <w:top w:val="single" w:sz="4" w:space="0" w:color="000000"/>
              <w:left w:val="single" w:sz="4" w:space="0" w:color="000000"/>
              <w:right w:val="single" w:sz="4" w:space="0" w:color="000000"/>
            </w:tcBorders>
          </w:tcPr>
          <w:p>
            <w:pPr>
              <w:pStyle w:val="TableParagraph"/>
              <w:spacing w:line="316" w:lineRule="auto" w:before="17"/>
              <w:ind w:left="7" w:right="1"/>
              <w:jc w:val="left"/>
              <w:rPr>
                <w:rFonts w:ascii="宋体" w:hAnsi="宋体" w:cs="宋体" w:eastAsia="宋体" w:hint="default"/>
                <w:sz w:val="18"/>
                <w:szCs w:val="18"/>
              </w:rPr>
            </w:pPr>
            <w:r>
              <w:rPr>
                <w:rFonts w:ascii="宋体" w:hAnsi="宋体" w:cs="宋体" w:eastAsia="宋体" w:hint="default"/>
                <w:spacing w:val="14"/>
                <w:sz w:val="18"/>
                <w:szCs w:val="18"/>
              </w:rPr>
              <w:t>可供出售金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融资产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1"/>
                <w:sz w:val="18"/>
                <w:szCs w:val="18"/>
              </w:rPr>
              <w:t> </w:t>
            </w:r>
            <w:r>
              <w:rPr>
                <w:rFonts w:ascii="宋体" w:hAnsi="宋体" w:cs="宋体" w:eastAsia="宋体" w:hint="default"/>
                <w:sz w:val="18"/>
                <w:szCs w:val="18"/>
              </w:rPr>
              <w:t>动</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4"/>
                <w:sz w:val="18"/>
                <w:szCs w:val="18"/>
              </w:rPr>
              <w:t> </w:t>
            </w:r>
            <w:r>
              <w:rPr>
                <w:rFonts w:ascii="宋体" w:hAnsi="宋体" w:cs="宋体" w:eastAsia="宋体" w:hint="default"/>
                <w:sz w:val="18"/>
                <w:szCs w:val="18"/>
              </w:rPr>
              <w:t>入</w:t>
            </w:r>
            <w:r>
              <w:rPr>
                <w:rFonts w:ascii="宋体" w:hAnsi="宋体" w:cs="宋体" w:eastAsia="宋体" w:hint="default"/>
                <w:spacing w:val="-67"/>
                <w:sz w:val="18"/>
                <w:szCs w:val="18"/>
              </w:rPr>
              <w:t> </w:t>
            </w:r>
            <w:r>
              <w:rPr>
                <w:rFonts w:ascii="宋体" w:hAnsi="宋体" w:cs="宋体" w:eastAsia="宋体" w:hint="default"/>
                <w:sz w:val="18"/>
                <w:szCs w:val="18"/>
              </w:rPr>
              <w:t>其</w:t>
            </w:r>
            <w:r>
              <w:rPr>
                <w:rFonts w:ascii="宋体" w:hAnsi="宋体" w:cs="宋体" w:eastAsia="宋体" w:hint="default"/>
                <w:spacing w:val="-64"/>
                <w:sz w:val="18"/>
                <w:szCs w:val="18"/>
              </w:rPr>
              <w:t> </w:t>
            </w:r>
            <w:r>
              <w:rPr>
                <w:rFonts w:ascii="宋体" w:hAnsi="宋体" w:cs="宋体" w:eastAsia="宋体" w:hint="default"/>
                <w:sz w:val="18"/>
                <w:szCs w:val="18"/>
              </w:rPr>
              <w:t>他</w:t>
            </w:r>
            <w:r>
              <w:rPr>
                <w:rFonts w:ascii="宋体" w:hAnsi="宋体" w:cs="宋体" w:eastAsia="宋体" w:hint="default"/>
                <w:spacing w:val="-67"/>
                <w:sz w:val="18"/>
                <w:szCs w:val="18"/>
              </w:rPr>
              <w:t> </w:t>
            </w:r>
            <w:r>
              <w:rPr>
                <w:rFonts w:ascii="宋体" w:hAnsi="宋体" w:cs="宋体" w:eastAsia="宋体" w:hint="default"/>
                <w:sz w:val="18"/>
                <w:szCs w:val="18"/>
              </w:rPr>
              <w:t>综</w:t>
            </w:r>
            <w:r>
              <w:rPr>
                <w:rFonts w:ascii="宋体" w:hAnsi="宋体" w:cs="宋体" w:eastAsia="宋体" w:hint="default"/>
                <w:spacing w:val="-64"/>
                <w:sz w:val="18"/>
                <w:szCs w:val="18"/>
              </w:rPr>
              <w:t> </w:t>
            </w:r>
            <w:r>
              <w:rPr>
                <w:rFonts w:ascii="宋体" w:hAnsi="宋体" w:cs="宋体" w:eastAsia="宋体" w:hint="default"/>
                <w:sz w:val="18"/>
                <w:szCs w:val="18"/>
              </w:rPr>
              <w:t>合</w:t>
            </w:r>
            <w:r>
              <w:rPr>
                <w:rFonts w:ascii="宋体" w:hAnsi="宋体" w:cs="宋体" w:eastAsia="宋体" w:hint="default"/>
                <w:spacing w:val="-67"/>
                <w:sz w:val="18"/>
                <w:szCs w:val="18"/>
              </w:rPr>
              <w:t> </w:t>
            </w:r>
            <w:r>
              <w:rPr>
                <w:rFonts w:ascii="宋体" w:hAnsi="宋体" w:cs="宋体" w:eastAsia="宋体" w:hint="default"/>
                <w:sz w:val="18"/>
                <w:szCs w:val="18"/>
              </w:rPr>
              <w:t>收</w:t>
            </w:r>
            <w:r>
              <w:rPr>
                <w:rFonts w:ascii="宋体" w:hAnsi="宋体" w:cs="宋体" w:eastAsia="宋体" w:hint="default"/>
                <w:spacing w:val="-64"/>
                <w:sz w:val="18"/>
                <w:szCs w:val="18"/>
              </w:rPr>
              <w:t> </w:t>
            </w:r>
            <w:r>
              <w:rPr>
                <w:rFonts w:ascii="宋体" w:hAnsi="宋体" w:cs="宋体" w:eastAsia="宋体" w:hint="default"/>
                <w:sz w:val="18"/>
                <w:szCs w:val="18"/>
              </w:rPr>
              <w:t>益</w:t>
            </w:r>
          </w:p>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（权益工具）</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44" w:right="0"/>
              <w:jc w:val="left"/>
              <w:rPr>
                <w:rFonts w:ascii="宋体" w:hAnsi="宋体" w:cs="宋体" w:eastAsia="宋体" w:hint="default"/>
                <w:sz w:val="18"/>
                <w:szCs w:val="18"/>
              </w:rPr>
            </w:pPr>
            <w:r>
              <w:rPr>
                <w:rFonts w:ascii="宋体"/>
                <w:sz w:val="18"/>
              </w:rPr>
              <w:t>215,581,350.60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5"/>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z w:val="18"/>
                <w:szCs w:val="18"/>
              </w:rPr>
              <w:t>/</w:t>
            </w:r>
            <w:r>
              <w:rPr>
                <w:rFonts w:ascii="宋体" w:hAnsi="宋体" w:cs="宋体" w:eastAsia="宋体" w:hint="default"/>
                <w:sz w:val="18"/>
                <w:szCs w:val="18"/>
              </w:rPr>
              <w:t>其</w:t>
            </w:r>
            <w:r>
              <w:rPr>
                <w:rFonts w:ascii="宋体" w:hAnsi="宋体" w:cs="宋体" w:eastAsia="宋体" w:hint="default"/>
                <w:spacing w:val="-85"/>
                <w:sz w:val="18"/>
                <w:szCs w:val="18"/>
              </w:rPr>
              <w:t> </w:t>
            </w:r>
            <w:r>
              <w:rPr>
                <w:rFonts w:ascii="宋体" w:hAnsi="宋体" w:cs="宋体" w:eastAsia="宋体" w:hint="default"/>
                <w:sz w:val="18"/>
                <w:szCs w:val="18"/>
              </w:rPr>
              <w:t>他非流动金融资产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1"/>
                <w:sz w:val="18"/>
                <w:szCs w:val="18"/>
              </w:rPr>
              <w:t> </w:t>
            </w:r>
            <w:r>
              <w:rPr>
                <w:rFonts w:ascii="宋体" w:hAnsi="宋体" w:cs="宋体" w:eastAsia="宋体" w:hint="default"/>
                <w:sz w:val="18"/>
                <w:szCs w:val="18"/>
              </w:rPr>
              <w:t>动计入当期损益</w:t>
            </w: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994"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pacing w:val="-7"/>
                <w:sz w:val="18"/>
                <w:szCs w:val="18"/>
              </w:rPr>
              <w:t>以成本计量（权益工具</w:t>
            </w:r>
          </w:p>
        </w:tc>
        <w:tc>
          <w:tcPr>
            <w:tcW w:w="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sz w:val="18"/>
                <w:szCs w:val="18"/>
              </w:rPr>
              <w:t>）</w:t>
            </w:r>
          </w:p>
        </w:tc>
        <w:tc>
          <w:tcPr>
            <w:tcW w:w="1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3" w:right="0"/>
              <w:jc w:val="left"/>
              <w:rPr>
                <w:rFonts w:ascii="宋体" w:hAnsi="宋体" w:cs="宋体" w:eastAsia="宋体" w:hint="default"/>
                <w:sz w:val="18"/>
                <w:szCs w:val="18"/>
              </w:rPr>
            </w:pPr>
            <w:r>
              <w:rPr>
                <w:rFonts w:ascii="宋体"/>
                <w:sz w:val="18"/>
              </w:rPr>
              <w:t>110,116,000.00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1"/>
                <w:sz w:val="18"/>
                <w:szCs w:val="18"/>
              </w:rPr>
              <w:t> </w:t>
            </w:r>
            <w:r>
              <w:rPr>
                <w:rFonts w:ascii="宋体" w:hAnsi="宋体" w:cs="宋体" w:eastAsia="宋体" w:hint="default"/>
                <w:sz w:val="18"/>
                <w:szCs w:val="18"/>
              </w:rPr>
              <w:t>动计入其他综合收益</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325,697,350.60</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32" w:right="0"/>
              <w:jc w:val="left"/>
              <w:rPr>
                <w:rFonts w:ascii="宋体" w:hAnsi="宋体" w:cs="宋体" w:eastAsia="宋体" w:hint="default"/>
                <w:sz w:val="18"/>
                <w:szCs w:val="18"/>
              </w:rPr>
            </w:pPr>
            <w:r>
              <w:rPr>
                <w:rFonts w:ascii="宋体"/>
                <w:sz w:val="18"/>
              </w:rPr>
              <w:t>72,858,496.72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72,858,496.72</w:t>
            </w:r>
          </w:p>
        </w:tc>
      </w:tr>
    </w:tbl>
    <w:p>
      <w:pPr>
        <w:pStyle w:val="BodyText"/>
        <w:spacing w:line="316" w:lineRule="auto" w:before="8"/>
        <w:ind w:right="1304"/>
        <w:jc w:val="left"/>
      </w:pPr>
      <w:r>
        <w:rPr>
          <w:rFonts w:ascii="宋体" w:hAnsi="宋体" w:cs="宋体" w:eastAsia="宋体" w:hint="default"/>
        </w:rPr>
        <w:t>B</w:t>
      </w:r>
      <w:r>
        <w:rPr/>
        <w:t>、首次执行日，原金融资产账面价值调整为按照新金融工具准则的规定进行分类和计量的新金融资产账面价值的调节表 </w:t>
      </w:r>
      <w:r>
        <w:rPr>
          <w:rFonts w:ascii="宋体" w:hAnsi="宋体" w:cs="宋体" w:eastAsia="宋体" w:hint="default"/>
        </w:rPr>
        <w:t>a</w:t>
      </w:r>
      <w:r>
        <w:rPr/>
        <w:t>、对合并报表的影响</w:t>
      </w:r>
    </w:p>
    <w:p>
      <w:pPr>
        <w:pStyle w:val="BodyText"/>
        <w:spacing w:line="240" w:lineRule="auto" w:before="40"/>
        <w:ind w:left="7208" w:right="1471"/>
        <w:jc w:val="right"/>
      </w:pPr>
      <w:r>
        <w:rPr/>
        <w:pict>
          <v:shape style="position:absolute;margin-left:56.400002pt;margin-top:.511699pt;width:461.65pt;height:289.7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6"/>
                    <w:gridCol w:w="1699"/>
                    <w:gridCol w:w="1419"/>
                    <w:gridCol w:w="1553"/>
                    <w:gridCol w:w="1851"/>
                  </w:tblGrid>
                  <w:tr>
                    <w:trPr>
                      <w:trHeight w:val="65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73" w:right="31" w:hanging="54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 更前）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4"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1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5"/>
                            <w:sz w:val="18"/>
                            <w:szCs w:val="18"/>
                          </w:rPr>
                          <w:t>2019</w:t>
                        </w:r>
                        <w:r>
                          <w:rPr>
                            <w:rFonts w:ascii="宋体" w:hAnsi="宋体" w:cs="宋体" w:eastAsia="宋体" w:hint="default"/>
                            <w:spacing w:val="-5"/>
                            <w:sz w:val="18"/>
                            <w:szCs w:val="18"/>
                          </w:rPr>
                          <w:t>年</w:t>
                        </w:r>
                        <w:r>
                          <w:rPr>
                            <w:rFonts w:ascii="宋体" w:hAnsi="宋体" w:cs="宋体" w:eastAsia="宋体" w:hint="default"/>
                            <w:spacing w:val="-5"/>
                            <w:sz w:val="18"/>
                            <w:szCs w:val="18"/>
                          </w:rPr>
                          <w:t>1</w:t>
                        </w:r>
                        <w:r>
                          <w:rPr>
                            <w:rFonts w:ascii="宋体" w:hAnsi="宋体" w:cs="宋体" w:eastAsia="宋体" w:hint="default"/>
                            <w:spacing w:val="-5"/>
                            <w:sz w:val="18"/>
                            <w:szCs w:val="18"/>
                          </w:rPr>
                          <w:t>月</w:t>
                        </w:r>
                        <w:r>
                          <w:rPr>
                            <w:rFonts w:ascii="宋体" w:hAnsi="宋体" w:cs="宋体" w:eastAsia="宋体" w:hint="default"/>
                            <w:spacing w:val="-5"/>
                            <w:sz w:val="18"/>
                            <w:szCs w:val="18"/>
                          </w:rPr>
                          <w:t>1</w:t>
                        </w:r>
                        <w:r>
                          <w:rPr>
                            <w:rFonts w:ascii="宋体" w:hAnsi="宋体" w:cs="宋体" w:eastAsia="宋体" w:hint="default"/>
                            <w:spacing w:val="-5"/>
                            <w:sz w:val="18"/>
                            <w:szCs w:val="18"/>
                          </w:rPr>
                          <w:t>日（变更后</w:t>
                        </w: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应收票据</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11,244,658.81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减：转出至应收款项融资</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-10,360,000.00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884,658.81</w:t>
                        </w: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1,323,138,742.09</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减：转出至应收款项融资</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1,323,138,742.09</w:t>
                        </w: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应收款项融资</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从应收票据转入</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10,360,000.00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从应收账款转入</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重新计量：按公允价值重新计量</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10,360,000.00</w:t>
                        </w:r>
                      </w:p>
                    </w:tc>
                  </w:tr>
                </w:tbl>
                <w:p>
                  <w:pPr/>
                </w:p>
              </w:txbxContent>
            </v:textbox>
            <w10:wrap type="none"/>
          </v:shape>
        </w:pict>
      </w:r>
      <w:r>
        <w:rPr/>
        <w:t>）</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96"/>
        <w:gridCol w:w="1699"/>
        <w:gridCol w:w="1419"/>
        <w:gridCol w:w="1553"/>
        <w:gridCol w:w="1851"/>
      </w:tblGrid>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261,318,822.39</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261,318,822.39</w:t>
            </w: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长期应收款</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88,428,034.89</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88,428,034.89</w:t>
            </w:r>
          </w:p>
        </w:tc>
      </w:tr>
      <w:tr>
        <w:trPr>
          <w:trHeight w:val="65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
              <w:jc w:val="left"/>
              <w:rPr>
                <w:rFonts w:ascii="宋体" w:hAnsi="宋体" w:cs="宋体" w:eastAsia="宋体" w:hint="default"/>
                <w:sz w:val="18"/>
                <w:szCs w:val="18"/>
              </w:rPr>
            </w:pPr>
            <w:r>
              <w:rPr>
                <w:rFonts w:ascii="宋体" w:hAnsi="宋体" w:cs="宋体" w:eastAsia="宋体" w:hint="default"/>
                <w:b/>
                <w:bCs/>
                <w:spacing w:val="11"/>
                <w:sz w:val="18"/>
                <w:szCs w:val="18"/>
              </w:rPr>
              <w:t>以公允价值计量且其变动计入其</w:t>
            </w:r>
            <w:r>
              <w:rPr>
                <w:rFonts w:ascii="宋体" w:hAnsi="宋体" w:cs="宋体" w:eastAsia="宋体" w:hint="default"/>
                <w:b/>
                <w:bCs/>
                <w:spacing w:val="12"/>
                <w:w w:val="99"/>
                <w:sz w:val="18"/>
                <w:szCs w:val="18"/>
              </w:rPr>
              <w:t> </w:t>
            </w:r>
            <w:r>
              <w:rPr>
                <w:rFonts w:ascii="宋体" w:hAnsi="宋体" w:cs="宋体" w:eastAsia="宋体" w:hint="default"/>
                <w:b/>
                <w:bCs/>
                <w:sz w:val="18"/>
                <w:szCs w:val="18"/>
              </w:rPr>
              <w:t>他综合收益：</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可供出售金融资产（原准则）</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423,132,293.76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减：转出至其他债权投资</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减：转出至其他非流动金融资产</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减：转出至其他权益工具投资</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宋体" w:hAnsi="宋体" w:cs="宋体" w:eastAsia="宋体" w:hint="default"/>
                <w:sz w:val="18"/>
                <w:szCs w:val="18"/>
              </w:rPr>
            </w:pPr>
            <w:r>
              <w:rPr>
                <w:rFonts w:ascii="宋体"/>
                <w:spacing w:val="-1"/>
                <w:sz w:val="18"/>
              </w:rPr>
              <w:t>-423,132,293.76</w:t>
            </w: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其他权益工具投资</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92"/>
              <w:jc w:val="left"/>
              <w:rPr>
                <w:rFonts w:ascii="宋体" w:hAnsi="宋体" w:cs="宋体" w:eastAsia="宋体" w:hint="default"/>
                <w:sz w:val="18"/>
                <w:szCs w:val="18"/>
              </w:rPr>
            </w:pPr>
            <w:r>
              <w:rPr>
                <w:rFonts w:ascii="宋体" w:hAnsi="宋体" w:cs="宋体" w:eastAsia="宋体" w:hint="default"/>
                <w:spacing w:val="-8"/>
                <w:sz w:val="18"/>
                <w:szCs w:val="18"/>
              </w:rPr>
              <w:t>加：自可供出售金融资产（原准则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转入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423,117,293.76</w:t>
            </w: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重新计量：按公允价值重新计量</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423,117,293.76</w:t>
            </w:r>
          </w:p>
        </w:tc>
      </w:tr>
    </w:tbl>
    <w:p>
      <w:pPr>
        <w:pStyle w:val="BodyText"/>
        <w:spacing w:line="240" w:lineRule="auto" w:before="8"/>
        <w:ind w:right="1133"/>
        <w:jc w:val="left"/>
      </w:pPr>
      <w:r>
        <w:rPr>
          <w:rFonts w:ascii="宋体" w:hAnsi="宋体" w:cs="宋体" w:eastAsia="宋体" w:hint="default"/>
        </w:rPr>
        <w:t>b</w:t>
      </w:r>
      <w:r>
        <w:rPr/>
        <w:t>、对公司财务报表的影响</w:t>
      </w:r>
    </w:p>
    <w:p>
      <w:pPr>
        <w:pStyle w:val="BodyText"/>
        <w:spacing w:line="240" w:lineRule="auto" w:before="95"/>
        <w:ind w:left="7208" w:right="1471"/>
        <w:jc w:val="right"/>
      </w:pPr>
      <w:r>
        <w:rPr/>
        <w:pict>
          <v:shape style="position:absolute;margin-left:56.400002pt;margin-top:3.381724pt;width:461.65pt;height:375.3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6"/>
                    <w:gridCol w:w="1699"/>
                    <w:gridCol w:w="1419"/>
                    <w:gridCol w:w="1553"/>
                    <w:gridCol w:w="1851"/>
                  </w:tblGrid>
                  <w:tr>
                    <w:trPr>
                      <w:trHeight w:val="65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573" w:right="31" w:hanging="54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 更前）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34"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1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pacing w:val="-5"/>
                            <w:sz w:val="18"/>
                            <w:szCs w:val="18"/>
                          </w:rPr>
                          <w:t>2019</w:t>
                        </w:r>
                        <w:r>
                          <w:rPr>
                            <w:rFonts w:ascii="宋体" w:hAnsi="宋体" w:cs="宋体" w:eastAsia="宋体" w:hint="default"/>
                            <w:spacing w:val="-5"/>
                            <w:sz w:val="18"/>
                            <w:szCs w:val="18"/>
                          </w:rPr>
                          <w:t>年</w:t>
                        </w:r>
                        <w:r>
                          <w:rPr>
                            <w:rFonts w:ascii="宋体" w:hAnsi="宋体" w:cs="宋体" w:eastAsia="宋体" w:hint="default"/>
                            <w:spacing w:val="-5"/>
                            <w:sz w:val="18"/>
                            <w:szCs w:val="18"/>
                          </w:rPr>
                          <w:t>1</w:t>
                        </w:r>
                        <w:r>
                          <w:rPr>
                            <w:rFonts w:ascii="宋体" w:hAnsi="宋体" w:cs="宋体" w:eastAsia="宋体" w:hint="default"/>
                            <w:spacing w:val="-5"/>
                            <w:sz w:val="18"/>
                            <w:szCs w:val="18"/>
                          </w:rPr>
                          <w:t>月</w:t>
                        </w:r>
                        <w:r>
                          <w:rPr>
                            <w:rFonts w:ascii="宋体" w:hAnsi="宋体" w:cs="宋体" w:eastAsia="宋体" w:hint="default"/>
                            <w:spacing w:val="-5"/>
                            <w:sz w:val="18"/>
                            <w:szCs w:val="18"/>
                          </w:rPr>
                          <w:t>1</w:t>
                        </w:r>
                        <w:r>
                          <w:rPr>
                            <w:rFonts w:ascii="宋体" w:hAnsi="宋体" w:cs="宋体" w:eastAsia="宋体" w:hint="default"/>
                            <w:spacing w:val="-5"/>
                            <w:sz w:val="18"/>
                            <w:szCs w:val="18"/>
                          </w:rPr>
                          <w:t>日（变更后</w:t>
                        </w: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b/>
                            <w:bCs/>
                            <w:sz w:val="18"/>
                            <w:szCs w:val="18"/>
                          </w:rPr>
                          <w:t>应收票据</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宋体" w:hAnsi="宋体" w:cs="宋体" w:eastAsia="宋体" w:hint="default"/>
                            <w:sz w:val="18"/>
                            <w:szCs w:val="18"/>
                          </w:rPr>
                        </w:pPr>
                        <w:r>
                          <w:rPr>
                            <w:rFonts w:ascii="宋体"/>
                            <w:spacing w:val="-1"/>
                            <w:sz w:val="18"/>
                          </w:rPr>
                          <w:t>10,821,606.81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减：转出至应收款项融资</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10,360,000.00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461,606.81</w:t>
                        </w: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1,305,578,798.62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减：转出至应收款项融资</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1,305,578,798.62</w:t>
                        </w: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应收款项融资</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从应收票据转入</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10,360,000.00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从应收账款转入</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重新计量：按公允价值重新计量</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10,360,000.00</w:t>
                        </w: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665,913,614.36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665,913,614.36</w:t>
                        </w: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长期应收款</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72,858,496.72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footerReference w:type="default" r:id="rId15"/>
          <w:pgSz w:w="11910" w:h="16840"/>
          <w:pgMar w:footer="980" w:header="745" w:top="1060" w:bottom="1160" w:left="980" w:right="0"/>
          <w:pgNumType w:start="11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96"/>
        <w:gridCol w:w="1699"/>
        <w:gridCol w:w="1419"/>
        <w:gridCol w:w="1553"/>
        <w:gridCol w:w="1851"/>
      </w:tblGrid>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72,858,496.72</w:t>
            </w:r>
          </w:p>
        </w:tc>
      </w:tr>
      <w:tr>
        <w:trPr>
          <w:trHeight w:val="65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7"/>
              <w:jc w:val="left"/>
              <w:rPr>
                <w:rFonts w:ascii="宋体" w:hAnsi="宋体" w:cs="宋体" w:eastAsia="宋体" w:hint="default"/>
                <w:sz w:val="18"/>
                <w:szCs w:val="18"/>
              </w:rPr>
            </w:pPr>
            <w:r>
              <w:rPr>
                <w:rFonts w:ascii="宋体" w:hAnsi="宋体" w:cs="宋体" w:eastAsia="宋体" w:hint="default"/>
                <w:b/>
                <w:bCs/>
                <w:spacing w:val="11"/>
                <w:sz w:val="18"/>
                <w:szCs w:val="18"/>
              </w:rPr>
              <w:t>以公允价值计量且其变动计入其</w:t>
            </w:r>
            <w:r>
              <w:rPr>
                <w:rFonts w:ascii="宋体" w:hAnsi="宋体" w:cs="宋体" w:eastAsia="宋体" w:hint="default"/>
                <w:b/>
                <w:bCs/>
                <w:spacing w:val="12"/>
                <w:w w:val="99"/>
                <w:sz w:val="18"/>
                <w:szCs w:val="18"/>
              </w:rPr>
              <w:t> </w:t>
            </w:r>
            <w:r>
              <w:rPr>
                <w:rFonts w:ascii="宋体" w:hAnsi="宋体" w:cs="宋体" w:eastAsia="宋体" w:hint="default"/>
                <w:b/>
                <w:bCs/>
                <w:sz w:val="18"/>
                <w:szCs w:val="18"/>
              </w:rPr>
              <w:t>他综合收益：</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可供出售金融资产（原准则）</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4" w:right="0"/>
              <w:jc w:val="left"/>
              <w:rPr>
                <w:rFonts w:ascii="宋体" w:hAnsi="宋体" w:cs="宋体" w:eastAsia="宋体" w:hint="default"/>
                <w:sz w:val="18"/>
                <w:szCs w:val="18"/>
              </w:rPr>
            </w:pPr>
            <w:r>
              <w:rPr>
                <w:rFonts w:ascii="宋体"/>
                <w:sz w:val="18"/>
              </w:rPr>
              <w:t>325,697,350.60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减：转出至其他债权投资</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减：转出至其他非流动金融资产</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减：转出至其他权益工具投资</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325,697,350.60</w:t>
            </w: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其他权益工具投资</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92"/>
              <w:jc w:val="left"/>
              <w:rPr>
                <w:rFonts w:ascii="宋体" w:hAnsi="宋体" w:cs="宋体" w:eastAsia="宋体" w:hint="default"/>
                <w:sz w:val="18"/>
                <w:szCs w:val="18"/>
              </w:rPr>
            </w:pPr>
            <w:r>
              <w:rPr>
                <w:rFonts w:ascii="宋体" w:hAnsi="宋体" w:cs="宋体" w:eastAsia="宋体" w:hint="default"/>
                <w:spacing w:val="-8"/>
                <w:sz w:val="18"/>
                <w:szCs w:val="18"/>
              </w:rPr>
              <w:t>加：自可供出售金融资产（原准则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转入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5" w:right="0"/>
              <w:jc w:val="left"/>
              <w:rPr>
                <w:rFonts w:ascii="宋体" w:hAnsi="宋体" w:cs="宋体" w:eastAsia="宋体" w:hint="default"/>
                <w:sz w:val="18"/>
                <w:szCs w:val="18"/>
              </w:rPr>
            </w:pPr>
            <w:r>
              <w:rPr>
                <w:rFonts w:ascii="宋体" w:hAnsi="宋体" w:cs="宋体" w:eastAsia="宋体"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325,697,350.60</w:t>
            </w: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重新计量：按公允价值重新计量</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325,697,350.60</w:t>
            </w:r>
          </w:p>
        </w:tc>
      </w:tr>
    </w:tbl>
    <w:p>
      <w:pPr>
        <w:pStyle w:val="BodyText"/>
        <w:spacing w:line="316" w:lineRule="auto" w:before="8"/>
        <w:ind w:right="7424"/>
        <w:jc w:val="left"/>
      </w:pPr>
      <w:r>
        <w:rPr>
          <w:rFonts w:ascii="宋体" w:hAnsi="宋体" w:cs="宋体" w:eastAsia="宋体" w:hint="default"/>
        </w:rPr>
        <w:t>C</w:t>
      </w:r>
      <w:r>
        <w:rPr/>
        <w:t>、首次执行日，金融资产减值准备调节表 </w:t>
      </w:r>
      <w:r>
        <w:rPr>
          <w:rFonts w:ascii="宋体" w:hAnsi="宋体" w:cs="宋体" w:eastAsia="宋体" w:hint="default"/>
        </w:rPr>
        <w:t>a</w:t>
      </w:r>
      <w:r>
        <w:rPr/>
        <w:t>、对合并报表的影响</w:t>
      </w:r>
    </w:p>
    <w:tbl>
      <w:tblPr>
        <w:tblW w:w="0" w:type="auto"/>
        <w:jc w:val="left"/>
        <w:tblInd w:w="148" w:type="dxa"/>
        <w:tblLayout w:type="fixed"/>
        <w:tblCellMar>
          <w:top w:w="0" w:type="dxa"/>
          <w:left w:w="0" w:type="dxa"/>
          <w:bottom w:w="0" w:type="dxa"/>
          <w:right w:w="0" w:type="dxa"/>
        </w:tblCellMar>
        <w:tblLook w:val="01E0"/>
      </w:tblPr>
      <w:tblGrid>
        <w:gridCol w:w="2696"/>
        <w:gridCol w:w="1699"/>
        <w:gridCol w:w="1419"/>
        <w:gridCol w:w="1526"/>
        <w:gridCol w:w="1700"/>
      </w:tblGrid>
      <w:tr>
        <w:trPr>
          <w:trHeight w:val="65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573" w:right="31" w:hanging="54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 更前）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34"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98"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665" w:right="31" w:hanging="632"/>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 后）</w:t>
            </w: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294,481,735.80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294,481,735.80</w:t>
            </w: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329,720,394.13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329,720,394.13</w:t>
            </w:r>
          </w:p>
        </w:tc>
      </w:tr>
    </w:tbl>
    <w:p>
      <w:pPr>
        <w:pStyle w:val="BodyText"/>
        <w:spacing w:line="240" w:lineRule="auto" w:before="19"/>
        <w:ind w:left="633" w:right="1133"/>
        <w:jc w:val="left"/>
      </w:pPr>
      <w:r>
        <w:rPr>
          <w:rFonts w:ascii="宋体" w:hAnsi="宋体" w:cs="宋体" w:eastAsia="宋体" w:hint="default"/>
        </w:rPr>
        <w:t>b</w:t>
      </w:r>
      <w:r>
        <w:rPr/>
        <w:t>、对公司财务报表的影响</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696"/>
        <w:gridCol w:w="1699"/>
        <w:gridCol w:w="1527"/>
        <w:gridCol w:w="1418"/>
        <w:gridCol w:w="1700"/>
      </w:tblGrid>
      <w:tr>
        <w:trPr>
          <w:trHeight w:val="65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573" w:right="31" w:hanging="54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 更前）</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89"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43"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665" w:right="31" w:hanging="632"/>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 后）</w:t>
            </w: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275,590,313.77</w:t>
            </w:r>
          </w:p>
        </w:tc>
        <w:tc>
          <w:tcPr>
            <w:tcW w:w="152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275,590,313.77</w:t>
            </w: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344,692,202.21</w:t>
            </w:r>
          </w:p>
        </w:tc>
        <w:tc>
          <w:tcPr>
            <w:tcW w:w="152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344,692,202.21</w:t>
            </w:r>
          </w:p>
        </w:tc>
      </w:tr>
    </w:tbl>
    <w:p>
      <w:pPr>
        <w:pStyle w:val="BodyText"/>
        <w:spacing w:line="240" w:lineRule="auto" w:before="8"/>
        <w:ind w:right="1133"/>
        <w:jc w:val="left"/>
      </w:pPr>
      <w:r>
        <w:rPr>
          <w:rFonts w:ascii="宋体" w:hAnsi="宋体" w:cs="宋体" w:eastAsia="宋体" w:hint="default"/>
        </w:rPr>
        <w:t>D</w:t>
      </w:r>
      <w:r>
        <w:rPr/>
        <w:t>、对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日留存收益和其他综合收益的影响</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229"/>
        <w:gridCol w:w="1862"/>
        <w:gridCol w:w="1851"/>
        <w:gridCol w:w="2276"/>
      </w:tblGrid>
      <w:tr>
        <w:trPr>
          <w:trHeight w:val="34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97" w:right="0"/>
              <w:jc w:val="left"/>
              <w:rPr>
                <w:rFonts w:ascii="宋体" w:hAnsi="宋体" w:cs="宋体" w:eastAsia="宋体" w:hint="default"/>
                <w:sz w:val="18"/>
                <w:szCs w:val="18"/>
              </w:rPr>
            </w:pPr>
            <w:r>
              <w:rPr>
                <w:rFonts w:ascii="宋体" w:hAnsi="宋体" w:cs="宋体" w:eastAsia="宋体" w:hint="default"/>
                <w:sz w:val="18"/>
                <w:szCs w:val="18"/>
              </w:rPr>
              <w:t>合并未分配利润</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82" w:right="0"/>
              <w:jc w:val="left"/>
              <w:rPr>
                <w:rFonts w:ascii="宋体" w:hAnsi="宋体" w:cs="宋体" w:eastAsia="宋体" w:hint="default"/>
                <w:sz w:val="18"/>
                <w:szCs w:val="18"/>
              </w:rPr>
            </w:pPr>
            <w:r>
              <w:rPr>
                <w:rFonts w:ascii="宋体" w:hAnsi="宋体" w:cs="宋体" w:eastAsia="宋体" w:hint="default"/>
                <w:sz w:val="18"/>
                <w:szCs w:val="18"/>
              </w:rPr>
              <w:t>合并盈余公积</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12" w:right="0"/>
              <w:jc w:val="left"/>
              <w:rPr>
                <w:rFonts w:ascii="宋体" w:hAnsi="宋体" w:cs="宋体" w:eastAsia="宋体" w:hint="default"/>
                <w:sz w:val="18"/>
                <w:szCs w:val="18"/>
              </w:rPr>
            </w:pPr>
            <w:r>
              <w:rPr>
                <w:rFonts w:ascii="宋体" w:hAnsi="宋体" w:cs="宋体" w:eastAsia="宋体" w:hint="default"/>
                <w:sz w:val="18"/>
                <w:szCs w:val="18"/>
              </w:rPr>
              <w:t>合并其他综合收益</w:t>
            </w:r>
          </w:p>
        </w:tc>
      </w:tr>
      <w:tr>
        <w:trPr>
          <w:trHeight w:val="34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810,019,862.40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122,224,842.91</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52,106,148.01</w:t>
            </w:r>
          </w:p>
        </w:tc>
      </w:tr>
      <w:tr>
        <w:trPr>
          <w:trHeight w:val="65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6"/>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、将可供出售金融资产重分类为其他权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益工具投资</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96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7"/>
              <w:jc w:val="both"/>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、自可供出售金融资产（原准则）重分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类为其他权益工具投资后重新计量的影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响金额</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-15,000.00</w:t>
            </w:r>
          </w:p>
        </w:tc>
      </w:tr>
      <w:tr>
        <w:trPr>
          <w:trHeight w:val="34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、应收款项减值的重新计量</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810,019,862.40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122,224,842.91</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52,091,148.01</w:t>
            </w:r>
          </w:p>
        </w:tc>
      </w:tr>
    </w:tbl>
    <w:p>
      <w:pPr>
        <w:pStyle w:val="BodyText"/>
        <w:spacing w:line="316" w:lineRule="auto" w:before="8"/>
        <w:ind w:right="1034"/>
        <w:jc w:val="left"/>
      </w:pPr>
      <w:r>
        <w:rPr/>
        <w:t>②其他会计政策变更 </w:t>
      </w:r>
      <w:r>
        <w:rPr>
          <w:rFonts w:ascii="宋体" w:hAnsi="宋体" w:cs="宋体" w:eastAsia="宋体" w:hint="default"/>
          <w:spacing w:val="-2"/>
        </w:rPr>
        <w:t>A</w:t>
      </w:r>
      <w:r>
        <w:rPr>
          <w:spacing w:val="-2"/>
        </w:rPr>
        <w:t>、财政部于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30</w:t>
      </w:r>
      <w:r>
        <w:rPr>
          <w:spacing w:val="-2"/>
        </w:rPr>
        <w:t>日发布了《关于修订印发</w:t>
      </w:r>
      <w:r>
        <w:rPr>
          <w:rFonts w:ascii="宋体" w:hAnsi="宋体" w:cs="宋体" w:eastAsia="宋体" w:hint="default"/>
          <w:spacing w:val="-2"/>
        </w:rPr>
        <w:t>2019</w:t>
      </w:r>
      <w:r>
        <w:rPr>
          <w:spacing w:val="-2"/>
        </w:rPr>
        <w:t>年度一般企业财务报表格式的通知》（财会〔</w:t>
      </w:r>
      <w:r>
        <w:rPr>
          <w:rFonts w:ascii="宋体" w:hAnsi="宋体" w:cs="宋体" w:eastAsia="宋体" w:hint="default"/>
          <w:spacing w:val="-2"/>
        </w:rPr>
        <w:t>2019</w:t>
      </w:r>
      <w:r>
        <w:rPr>
          <w:spacing w:val="-2"/>
        </w:rPr>
        <w:t>〕</w:t>
      </w:r>
      <w:r>
        <w:rPr>
          <w:rFonts w:ascii="宋体" w:hAnsi="宋体" w:cs="宋体" w:eastAsia="宋体" w:hint="default"/>
          <w:spacing w:val="-2"/>
        </w:rPr>
        <w:t>6</w:t>
      </w:r>
      <w:r>
        <w:rPr>
          <w:spacing w:val="-2"/>
        </w:rPr>
        <w:t>号）、</w:t>
      </w:r>
      <w:r>
        <w:rPr>
          <w:rFonts w:ascii="宋体" w:hAnsi="宋体" w:cs="宋体" w:eastAsia="宋体" w:hint="default"/>
          <w:spacing w:val="-2"/>
        </w:rPr>
        <w:t>2019</w:t>
      </w:r>
      <w:r>
        <w:rPr>
          <w:spacing w:val="-2"/>
        </w:rPr>
        <w:t>年</w:t>
      </w:r>
      <w:r>
        <w:rPr>
          <w:rFonts w:ascii="宋体" w:hAnsi="宋体" w:cs="宋体" w:eastAsia="宋体" w:hint="default"/>
          <w:spacing w:val="-2"/>
        </w:rPr>
        <w:t>9</w:t>
      </w:r>
      <w:r>
        <w:rPr>
          <w:rFonts w:ascii="宋体" w:hAnsi="宋体" w:cs="宋体" w:eastAsia="宋体" w:hint="default"/>
          <w:spacing w:val="-54"/>
        </w:rPr>
        <w:t> </w:t>
      </w:r>
      <w:r>
        <w:rPr>
          <w:spacing w:val="-2"/>
        </w:rPr>
        <w:t>月</w:t>
      </w:r>
      <w:r>
        <w:rPr>
          <w:rFonts w:ascii="宋体" w:hAnsi="宋体" w:cs="宋体" w:eastAsia="宋体" w:hint="default"/>
          <w:spacing w:val="-2"/>
        </w:rPr>
        <w:t>19</w:t>
      </w:r>
      <w:r>
        <w:rPr>
          <w:spacing w:val="-2"/>
        </w:rPr>
        <w:t>日发布了《关于修订印发合并财务报表格式（</w:t>
      </w:r>
      <w:r>
        <w:rPr>
          <w:rFonts w:ascii="宋体" w:hAnsi="宋体" w:cs="宋体" w:eastAsia="宋体" w:hint="default"/>
          <w:spacing w:val="-2"/>
        </w:rPr>
        <w:t>2019</w:t>
      </w:r>
      <w:r>
        <w:rPr>
          <w:spacing w:val="-2"/>
        </w:rPr>
        <w:t>版）的通知》</w:t>
      </w:r>
      <w:r>
        <w:rPr>
          <w:rFonts w:ascii="宋体" w:hAnsi="宋体" w:cs="宋体" w:eastAsia="宋体" w:hint="default"/>
          <w:spacing w:val="-2"/>
        </w:rPr>
        <w:t>(</w:t>
      </w:r>
      <w:r>
        <w:rPr>
          <w:spacing w:val="-2"/>
        </w:rPr>
        <w:t>财会〔</w:t>
      </w:r>
      <w:r>
        <w:rPr>
          <w:rFonts w:ascii="宋体" w:hAnsi="宋体" w:cs="宋体" w:eastAsia="宋体" w:hint="default"/>
          <w:spacing w:val="-2"/>
        </w:rPr>
        <w:t>2019</w:t>
      </w:r>
      <w:r>
        <w:rPr>
          <w:spacing w:val="-2"/>
        </w:rPr>
        <w:t>〕</w:t>
      </w:r>
      <w:r>
        <w:rPr>
          <w:rFonts w:ascii="宋体" w:hAnsi="宋体" w:cs="宋体" w:eastAsia="宋体" w:hint="default"/>
          <w:spacing w:val="-2"/>
        </w:rPr>
        <w:t>16</w:t>
      </w:r>
      <w:r>
        <w:rPr>
          <w:spacing w:val="-2"/>
        </w:rPr>
        <w:t>号</w:t>
      </w:r>
      <w:r>
        <w:rPr>
          <w:rFonts w:ascii="宋体" w:hAnsi="宋体" w:cs="宋体" w:eastAsia="宋体" w:hint="default"/>
          <w:spacing w:val="-2"/>
        </w:rPr>
        <w:t>)</w:t>
      </w:r>
      <w:r>
        <w:rPr>
          <w:spacing w:val="-2"/>
        </w:rPr>
        <w:t>，对一般企业财务报表和合并财务</w:t>
      </w:r>
      <w:r>
        <w:rPr>
          <w:spacing w:val="-63"/>
        </w:rPr>
        <w:t> </w:t>
      </w:r>
      <w:r>
        <w:rPr>
          <w:spacing w:val="-63"/>
        </w:rPr>
      </w:r>
      <w:r>
        <w:rPr>
          <w:spacing w:val="-2"/>
        </w:rPr>
        <w:t>报表进行了修订，拆分部分资产负债表项目，调整部分利润表项目列报行次。本公司已经根据新的企业财务报表格式的要求</w:t>
      </w:r>
      <w:r>
        <w:rPr>
          <w:spacing w:val="-63"/>
        </w:rPr>
        <w:t> </w:t>
      </w:r>
      <w:r>
        <w:rPr>
          <w:spacing w:val="-63"/>
        </w:rPr>
      </w:r>
      <w:r>
        <w:rPr/>
        <w:t>编制财务报表，财务报表的列报项目因此发生变更的，已经按照《企业会计准则第</w:t>
      </w:r>
      <w:r>
        <w:rPr>
          <w:rFonts w:ascii="宋体" w:hAnsi="宋体" w:cs="宋体" w:eastAsia="宋体" w:hint="default"/>
        </w:rPr>
        <w:t>30</w:t>
      </w:r>
      <w:r>
        <w:rPr/>
        <w:t>号——财务报表列报》等的相关规定， 对可比期间的比较数据进行调整。</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日受影响的合并资产负债表和母公司资产负债表：</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85"/>
        <w:gridCol w:w="1985"/>
        <w:gridCol w:w="1983"/>
        <w:gridCol w:w="1987"/>
        <w:gridCol w:w="1877"/>
      </w:tblGrid>
      <w:tr>
        <w:trPr>
          <w:trHeight w:val="34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合并资产负债表</w:t>
            </w:r>
          </w:p>
        </w:tc>
        <w:tc>
          <w:tcPr>
            <w:tcW w:w="3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207" w:right="0"/>
              <w:jc w:val="left"/>
              <w:rPr>
                <w:rFonts w:ascii="宋体" w:hAnsi="宋体" w:cs="宋体" w:eastAsia="宋体" w:hint="default"/>
                <w:sz w:val="18"/>
                <w:szCs w:val="18"/>
              </w:rPr>
            </w:pPr>
            <w:r>
              <w:rPr>
                <w:rFonts w:ascii="宋体" w:hAnsi="宋体" w:cs="宋体" w:eastAsia="宋体" w:hint="default"/>
                <w:sz w:val="18"/>
                <w:szCs w:val="18"/>
              </w:rPr>
              <w:t>母公司资产负债表</w:t>
            </w:r>
          </w:p>
        </w:tc>
      </w:tr>
      <w:tr>
        <w:trPr>
          <w:trHeight w:val="343" w:hRule="exact"/>
        </w:trPr>
        <w:tc>
          <w:tcPr>
            <w:tcW w:w="1385"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4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11,244,658.81</w:t>
            </w:r>
          </w:p>
        </w:tc>
        <w:tc>
          <w:tcPr>
            <w:tcW w:w="198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10,821,606.81</w:t>
            </w:r>
          </w:p>
        </w:tc>
      </w:tr>
      <w:tr>
        <w:trPr>
          <w:trHeight w:val="34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1,323,138,742.09</w:t>
            </w:r>
          </w:p>
        </w:tc>
        <w:tc>
          <w:tcPr>
            <w:tcW w:w="198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1,305,578,798.62</w:t>
            </w:r>
          </w:p>
        </w:tc>
      </w:tr>
      <w:tr>
        <w:trPr>
          <w:trHeight w:val="65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06"/>
              <w:jc w:val="left"/>
              <w:rPr>
                <w:rFonts w:ascii="宋体" w:hAnsi="宋体" w:cs="宋体" w:eastAsia="宋体" w:hint="default"/>
                <w:sz w:val="18"/>
                <w:szCs w:val="18"/>
              </w:rPr>
            </w:pPr>
            <w:r>
              <w:rPr>
                <w:rFonts w:ascii="宋体" w:hAnsi="宋体" w:cs="宋体" w:eastAsia="宋体" w:hint="default"/>
                <w:sz w:val="18"/>
                <w:szCs w:val="18"/>
              </w:rPr>
              <w:t>应收票据及应收 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1,334,383,400.90</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1,316,400,405.43</w:t>
            </w: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121,789,951.88</w:t>
            </w:r>
          </w:p>
        </w:tc>
        <w:tc>
          <w:tcPr>
            <w:tcW w:w="198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171,714,501.88</w:t>
            </w:r>
          </w:p>
        </w:tc>
      </w:tr>
      <w:tr>
        <w:trPr>
          <w:trHeight w:val="34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876,023,221.48</w:t>
            </w:r>
          </w:p>
        </w:tc>
        <w:tc>
          <w:tcPr>
            <w:tcW w:w="198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890,093,505.87</w:t>
            </w:r>
          </w:p>
        </w:tc>
      </w:tr>
      <w:tr>
        <w:trPr>
          <w:trHeight w:val="65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06"/>
              <w:jc w:val="left"/>
              <w:rPr>
                <w:rFonts w:ascii="宋体" w:hAnsi="宋体" w:cs="宋体" w:eastAsia="宋体" w:hint="default"/>
                <w:sz w:val="18"/>
                <w:szCs w:val="18"/>
              </w:rPr>
            </w:pPr>
            <w:r>
              <w:rPr>
                <w:rFonts w:ascii="宋体" w:hAnsi="宋体" w:cs="宋体" w:eastAsia="宋体" w:hint="default"/>
                <w:sz w:val="18"/>
                <w:szCs w:val="18"/>
              </w:rPr>
              <w:t>应付票据及应付 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997,813,173.36</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1,061,808,007.75</w:t>
            </w:r>
          </w:p>
        </w:tc>
        <w:tc>
          <w:tcPr>
            <w:tcW w:w="187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8"/>
        <w:ind w:right="1034"/>
        <w:jc w:val="left"/>
      </w:pPr>
      <w:r>
        <w:rPr>
          <w:rFonts w:ascii="宋体" w:hAnsi="宋体" w:cs="宋体" w:eastAsia="宋体" w:hint="default"/>
          <w:spacing w:val="-3"/>
        </w:rPr>
        <w:t>B</w:t>
      </w:r>
      <w:r>
        <w:rPr>
          <w:spacing w:val="-3"/>
        </w:rPr>
        <w:t>、</w:t>
      </w:r>
      <w:r>
        <w:rPr>
          <w:rFonts w:ascii="宋体" w:hAnsi="宋体" w:cs="宋体" w:eastAsia="宋体" w:hint="default"/>
          <w:spacing w:val="-3"/>
        </w:rPr>
        <w:t>2019</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9</w:t>
      </w:r>
      <w:r>
        <w:rPr>
          <w:spacing w:val="-3"/>
        </w:rPr>
        <w:t>日，财政部发布《企业会计准则第</w:t>
      </w:r>
      <w:r>
        <w:rPr>
          <w:rFonts w:ascii="宋体" w:hAnsi="宋体" w:cs="宋体" w:eastAsia="宋体" w:hint="default"/>
          <w:spacing w:val="-3"/>
        </w:rPr>
        <w:t>7</w:t>
      </w:r>
      <w:r>
        <w:rPr>
          <w:spacing w:val="-3"/>
        </w:rPr>
        <w:t>号—非货币性资产交换》（财会【</w:t>
      </w:r>
      <w:r>
        <w:rPr>
          <w:rFonts w:ascii="宋体" w:hAnsi="宋体" w:cs="宋体" w:eastAsia="宋体" w:hint="default"/>
          <w:spacing w:val="-3"/>
        </w:rPr>
        <w:t>2019</w:t>
      </w:r>
      <w:r>
        <w:rPr>
          <w:spacing w:val="-3"/>
        </w:rPr>
        <w:t>】</w:t>
      </w:r>
      <w:r>
        <w:rPr>
          <w:rFonts w:ascii="宋体" w:hAnsi="宋体" w:cs="宋体" w:eastAsia="宋体" w:hint="default"/>
          <w:spacing w:val="-3"/>
        </w:rPr>
        <w:t>8</w:t>
      </w:r>
      <w:r>
        <w:rPr>
          <w:spacing w:val="-3"/>
        </w:rPr>
        <w:t>号），根据要求，本公司对</w:t>
      </w:r>
      <w:r>
        <w:rPr>
          <w:rFonts w:ascii="宋体" w:hAnsi="宋体" w:cs="宋体" w:eastAsia="宋体" w:hint="default"/>
          <w:spacing w:val="-3"/>
        </w:rPr>
        <w:t>2019</w:t>
      </w:r>
      <w:r>
        <w:rPr>
          <w:rFonts w:ascii="宋体" w:hAnsi="宋体" w:cs="宋体" w:eastAsia="宋体" w:hint="default"/>
          <w:spacing w:val="-84"/>
        </w:rPr>
        <w:t> </w:t>
      </w:r>
      <w:r>
        <w:rPr>
          <w:rFonts w:ascii="宋体" w:hAnsi="宋体" w:cs="宋体" w:eastAsia="宋体" w:hint="default"/>
          <w:spacing w:val="-84"/>
        </w:rPr>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日至执行日之间发生的非货币性资产交换，根据本准则进行调整，对</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日之前发生的非货币性资产交换，不</w:t>
      </w:r>
      <w:r>
        <w:rPr>
          <w:spacing w:val="-59"/>
        </w:rPr>
        <w:t> </w:t>
      </w:r>
      <w:r>
        <w:rPr>
          <w:spacing w:val="-59"/>
        </w:rPr>
      </w:r>
      <w:r>
        <w:rPr/>
        <w:t>进行追溯调整，本公司于准则公布日起执行本准则。因公司本期未发生与该准则相关的交易事项，对公司本期数据无影响。 本公司自</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w:t>
      </w:r>
      <w:r>
        <w:rPr/>
        <w:t>日起执行本次新准则。 </w:t>
      </w:r>
      <w:r>
        <w:rPr>
          <w:rFonts w:ascii="宋体" w:hAnsi="宋体" w:cs="宋体" w:eastAsia="宋体" w:hint="default"/>
        </w:rPr>
        <w:t>C</w:t>
      </w:r>
      <w:r>
        <w:rPr/>
        <w:t>、</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16</w:t>
      </w:r>
      <w:r>
        <w:rPr/>
        <w:t>日，财政部发布《企业会计准则第</w:t>
      </w:r>
      <w:r>
        <w:rPr>
          <w:rFonts w:ascii="宋体" w:hAnsi="宋体" w:cs="宋体" w:eastAsia="宋体" w:hint="default"/>
        </w:rPr>
        <w:t>12</w:t>
      </w:r>
      <w:r>
        <w:rPr/>
        <w:t>号—债务重组》（财会【</w:t>
      </w:r>
      <w:r>
        <w:rPr>
          <w:rFonts w:ascii="宋体" w:hAnsi="宋体" w:cs="宋体" w:eastAsia="宋体" w:hint="default"/>
        </w:rPr>
        <w:t>2019</w:t>
      </w:r>
      <w:r>
        <w:rPr/>
        <w:t>】</w:t>
      </w:r>
      <w:r>
        <w:rPr>
          <w:rFonts w:ascii="宋体" w:hAnsi="宋体" w:cs="宋体" w:eastAsia="宋体" w:hint="default"/>
        </w:rPr>
        <w:t>9</w:t>
      </w:r>
      <w:r>
        <w:rPr/>
        <w:t>号），根据要求，本公司对</w:t>
      </w:r>
      <w:r>
        <w:rPr>
          <w:rFonts w:ascii="宋体" w:hAnsi="宋体" w:cs="宋体" w:eastAsia="宋体" w:hint="default"/>
        </w:rPr>
        <w:t>2019</w:t>
      </w:r>
      <w:r>
        <w:rPr/>
        <w:t>年</w:t>
      </w:r>
      <w:r>
        <w:rPr>
          <w:rFonts w:ascii="宋体" w:hAnsi="宋体" w:cs="宋体" w:eastAsia="宋体" w:hint="default"/>
        </w:rPr>
        <w:t>1</w:t>
      </w:r>
      <w:r>
        <w:rPr>
          <w:rFonts w:ascii="宋体" w:hAnsi="宋体" w:cs="宋体" w:eastAsia="宋体" w:hint="default"/>
          <w:spacing w:val="-9"/>
        </w:rPr>
        <w:t> </w:t>
      </w:r>
      <w:r>
        <w:rPr/>
        <w:t>月</w:t>
      </w:r>
      <w:r>
        <w:rPr>
          <w:rFonts w:ascii="宋体" w:hAnsi="宋体" w:cs="宋体" w:eastAsia="宋体" w:hint="default"/>
        </w:rPr>
        <w:t>1</w:t>
      </w:r>
      <w:r>
        <w:rPr/>
        <w:t>日至执行日之间发生的债务重组，根据本准则进行调整，对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日之前发生的债务重组，不进行追溯调整，本公</w:t>
      </w:r>
      <w:r>
        <w:rPr>
          <w:spacing w:val="-85"/>
        </w:rPr>
        <w:t> </w:t>
      </w:r>
      <w:r>
        <w:rPr>
          <w:spacing w:val="-85"/>
        </w:rPr>
      </w:r>
      <w:r>
        <w:rPr>
          <w:spacing w:val="-2"/>
        </w:rPr>
        <w:t>司于准则公布日起执行本准则。因公司本期未发生与该准则相关的交易事项，对公司本期数据无影响。本公司自</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w:t>
      </w:r>
      <w:r>
        <w:rPr>
          <w:rFonts w:ascii="宋体" w:hAnsi="宋体" w:cs="宋体" w:eastAsia="宋体" w:hint="default"/>
          <w:spacing w:val="-59"/>
        </w:rPr>
        <w:t> </w:t>
      </w:r>
      <w:r>
        <w:rPr/>
        <w:t>日起执行本次新准则。</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重要会计估计变更" w:id="222"/>
      <w:bookmarkEnd w:id="22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2019年起执行新金融工具准则、新收入准则或新租赁准则调整执行当年年初财务" w:id="223"/>
      <w:bookmarkEnd w:id="223"/>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0" w:lineRule="auto" w:before="44"/>
        <w:ind w:right="-2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413" w:space="7507"/>
            <w:col w:w="201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4"/>
        <w:gridCol w:w="2423"/>
        <w:gridCol w:w="2268"/>
        <w:gridCol w:w="1911"/>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2"/>
              <w:jc w:val="right"/>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679,042,807.14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679,042,807.14</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10"/>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11,244,658.81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884,658.81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5" w:right="0"/>
              <w:jc w:val="left"/>
              <w:rPr>
                <w:rFonts w:ascii="Times New Roman" w:hAnsi="Times New Roman" w:cs="Times New Roman" w:eastAsia="Times New Roman" w:hint="default"/>
                <w:sz w:val="18"/>
                <w:szCs w:val="18"/>
              </w:rPr>
            </w:pPr>
            <w:r>
              <w:rPr>
                <w:rFonts w:ascii="Times New Roman"/>
                <w:sz w:val="18"/>
              </w:rPr>
              <w:t>-10,360,000.00</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1,323,138,742.09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1,323,138,742.09</w:t>
            </w:r>
          </w:p>
        </w:tc>
        <w:tc>
          <w:tcPr>
            <w:tcW w:w="191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54"/>
        <w:gridCol w:w="2423"/>
        <w:gridCol w:w="2268"/>
        <w:gridCol w:w="1911"/>
      </w:tblGrid>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10,360,000.00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183,363,889.45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183,363,889.45</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261,318,822.39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261,318,822.39</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7"/>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1,688,730,482.70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1,688,730,482.70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2,038,806.65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2,038,806.65</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4,148,878,209.23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4,148,878,209.23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423,132,293.76</w:t>
            </w: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-423,132,293.76</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88,428,034.89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88,428,034.89</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613,507,346.20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613,507,346.20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423,117,293.76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423,117,293.76</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274,140,352.36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274,140,352.36</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200,763,828.47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200,763,828.47</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92,500,941.01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92,500,941.01</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27,181,754.90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27,181,754.90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54"/>
        <w:gridCol w:w="2423"/>
        <w:gridCol w:w="2268"/>
        <w:gridCol w:w="1911"/>
      </w:tblGrid>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3,692,719.21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3,692,719.21</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103,908,366.59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103,908,366.59</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102,311,764.59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102,311,764.59</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1,929,567,401.98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1,929,552,401.98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6,078,445,611.21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6,078,430,611.21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1,150,950,000.00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1,150,950,000.00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121,789,951.88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121,789,951.88</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876,023,221.48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876,023,221.48</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165,498,034.72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165,498,034.72</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24,838,628.66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24,838,628.66</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235,015,691.54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235,015,691.54</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215,574,523.23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215,574,523.23</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1,717,650.25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1,717,650.25</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7"/>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2,954,772.00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2,954,772.00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2,789,690,051.51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2,789,690,051.51</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54"/>
        <w:gridCol w:w="2423"/>
        <w:gridCol w:w="2268"/>
        <w:gridCol w:w="1911"/>
      </w:tblGrid>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1,960,000.00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11,025,166.91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11,025,166.91</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12,985,166.91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12,985,166.91</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2,802,675,218.42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2,802,675,218.42</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655,789,086.00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655,789,086.00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1,592,129,636.41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1,592,129,636.41</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52,106,148.01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52,091,148.01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122,224,842.91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122,224,842.91</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810,019,862.40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810,019,862.40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3,232,269,575.73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3,232,254,575.73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43,500,817.06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43,500,817.06</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3,275,770,392.79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3,275,755,392.79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6,078,445,611.21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6,078,430,611.21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357" w:lineRule="auto" w:before="49"/>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93" w:space="7327"/>
            <w:col w:w="201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6"/>
        <w:gridCol w:w="2412"/>
        <w:gridCol w:w="2268"/>
        <w:gridCol w:w="1911"/>
      </w:tblGrid>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54"/>
        <w:gridCol w:w="2423"/>
        <w:gridCol w:w="2268"/>
        <w:gridCol w:w="1911"/>
      </w:tblGrid>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597,191,759.44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597,191,759.44</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10,821,606.81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461,606.81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-10,360,000.00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1,305,578,798.62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1,305,578,798.62</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10,360,000.00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178,231,121.74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178,231,121.74</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665,913,614.36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665,913,614.36</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7"/>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1,630,017,674.92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1,630,017,674.92</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452,205.58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452,205.58</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4,388,206,781.47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4,388,206,781.47</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325,697,350.60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325,697,350.60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-325,697,350.60</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72,858,496.72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72,858,496.72</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926,659,541.03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926,659,541.03</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325,697,350.60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325,697,350.60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275,004,689.18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275,004,689.18</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191,142,909.40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191,142,909.40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86,084,403.64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86,084,403.64</w:t>
            </w:r>
          </w:p>
        </w:tc>
        <w:tc>
          <w:tcPr>
            <w:tcW w:w="19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54"/>
        <w:gridCol w:w="2423"/>
        <w:gridCol w:w="2268"/>
        <w:gridCol w:w="1911"/>
      </w:tblGrid>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23,186,845.43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23,186,845.43</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319,995.55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319,995.55</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101,221,392.57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101,221,392.57</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15,238,095.24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15,238,095.24</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2,017,413,719.36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2,017,413,719.36</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6,405,620,500.83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6,405,620,500.83</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1,100,000,000.00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171,714,501.88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171,714,501.88</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890,093,505.87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890,093,505.87</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137,136,636.41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137,136,636.41</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14,557,960.04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14,557,960.04</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225,959,423.93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225,959,423.93</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517,055,483.14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517,055,483.14</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1,717,650.25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1,717,650.25</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7"/>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2,954,772.00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2,954,772.00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3,056,517,511.27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3,056,517,511.27</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54"/>
        <w:gridCol w:w="2423"/>
        <w:gridCol w:w="2268"/>
        <w:gridCol w:w="1911"/>
      </w:tblGrid>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9,195,202.59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9,195,202.59</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10,995,202.59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10,995,202.59</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3,067,512,713.86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3,067,512,713.86</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655,789,086.00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655,789,086.00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1,592,168,577.57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1,592,168,577.57</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52,106,148.01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52,106,148.01</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122,224,842.91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122,224,842.91</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915,819,132.48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915,819,132.48</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3,338,107,786.97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3,338,107,786.97</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6,405,620,500.83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6,405,620,500.83</w:t>
            </w:r>
          </w:p>
        </w:tc>
        <w:tc>
          <w:tcPr>
            <w:tcW w:w="191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调整情况说明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2019年起执行新金融工具准则或新租赁准则追溯调整前期比较数据说明" w:id="224"/>
      <w:bookmarkEnd w:id="224"/>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2"/>
        <w:rPr>
          <w:rFonts w:ascii="宋体" w:hAnsi="宋体" w:cs="宋体" w:eastAsia="宋体" w:hint="default"/>
          <w:sz w:val="26"/>
          <w:szCs w:val="26"/>
        </w:rPr>
      </w:pPr>
    </w:p>
    <w:p>
      <w:pPr>
        <w:spacing w:line="487" w:lineRule="auto" w:before="0"/>
        <w:ind w:left="152" w:right="8968" w:firstLine="0"/>
        <w:jc w:val="left"/>
        <w:rPr>
          <w:rFonts w:ascii="宋体" w:hAnsi="宋体" w:cs="宋体" w:eastAsia="宋体" w:hint="default"/>
          <w:sz w:val="21"/>
          <w:szCs w:val="21"/>
        </w:rPr>
      </w:pPr>
      <w:r>
        <w:rPr/>
        <w:pict>
          <v:group style="position:absolute;margin-left:426.670013pt;margin-top:113.213661pt;width:111.75pt;height:17.650pt;mso-position-horizontal-relative:page;mso-position-vertical-relative:paragraph;z-index:-1185592" coordorigin="8533,2264" coordsize="2235,353">
            <v:group style="position:absolute;left:8533;top:2264;width:2144;height:353" coordorigin="8533,2264" coordsize="2144,353">
              <v:shape style="position:absolute;left:8533;top:2264;width:2144;height:353" coordorigin="8533,2264" coordsize="2144,353" path="m8533,2617l10677,2617,10677,2264,8533,2264,8533,2617xe" filled="true" fillcolor="#ffffff" stroked="false">
                <v:path arrowok="t"/>
                <v:fill type="solid"/>
              </v:shape>
              <v:shape style="position:absolute;left:10588;top:236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bookmarkStart w:name="45、其他" w:id="225"/>
      <w:bookmarkEnd w:id="225"/>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六、税项" w:id="226"/>
      <w:bookmarkEnd w:id="226"/>
      <w:r>
        <w:rPr>
          <w:rFonts w:ascii="宋体" w:hAnsi="宋体" w:cs="宋体" w:eastAsia="宋体" w:hint="default"/>
          <w:b/>
          <w:bCs/>
          <w:w w:val="100"/>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27"/>
      <w:bookmarkEnd w:id="22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1973"/>
        <w:gridCol w:w="5387"/>
        <w:gridCol w:w="2199"/>
      </w:tblGrid>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税种</w:t>
            </w:r>
          </w:p>
        </w:tc>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1973" w:type="dxa"/>
            <w:tcBorders>
              <w:top w:val="single" w:sz="4" w:space="0" w:color="000000"/>
              <w:left w:val="single" w:sz="4" w:space="0" w:color="000000"/>
              <w:bottom w:val="nil" w:sz="6" w:space="0" w:color="auto"/>
              <w:right w:val="single" w:sz="4" w:space="0" w:color="000000"/>
            </w:tcBorders>
            <w:shd w:val="clear" w:color="auto" w:fill="D2D2D2"/>
          </w:tcPr>
          <w:p>
            <w:pPr/>
          </w:p>
        </w:tc>
        <w:tc>
          <w:tcPr>
            <w:tcW w:w="5387" w:type="dxa"/>
            <w:vMerge w:val="restart"/>
            <w:tcBorders>
              <w:top w:val="single" w:sz="4" w:space="0" w:color="000000"/>
              <w:left w:val="single" w:sz="9" w:space="0" w:color="D2D2D2"/>
              <w:right w:val="single" w:sz="13" w:space="0" w:color="FFFFFF"/>
            </w:tcBorders>
          </w:tcPr>
          <w:p>
            <w:pPr>
              <w:pStyle w:val="TableParagraph"/>
              <w:spacing w:line="300" w:lineRule="auto" w:before="49"/>
              <w:ind w:left="18" w:right="-46"/>
              <w:jc w:val="left"/>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16%</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13%</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9%</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的税率计算销项税，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并按扣除当期允许抵扣的进项税额后的差额计缴增值税。详见注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199" w:type="dxa"/>
            <w:vMerge w:val="restart"/>
            <w:tcBorders>
              <w:top w:val="single" w:sz="4" w:space="0" w:color="000000"/>
              <w:left w:val="single" w:sz="13" w:space="0" w:color="FFFFFF"/>
              <w:right w:val="nil" w:sz="6" w:space="0" w:color="auto"/>
            </w:tcBorders>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9"/>
                <w:sz w:val="18"/>
                <w:szCs w:val="18"/>
              </w:rPr>
              <w:t>16%</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13%</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10%</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9%</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6%</w:t>
            </w:r>
            <w:r>
              <w:rPr>
                <w:rFonts w:ascii="Times New Roman" w:hAnsi="Times New Roman" w:cs="Times New Roman" w:eastAsia="Times New Roman" w:hint="default"/>
                <w:sz w:val="18"/>
                <w:szCs w:val="18"/>
              </w:rPr>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1" w:hRule="exact"/>
        </w:trPr>
        <w:tc>
          <w:tcPr>
            <w:tcW w:w="19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387" w:type="dxa"/>
            <w:vMerge/>
            <w:tcBorders>
              <w:left w:val="single" w:sz="9" w:space="0" w:color="D2D2D2"/>
              <w:right w:val="single" w:sz="13" w:space="0" w:color="FFFFFF"/>
            </w:tcBorders>
          </w:tcPr>
          <w:p>
            <w:pPr/>
          </w:p>
        </w:tc>
        <w:tc>
          <w:tcPr>
            <w:tcW w:w="2199" w:type="dxa"/>
            <w:vMerge/>
            <w:tcBorders>
              <w:left w:val="single" w:sz="13" w:space="0" w:color="FFFFFF"/>
              <w:right w:val="nil" w:sz="6" w:space="0" w:color="auto"/>
            </w:tcBorders>
          </w:tcPr>
          <w:p>
            <w:pPr/>
          </w:p>
        </w:tc>
      </w:tr>
      <w:tr>
        <w:trPr>
          <w:trHeight w:val="161" w:hRule="exact"/>
        </w:trPr>
        <w:tc>
          <w:tcPr>
            <w:tcW w:w="1973" w:type="dxa"/>
            <w:tcBorders>
              <w:top w:val="nil" w:sz="6" w:space="0" w:color="auto"/>
              <w:left w:val="single" w:sz="4" w:space="0" w:color="000000"/>
              <w:bottom w:val="single" w:sz="4" w:space="0" w:color="000000"/>
              <w:right w:val="single" w:sz="4" w:space="0" w:color="000000"/>
            </w:tcBorders>
            <w:shd w:val="clear" w:color="auto" w:fill="D2D2D2"/>
          </w:tcPr>
          <w:p>
            <w:pPr/>
          </w:p>
        </w:tc>
        <w:tc>
          <w:tcPr>
            <w:tcW w:w="5387" w:type="dxa"/>
            <w:vMerge/>
            <w:tcBorders>
              <w:left w:val="single" w:sz="9" w:space="0" w:color="D2D2D2"/>
              <w:bottom w:val="single" w:sz="4" w:space="0" w:color="000000"/>
              <w:right w:val="single" w:sz="13" w:space="0" w:color="FFFFFF"/>
            </w:tcBorders>
          </w:tcPr>
          <w:p>
            <w:pPr/>
          </w:p>
        </w:tc>
        <w:tc>
          <w:tcPr>
            <w:tcW w:w="2199" w:type="dxa"/>
            <w:vMerge/>
            <w:tcBorders>
              <w:left w:val="single" w:sz="13" w:space="0" w:color="FFFFFF"/>
              <w:bottom w:val="single" w:sz="4" w:space="0" w:color="000000"/>
              <w:right w:val="nil" w:sz="6" w:space="0" w:color="auto"/>
            </w:tcBorders>
          </w:tcPr>
          <w:p>
            <w:pP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3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3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计缴，核定征收。详见注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按房产原值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计缴和按租金收入的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985"/>
        <w:gridCol w:w="5387"/>
        <w:gridCol w:w="2199"/>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按应缴纳的流转税的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按应缴纳的流转税的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357" w:lineRule="auto" w:before="49"/>
        <w:ind w:right="6614"/>
        <w:jc w:val="left"/>
      </w:pPr>
      <w:r>
        <w:rPr/>
        <w:t>存在不同企业所得税税率纳税主体的，披露情况说明 无</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bookmarkStart w:name="2、税收优惠" w:id="228"/>
      <w:bookmarkEnd w:id="22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1"/>
        <w:jc w:val="left"/>
      </w:pPr>
      <w:r>
        <w:rPr/>
        <w:t>本公司于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13</w:t>
      </w:r>
      <w:r>
        <w:rPr/>
        <w:t>日经浙江省科学技术厅、浙江省财政局、浙江省国家税务局、浙江省地方税务局认证，取得编号为</w:t>
      </w:r>
      <w:r>
        <w:rPr>
          <w:spacing w:val="-14"/>
        </w:rPr>
        <w:t> </w:t>
      </w:r>
      <w:r>
        <w:rPr>
          <w:spacing w:val="-14"/>
        </w:rPr>
      </w:r>
      <w:r>
        <w:rPr>
          <w:rFonts w:ascii="宋体" w:hAnsi="宋体" w:cs="宋体" w:eastAsia="宋体" w:hint="default"/>
        </w:rPr>
        <w:t>GR201733000671</w:t>
      </w:r>
      <w:r>
        <w:rPr/>
        <w:t>的《高新技术企业证书》，高新技术企业证书有效期为</w:t>
      </w:r>
      <w:r>
        <w:rPr>
          <w:rFonts w:ascii="宋体" w:hAnsi="宋体" w:cs="宋体" w:eastAsia="宋体" w:hint="default"/>
        </w:rPr>
        <w:t>3</w:t>
      </w:r>
      <w:r>
        <w:rPr/>
        <w:t>年，有效期内适用</w:t>
      </w:r>
      <w:r>
        <w:rPr>
          <w:rFonts w:ascii="宋体" w:hAnsi="宋体" w:cs="宋体" w:eastAsia="宋体" w:hint="default"/>
        </w:rPr>
        <w:t>15%</w:t>
      </w:r>
      <w:r>
        <w:rPr/>
        <w:t>的企业所得税税率。 </w:t>
      </w:r>
      <w:r>
        <w:rPr>
          <w:spacing w:val="-2"/>
        </w:rPr>
        <w:t>子公司浙江银江智慧交通集团有限公司于年</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13</w:t>
      </w:r>
      <w:r>
        <w:rPr>
          <w:spacing w:val="-2"/>
        </w:rPr>
        <w:t>日经浙江省科学技术厅、浙江省财政局、浙江省国家税务局、浙江</w:t>
      </w:r>
      <w:r>
        <w:rPr>
          <w:spacing w:val="-60"/>
        </w:rPr>
        <w:t> </w:t>
      </w:r>
      <w:r>
        <w:rPr>
          <w:spacing w:val="-60"/>
        </w:rPr>
      </w:r>
      <w:r>
        <w:rPr/>
        <w:t>省地方税务局认证，取得编号为</w:t>
      </w:r>
      <w:r>
        <w:rPr>
          <w:rFonts w:ascii="宋体" w:hAnsi="宋体" w:cs="宋体" w:eastAsia="宋体" w:hint="default"/>
        </w:rPr>
        <w:t>GR201733003499</w:t>
      </w:r>
      <w:r>
        <w:rPr/>
        <w:t>的《高新技术企业证书》，高新技术企业证书有效期为</w:t>
      </w:r>
      <w:r>
        <w:rPr>
          <w:rFonts w:ascii="宋体" w:hAnsi="宋体" w:cs="宋体" w:eastAsia="宋体" w:hint="default"/>
        </w:rPr>
        <w:t>3</w:t>
      </w:r>
      <w:r>
        <w:rPr/>
        <w:t>年，有效期内适用</w:t>
      </w:r>
      <w:r>
        <w:rPr>
          <w:spacing w:val="-85"/>
        </w:rPr>
        <w:t> </w:t>
      </w:r>
      <w:r>
        <w:rPr>
          <w:spacing w:val="-85"/>
        </w:rPr>
      </w:r>
      <w:r>
        <w:rPr>
          <w:rFonts w:ascii="宋体" w:hAnsi="宋体" w:cs="宋体" w:eastAsia="宋体" w:hint="default"/>
        </w:rPr>
        <w:t>15%</w:t>
      </w:r>
      <w:r>
        <w:rPr/>
        <w:t>的企业所得税税率。</w:t>
      </w:r>
      <w:r>
        <w:rPr>
          <w:spacing w:val="-87"/>
        </w:rPr>
        <w:t> </w:t>
      </w:r>
      <w:r>
        <w:rPr>
          <w:spacing w:val="-2"/>
        </w:rPr>
        <w:t>子公司浙江银江交通技术有限公司于</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13</w:t>
      </w:r>
      <w:r>
        <w:rPr>
          <w:spacing w:val="-2"/>
        </w:rPr>
        <w:t>日经浙江省科学技术厅、浙江省财政厅、浙江省国家税务局、浙江省地方</w:t>
      </w:r>
      <w:r>
        <w:rPr>
          <w:spacing w:val="-61"/>
        </w:rPr>
        <w:t> </w:t>
      </w:r>
      <w:r>
        <w:rPr>
          <w:spacing w:val="-61"/>
        </w:rPr>
      </w:r>
      <w:r>
        <w:rPr>
          <w:spacing w:val="-2"/>
        </w:rPr>
        <w:t>税务局认证，取得编号为</w:t>
      </w:r>
      <w:r>
        <w:rPr>
          <w:rFonts w:ascii="宋体" w:hAnsi="宋体" w:cs="宋体" w:eastAsia="宋体" w:hint="default"/>
          <w:spacing w:val="-2"/>
        </w:rPr>
        <w:t>GR201733000250</w:t>
      </w:r>
      <w:r>
        <w:rPr>
          <w:spacing w:val="-2"/>
        </w:rPr>
        <w:t>的《高新技术企业证书》，高新技术企业证书有效期为</w:t>
      </w:r>
      <w:r>
        <w:rPr>
          <w:rFonts w:ascii="宋体" w:hAnsi="宋体" w:cs="宋体" w:eastAsia="宋体" w:hint="default"/>
          <w:spacing w:val="-2"/>
        </w:rPr>
        <w:t>3</w:t>
      </w:r>
      <w:r>
        <w:rPr>
          <w:spacing w:val="-2"/>
        </w:rPr>
        <w:t>年，有效期内适用</w:t>
      </w:r>
      <w:r>
        <w:rPr>
          <w:rFonts w:ascii="宋体" w:hAnsi="宋体" w:cs="宋体" w:eastAsia="宋体" w:hint="default"/>
          <w:spacing w:val="-2"/>
        </w:rPr>
        <w:t>15%</w:t>
      </w:r>
      <w:r>
        <w:rPr>
          <w:spacing w:val="-2"/>
        </w:rPr>
        <w:t>的企</w:t>
      </w:r>
      <w:r>
        <w:rPr>
          <w:spacing w:val="-56"/>
        </w:rPr>
        <w:t> </w:t>
      </w:r>
      <w:r>
        <w:rPr/>
        <w:t>业所得税税率。</w:t>
      </w:r>
      <w:r>
        <w:rPr/>
        <w:t> </w:t>
      </w:r>
      <w:r>
        <w:rPr>
          <w:spacing w:val="-2"/>
        </w:rPr>
        <w:t>子公司西安银江智慧城市技术有限公司于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04</w:t>
      </w:r>
      <w:r>
        <w:rPr>
          <w:spacing w:val="-2"/>
        </w:rPr>
        <w:t>日经陕西省科学技术厅、陕西省财政局、陕西省国家税务局、陕西省</w:t>
      </w:r>
      <w:r>
        <w:rPr>
          <w:spacing w:val="-61"/>
        </w:rPr>
        <w:t> </w:t>
      </w:r>
      <w:r>
        <w:rPr>
          <w:spacing w:val="-61"/>
        </w:rPr>
      </w:r>
      <w:r>
        <w:rPr>
          <w:spacing w:val="-2"/>
        </w:rPr>
        <w:t>地方税务局认证，取得编号为</w:t>
      </w:r>
      <w:r>
        <w:rPr>
          <w:rFonts w:ascii="宋体" w:hAnsi="宋体" w:cs="宋体" w:eastAsia="宋体" w:hint="default"/>
          <w:spacing w:val="-2"/>
        </w:rPr>
        <w:t>GR201761000755</w:t>
      </w:r>
      <w:r>
        <w:rPr>
          <w:spacing w:val="-2"/>
        </w:rPr>
        <w:t>的《高新技术企业证书》，高新技术企业证书有效期为</w:t>
      </w:r>
      <w:r>
        <w:rPr>
          <w:rFonts w:ascii="宋体" w:hAnsi="宋体" w:cs="宋体" w:eastAsia="宋体" w:hint="default"/>
          <w:spacing w:val="-2"/>
        </w:rPr>
        <w:t>3</w:t>
      </w:r>
      <w:r>
        <w:rPr>
          <w:spacing w:val="-2"/>
        </w:rPr>
        <w:t>年，有效期内适用</w:t>
      </w:r>
      <w:r>
        <w:rPr>
          <w:rFonts w:ascii="宋体" w:hAnsi="宋体" w:cs="宋体" w:eastAsia="宋体" w:hint="default"/>
          <w:spacing w:val="-2"/>
        </w:rPr>
        <w:t>15%</w:t>
      </w:r>
      <w:r>
        <w:rPr>
          <w:rFonts w:ascii="宋体" w:hAnsi="宋体" w:cs="宋体" w:eastAsia="宋体" w:hint="default"/>
          <w:spacing w:val="-52"/>
        </w:rPr>
        <w:t> </w:t>
      </w:r>
      <w:r>
        <w:rPr>
          <w:rFonts w:ascii="宋体" w:hAnsi="宋体" w:cs="宋体" w:eastAsia="宋体" w:hint="default"/>
          <w:spacing w:val="-52"/>
        </w:rPr>
      </w:r>
      <w:r>
        <w:rPr/>
        <w:t>的企业所得税税率。 </w:t>
      </w:r>
      <w:r>
        <w:rPr>
          <w:spacing w:val="-3"/>
        </w:rPr>
        <w:t>子公司健康宝互联网技术有限公司于</w:t>
      </w:r>
      <w:r>
        <w:rPr>
          <w:rFonts w:ascii="宋体" w:hAnsi="宋体" w:cs="宋体" w:eastAsia="宋体" w:hint="default"/>
          <w:spacing w:val="-3"/>
        </w:rPr>
        <w:t>2018</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30</w:t>
      </w:r>
      <w:r>
        <w:rPr>
          <w:spacing w:val="-3"/>
        </w:rPr>
        <w:t>日经浙江省科学技术厅、浙江省财政局、国家税务总局浙江省税务局认证，</w:t>
      </w:r>
      <w:r>
        <w:rPr/>
        <w:t> </w:t>
      </w:r>
      <w:r>
        <w:rPr>
          <w:spacing w:val="-3"/>
        </w:rPr>
        <w:t>取得编号为</w:t>
      </w:r>
      <w:r>
        <w:rPr>
          <w:rFonts w:ascii="宋体" w:hAnsi="宋体" w:cs="宋体" w:eastAsia="宋体" w:hint="default"/>
          <w:spacing w:val="-3"/>
        </w:rPr>
        <w:t>GR201833001816</w:t>
      </w:r>
      <w:r>
        <w:rPr>
          <w:spacing w:val="-3"/>
        </w:rPr>
        <w:t>的《高新技术企业证书》，高新技术企业证书有效期为</w:t>
      </w:r>
      <w:r>
        <w:rPr>
          <w:rFonts w:ascii="宋体" w:hAnsi="宋体" w:cs="宋体" w:eastAsia="宋体" w:hint="default"/>
          <w:spacing w:val="-3"/>
        </w:rPr>
        <w:t>3</w:t>
      </w:r>
      <w:r>
        <w:rPr>
          <w:spacing w:val="-3"/>
        </w:rPr>
        <w:t>年，有效期内适用</w:t>
      </w:r>
      <w:r>
        <w:rPr>
          <w:rFonts w:ascii="宋体" w:hAnsi="宋体" w:cs="宋体" w:eastAsia="宋体" w:hint="default"/>
          <w:spacing w:val="-3"/>
        </w:rPr>
        <w:t>15%</w:t>
      </w:r>
      <w:r>
        <w:rPr>
          <w:spacing w:val="-3"/>
        </w:rPr>
        <w:t>的企业所得税税率。</w:t>
      </w:r>
      <w:r>
        <w:rPr>
          <w:spacing w:val="-79"/>
        </w:rPr>
        <w:t> </w:t>
      </w:r>
      <w:r>
        <w:rPr>
          <w:spacing w:val="-79"/>
        </w:rPr>
      </w:r>
      <w:r>
        <w:rPr/>
        <w:t>子公司江西银江智慧城市信息技术有限公司于年</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4</w:t>
      </w:r>
      <w:r>
        <w:rPr/>
        <w:t>日经江西省科学技术厅、江西省财政厅、国家税务总局江西省</w:t>
      </w:r>
      <w:r>
        <w:rPr>
          <w:spacing w:val="-85"/>
        </w:rPr>
        <w:t> </w:t>
      </w:r>
      <w:r>
        <w:rPr>
          <w:spacing w:val="-85"/>
        </w:rPr>
      </w:r>
      <w:r>
        <w:rPr/>
        <w:t>税务局认证，取得编号为</w:t>
      </w:r>
      <w:r>
        <w:rPr>
          <w:rFonts w:ascii="宋体" w:hAnsi="宋体" w:cs="宋体" w:eastAsia="宋体" w:hint="default"/>
        </w:rPr>
        <w:t>GR201836001310</w:t>
      </w:r>
      <w:r>
        <w:rPr/>
        <w:t>的《高新技术企业证书》，高新技术企业证书有效期为</w:t>
      </w:r>
      <w:r>
        <w:rPr>
          <w:rFonts w:ascii="宋体" w:hAnsi="宋体" w:cs="宋体" w:eastAsia="宋体" w:hint="default"/>
        </w:rPr>
        <w:t>3</w:t>
      </w:r>
      <w:r>
        <w:rPr/>
        <w:t>年，有效期限内适用</w:t>
      </w:r>
      <w:r>
        <w:rPr>
          <w:rFonts w:ascii="宋体" w:hAnsi="宋体" w:cs="宋体" w:eastAsia="宋体" w:hint="default"/>
        </w:rPr>
        <w:t>15%</w:t>
      </w:r>
      <w:r>
        <w:rPr>
          <w:rFonts w:ascii="宋体" w:hAnsi="宋体" w:cs="宋体" w:eastAsia="宋体" w:hint="default"/>
          <w:spacing w:val="-11"/>
        </w:rPr>
        <w:t> </w:t>
      </w:r>
      <w:r>
        <w:rPr>
          <w:rFonts w:ascii="宋体" w:hAnsi="宋体" w:cs="宋体" w:eastAsia="宋体" w:hint="default"/>
          <w:spacing w:val="-11"/>
        </w:rPr>
      </w:r>
      <w:r>
        <w:rPr/>
        <w:t>的企业所得税税率。 </w:t>
      </w:r>
      <w:r>
        <w:rPr>
          <w:spacing w:val="-2"/>
        </w:rPr>
        <w:t>子公司杭州银江智慧城市技术集团有限公司于</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04</w:t>
      </w:r>
      <w:r>
        <w:rPr>
          <w:spacing w:val="-2"/>
        </w:rPr>
        <w:t>日经浙江省科学技术厅、浙江省财政厅、国家税务总局浙江省税</w:t>
      </w:r>
      <w:r>
        <w:rPr>
          <w:spacing w:val="-59"/>
        </w:rPr>
        <w:t> </w:t>
      </w:r>
      <w:r>
        <w:rPr>
          <w:spacing w:val="-59"/>
        </w:rPr>
      </w:r>
      <w:r>
        <w:rPr>
          <w:spacing w:val="-2"/>
        </w:rPr>
        <w:t>务局认证，取得编号为</w:t>
      </w:r>
      <w:r>
        <w:rPr>
          <w:rFonts w:ascii="宋体" w:hAnsi="宋体" w:cs="宋体" w:eastAsia="宋体" w:hint="default"/>
          <w:spacing w:val="-2"/>
        </w:rPr>
        <w:t>GR201933002955</w:t>
      </w:r>
      <w:r>
        <w:rPr>
          <w:spacing w:val="-2"/>
        </w:rPr>
        <w:t>的《高新技术企业证书》，高新技术企业证书有效期为</w:t>
      </w:r>
      <w:r>
        <w:rPr>
          <w:rFonts w:ascii="宋体" w:hAnsi="宋体" w:cs="宋体" w:eastAsia="宋体" w:hint="default"/>
          <w:spacing w:val="-2"/>
        </w:rPr>
        <w:t>3</w:t>
      </w:r>
      <w:r>
        <w:rPr>
          <w:spacing w:val="-2"/>
        </w:rPr>
        <w:t>年，有效期内适用</w:t>
      </w:r>
      <w:r>
        <w:rPr>
          <w:rFonts w:ascii="宋体" w:hAnsi="宋体" w:cs="宋体" w:eastAsia="宋体" w:hint="default"/>
          <w:spacing w:val="-2"/>
        </w:rPr>
        <w:t>15%</w:t>
      </w:r>
      <w:r>
        <w:rPr>
          <w:spacing w:val="-2"/>
        </w:rPr>
        <w:t>的企业</w:t>
      </w:r>
      <w:r>
        <w:rPr>
          <w:spacing w:val="-53"/>
        </w:rPr>
        <w:t> </w:t>
      </w:r>
      <w:r>
        <w:rPr>
          <w:spacing w:val="-53"/>
        </w:rPr>
      </w:r>
      <w:r>
        <w:rPr/>
        <w:t>所得税税率。 子公司浙江银江研究院有限公司于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30</w:t>
      </w:r>
      <w:r>
        <w:rPr/>
        <w:t>日经浙江省科学技术厅、浙江省财政厅、国家税务总局浙江省税务局认证， </w:t>
      </w:r>
      <w:r>
        <w:rPr>
          <w:spacing w:val="-3"/>
        </w:rPr>
        <w:t>取得编号为</w:t>
      </w:r>
      <w:r>
        <w:rPr>
          <w:rFonts w:ascii="宋体" w:hAnsi="宋体" w:cs="宋体" w:eastAsia="宋体" w:hint="default"/>
          <w:spacing w:val="-3"/>
        </w:rPr>
        <w:t>GR201833003050</w:t>
      </w:r>
      <w:r>
        <w:rPr>
          <w:spacing w:val="-3"/>
        </w:rPr>
        <w:t>的《高新技术企业证书》，高新技术企业证书有效期为</w:t>
      </w:r>
      <w:r>
        <w:rPr>
          <w:rFonts w:ascii="宋体" w:hAnsi="宋体" w:cs="宋体" w:eastAsia="宋体" w:hint="default"/>
          <w:spacing w:val="-3"/>
        </w:rPr>
        <w:t>3</w:t>
      </w:r>
      <w:r>
        <w:rPr>
          <w:spacing w:val="-3"/>
        </w:rPr>
        <w:t>年，有效期内适用</w:t>
      </w:r>
      <w:r>
        <w:rPr>
          <w:rFonts w:ascii="宋体" w:hAnsi="宋体" w:cs="宋体" w:eastAsia="宋体" w:hint="default"/>
          <w:spacing w:val="-3"/>
        </w:rPr>
        <w:t>15%</w:t>
      </w:r>
      <w:r>
        <w:rPr>
          <w:spacing w:val="-3"/>
        </w:rPr>
        <w:t>的企业所得税税率。</w:t>
      </w:r>
      <w:r>
        <w:rPr>
          <w:spacing w:val="-78"/>
        </w:rPr>
        <w:t> </w:t>
      </w:r>
      <w:r>
        <w:rPr>
          <w:spacing w:val="-78"/>
        </w:rPr>
      </w:r>
      <w:r>
        <w:rPr/>
        <w:t>子企业沈阳智享大健康信息科技有限公司于</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22</w:t>
      </w:r>
      <w:r>
        <w:rPr/>
        <w:t>日经辽宁省科学技术厅、辽宁省财政局、国家税务总局辽宁省税务</w:t>
      </w:r>
      <w:r>
        <w:rPr>
          <w:spacing w:val="-85"/>
        </w:rPr>
        <w:t> </w:t>
      </w:r>
      <w:r>
        <w:rPr>
          <w:spacing w:val="-85"/>
        </w:rPr>
      </w:r>
      <w:r>
        <w:rPr>
          <w:spacing w:val="-2"/>
        </w:rPr>
        <w:t>局认证，取得编号为</w:t>
      </w:r>
      <w:r>
        <w:rPr>
          <w:rFonts w:ascii="宋体" w:hAnsi="宋体" w:cs="宋体" w:eastAsia="宋体" w:hint="default"/>
          <w:spacing w:val="-2"/>
        </w:rPr>
        <w:t>GR201921000072</w:t>
      </w:r>
      <w:r>
        <w:rPr>
          <w:spacing w:val="-2"/>
        </w:rPr>
        <w:t>号《高新技术企业证书》，高新技术企业证书有效期</w:t>
      </w:r>
      <w:r>
        <w:rPr>
          <w:rFonts w:ascii="宋体" w:hAnsi="宋体" w:cs="宋体" w:eastAsia="宋体" w:hint="default"/>
          <w:spacing w:val="-2"/>
        </w:rPr>
        <w:t>3</w:t>
      </w:r>
      <w:r>
        <w:rPr>
          <w:spacing w:val="-2"/>
        </w:rPr>
        <w:t>年，有效期内适用</w:t>
      </w:r>
      <w:r>
        <w:rPr>
          <w:rFonts w:ascii="宋体" w:hAnsi="宋体" w:cs="宋体" w:eastAsia="宋体" w:hint="default"/>
          <w:spacing w:val="-2"/>
        </w:rPr>
        <w:t>15%</w:t>
      </w:r>
      <w:r>
        <w:rPr>
          <w:spacing w:val="-2"/>
        </w:rPr>
        <w:t>的企业所得</w:t>
      </w:r>
      <w:r>
        <w:rPr>
          <w:spacing w:val="-48"/>
        </w:rPr>
        <w:t> </w:t>
      </w:r>
      <w:r>
        <w:rPr/>
        <w:t>税税率。 </w:t>
      </w:r>
      <w:r>
        <w:rPr>
          <w:spacing w:val="-2"/>
        </w:rPr>
        <w:t>根据《关于实施小微企业普惠性税收减免政策的通知》（财税〔</w:t>
      </w:r>
      <w:r>
        <w:rPr>
          <w:rFonts w:ascii="宋体" w:hAnsi="宋体" w:cs="宋体" w:eastAsia="宋体" w:hint="default"/>
          <w:spacing w:val="-2"/>
        </w:rPr>
        <w:t>2019</w:t>
      </w:r>
      <w:r>
        <w:rPr>
          <w:spacing w:val="-2"/>
        </w:rPr>
        <w:t>〕</w:t>
      </w:r>
      <w:r>
        <w:rPr>
          <w:rFonts w:ascii="宋体" w:hAnsi="宋体" w:cs="宋体" w:eastAsia="宋体" w:hint="default"/>
          <w:spacing w:val="-2"/>
        </w:rPr>
        <w:t>13</w:t>
      </w:r>
      <w:r>
        <w:rPr>
          <w:spacing w:val="-2"/>
        </w:rPr>
        <w:t>号）之规定：对月销售额</w:t>
      </w:r>
      <w:r>
        <w:rPr>
          <w:rFonts w:ascii="宋体" w:hAnsi="宋体" w:cs="宋体" w:eastAsia="宋体" w:hint="default"/>
          <w:spacing w:val="-2"/>
        </w:rPr>
        <w:t>10</w:t>
      </w:r>
      <w:r>
        <w:rPr>
          <w:spacing w:val="-2"/>
        </w:rPr>
        <w:t>万元以下（含本数）的</w:t>
      </w:r>
      <w:r>
        <w:rPr>
          <w:spacing w:val="-66"/>
        </w:rPr>
        <w:t> </w:t>
      </w:r>
      <w:r>
        <w:rPr>
          <w:spacing w:val="-66"/>
        </w:rPr>
      </w:r>
      <w:r>
        <w:rPr>
          <w:spacing w:val="-2"/>
        </w:rPr>
        <w:t>增值税小规模纳税人，免征增值税；对小型微利企业年应纳税所得额不超过</w:t>
      </w:r>
      <w:r>
        <w:rPr>
          <w:rFonts w:ascii="宋体" w:hAnsi="宋体" w:cs="宋体" w:eastAsia="宋体" w:hint="default"/>
          <w:spacing w:val="-2"/>
        </w:rPr>
        <w:t>100</w:t>
      </w:r>
      <w:r>
        <w:rPr>
          <w:spacing w:val="-2"/>
        </w:rPr>
        <w:t>万元的部分，减按</w:t>
      </w:r>
      <w:r>
        <w:rPr>
          <w:rFonts w:ascii="宋体" w:hAnsi="宋体" w:cs="宋体" w:eastAsia="宋体" w:hint="default"/>
          <w:spacing w:val="-2"/>
        </w:rPr>
        <w:t>25%</w:t>
      </w:r>
      <w:r>
        <w:rPr>
          <w:spacing w:val="-2"/>
        </w:rPr>
        <w:t>计入应纳税所得额，按</w:t>
      </w:r>
      <w:r>
        <w:rPr>
          <w:spacing w:val="-59"/>
        </w:rPr>
        <w:t> </w:t>
      </w:r>
      <w:r>
        <w:rPr>
          <w:spacing w:val="-59"/>
        </w:rPr>
      </w:r>
      <w:r>
        <w:rPr>
          <w:rFonts w:ascii="宋体" w:hAnsi="宋体" w:cs="宋体" w:eastAsia="宋体" w:hint="default"/>
        </w:rPr>
        <w:t>20%</w:t>
      </w:r>
      <w:r>
        <w:rPr/>
        <w:t>的税率缴纳企业所得税；对年应纳税所得额超过</w:t>
      </w:r>
      <w:r>
        <w:rPr>
          <w:rFonts w:ascii="宋体" w:hAnsi="宋体" w:cs="宋体" w:eastAsia="宋体" w:hint="default"/>
        </w:rPr>
        <w:t>100</w:t>
      </w:r>
      <w:r>
        <w:rPr/>
        <w:t>万元但不超过</w:t>
      </w:r>
      <w:r>
        <w:rPr>
          <w:rFonts w:ascii="宋体" w:hAnsi="宋体" w:cs="宋体" w:eastAsia="宋体" w:hint="default"/>
        </w:rPr>
        <w:t>300</w:t>
      </w:r>
      <w:r>
        <w:rPr/>
        <w:t>万元的部分，减按</w:t>
      </w:r>
      <w:r>
        <w:rPr>
          <w:rFonts w:ascii="宋体" w:hAnsi="宋体" w:cs="宋体" w:eastAsia="宋体" w:hint="default"/>
        </w:rPr>
        <w:t>50%</w:t>
      </w:r>
      <w:r>
        <w:rPr/>
        <w:t>计入应纳税所得额，按</w:t>
      </w:r>
      <w:r>
        <w:rPr>
          <w:rFonts w:ascii="宋体" w:hAnsi="宋体" w:cs="宋体" w:eastAsia="宋体" w:hint="default"/>
        </w:rPr>
        <w:t>20%</w:t>
      </w:r>
      <w:r>
        <w:rPr/>
        <w:t>的</w:t>
      </w:r>
      <w:r>
        <w:rPr>
          <w:spacing w:val="-87"/>
        </w:rPr>
        <w:t> </w:t>
      </w:r>
      <w:r>
        <w:rPr/>
        <w:t>税率缴纳企业所得税。</w:t>
      </w:r>
    </w:p>
    <w:p>
      <w:pPr>
        <w:pStyle w:val="BodyText"/>
        <w:spacing w:line="240" w:lineRule="auto" w:before="19"/>
        <w:ind w:right="1133"/>
        <w:jc w:val="left"/>
      </w:pPr>
      <w:r>
        <w:rPr/>
        <w:t>本期收到的与企业日常经营活动相关的其他税收优惠及批文详见本附注七、</w:t>
      </w:r>
      <w:r>
        <w:rPr>
          <w:rFonts w:ascii="宋体" w:hAnsi="宋体" w:cs="宋体" w:eastAsia="宋体" w:hint="default"/>
        </w:rPr>
        <w:t>74</w:t>
      </w:r>
      <w:r>
        <w:rPr/>
        <w:t>。</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其他" w:id="229"/>
      <w:bookmarkEnd w:id="229"/>
      <w:r>
        <w:rPr>
          <w:b w:val="0"/>
          <w:bCs w:val="0"/>
        </w:rPr>
      </w: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8"/>
        <w:jc w:val="both"/>
      </w:pPr>
      <w:r>
        <w:rPr>
          <w:spacing w:val="-2"/>
        </w:rPr>
        <w:t>注</w:t>
      </w:r>
      <w:r>
        <w:rPr>
          <w:rFonts w:ascii="宋体" w:hAnsi="宋体" w:cs="宋体" w:eastAsia="宋体" w:hint="default"/>
          <w:spacing w:val="-2"/>
        </w:rPr>
        <w:t>1</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w:t>
      </w:r>
      <w:r>
        <w:rPr>
          <w:spacing w:val="-2"/>
        </w:rPr>
        <w:t>日前公司及其分子公司（一般纳税人）产品销售收入根据销售额的</w:t>
      </w:r>
      <w:r>
        <w:rPr>
          <w:rFonts w:ascii="宋体" w:hAnsi="宋体" w:cs="宋体" w:eastAsia="宋体" w:hint="default"/>
          <w:spacing w:val="-2"/>
        </w:rPr>
        <w:t>16%</w:t>
      </w:r>
      <w:r>
        <w:rPr>
          <w:spacing w:val="-2"/>
        </w:rPr>
        <w:t>计算销项税额，建筑业收入根据销售</w:t>
      </w:r>
      <w:r>
        <w:rPr>
          <w:spacing w:val="-57"/>
        </w:rPr>
        <w:t> </w:t>
      </w:r>
      <w:r>
        <w:rPr>
          <w:spacing w:val="-57"/>
        </w:rPr>
      </w:r>
      <w:r>
        <w:rPr>
          <w:spacing w:val="-2"/>
        </w:rPr>
        <w:t>额的</w:t>
      </w:r>
      <w:r>
        <w:rPr>
          <w:rFonts w:ascii="宋体" w:hAnsi="宋体" w:cs="宋体" w:eastAsia="宋体" w:hint="default"/>
          <w:spacing w:val="-2"/>
        </w:rPr>
        <w:t>10%</w:t>
      </w:r>
      <w:r>
        <w:rPr>
          <w:spacing w:val="-2"/>
        </w:rPr>
        <w:t>计算销项税额；</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w:t>
      </w:r>
      <w:r>
        <w:rPr>
          <w:spacing w:val="-2"/>
        </w:rPr>
        <w:t>日起公司及其分子公司产品销售收入根据销售额的</w:t>
      </w:r>
      <w:r>
        <w:rPr>
          <w:rFonts w:ascii="宋体" w:hAnsi="宋体" w:cs="宋体" w:eastAsia="宋体" w:hint="default"/>
          <w:spacing w:val="-2"/>
        </w:rPr>
        <w:t>13%</w:t>
      </w:r>
      <w:r>
        <w:rPr>
          <w:spacing w:val="-2"/>
        </w:rPr>
        <w:t>计算销项税额，建筑业收入根据销</w:t>
      </w:r>
      <w:r>
        <w:rPr>
          <w:spacing w:val="-58"/>
        </w:rPr>
        <w:t> </w:t>
      </w:r>
      <w:r>
        <w:rPr>
          <w:spacing w:val="-58"/>
        </w:rPr>
      </w:r>
      <w:r>
        <w:rPr>
          <w:spacing w:val="-2"/>
        </w:rPr>
        <w:t>售额的</w:t>
      </w:r>
      <w:r>
        <w:rPr>
          <w:rFonts w:ascii="宋体" w:hAnsi="宋体" w:cs="宋体" w:eastAsia="宋体" w:hint="default"/>
          <w:spacing w:val="-2"/>
        </w:rPr>
        <w:t>9%</w:t>
      </w:r>
      <w:r>
        <w:rPr>
          <w:spacing w:val="-2"/>
        </w:rPr>
        <w:t>计算销项税额，租赁收入按照租赁收入的</w:t>
      </w:r>
      <w:r>
        <w:rPr>
          <w:rFonts w:ascii="宋体" w:hAnsi="宋体" w:cs="宋体" w:eastAsia="宋体" w:hint="default"/>
          <w:spacing w:val="-2"/>
        </w:rPr>
        <w:t>9%</w:t>
      </w:r>
      <w:r>
        <w:rPr>
          <w:spacing w:val="-2"/>
        </w:rPr>
        <w:t>计算销项税额，技术服务收入根据销售额的</w:t>
      </w:r>
      <w:r>
        <w:rPr>
          <w:rFonts w:ascii="宋体" w:hAnsi="宋体" w:cs="宋体" w:eastAsia="宋体" w:hint="default"/>
          <w:spacing w:val="-2"/>
        </w:rPr>
        <w:t>6%</w:t>
      </w:r>
      <w:r>
        <w:rPr>
          <w:spacing w:val="-2"/>
        </w:rPr>
        <w:t>计算销项税额，再按规定</w:t>
      </w:r>
      <w:r>
        <w:rPr>
          <w:spacing w:val="-60"/>
        </w:rPr>
        <w:t> </w:t>
      </w:r>
      <w:r>
        <w:rPr>
          <w:spacing w:val="-60"/>
        </w:rPr>
      </w:r>
      <w:r>
        <w:rPr/>
        <w:t>扣除进项税额后缴纳。</w:t>
      </w:r>
      <w:r>
        <w:rPr>
          <w:rFonts w:ascii="宋体" w:hAnsi="宋体" w:cs="宋体" w:eastAsia="宋体" w:hint="default"/>
        </w:rPr>
        <w:t>2016</w:t>
      </w:r>
      <w:r>
        <w:rPr/>
        <w:t>年</w:t>
      </w:r>
      <w:r>
        <w:rPr>
          <w:rFonts w:ascii="宋体" w:hAnsi="宋体" w:cs="宋体" w:eastAsia="宋体" w:hint="default"/>
        </w:rPr>
        <w:t>5</w:t>
      </w:r>
      <w:r>
        <w:rPr/>
        <w:t>月前建筑业收入、租赁收入按照简易办法征收，建筑业收入即按照扣除分包收入后的销售额</w:t>
      </w:r>
      <w:r>
        <w:rPr>
          <w:spacing w:val="-84"/>
        </w:rPr>
        <w:t> </w:t>
      </w:r>
      <w:r>
        <w:rPr>
          <w:spacing w:val="-84"/>
        </w:rPr>
      </w:r>
      <w:r>
        <w:rPr/>
        <w:t>按照</w:t>
      </w:r>
      <w:r>
        <w:rPr>
          <w:rFonts w:ascii="宋体" w:hAnsi="宋体" w:cs="宋体" w:eastAsia="宋体" w:hint="default"/>
        </w:rPr>
        <w:t>3%</w:t>
      </w:r>
      <w:r>
        <w:rPr/>
        <w:t>税率计算缴纳增值税，租赁收入按照租赁收入的</w:t>
      </w:r>
      <w:r>
        <w:rPr>
          <w:rFonts w:ascii="宋体" w:hAnsi="宋体" w:cs="宋体" w:eastAsia="宋体" w:hint="default"/>
        </w:rPr>
        <w:t>5%</w:t>
      </w:r>
      <w:r>
        <w:rPr/>
        <w:t>计算销项税额。</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24"/>
        <w:jc w:val="left"/>
      </w:pPr>
      <w:r>
        <w:rPr/>
        <w:t>为小规模纳税人的分子公司，按照产品销售收入的</w:t>
      </w:r>
      <w:r>
        <w:rPr>
          <w:rFonts w:ascii="宋体" w:hAnsi="宋体" w:cs="宋体" w:eastAsia="宋体" w:hint="default"/>
        </w:rPr>
        <w:t>3%</w:t>
      </w:r>
      <w:r>
        <w:rPr/>
        <w:t>缴纳增值税。 注</w:t>
      </w:r>
      <w:r>
        <w:rPr>
          <w:rFonts w:ascii="宋体" w:hAnsi="宋体" w:cs="宋体" w:eastAsia="宋体" w:hint="default"/>
        </w:rPr>
        <w:t>2</w:t>
      </w:r>
      <w:r>
        <w:rPr/>
        <w:t>：本公司、子公司浙江银江智慧交通集团有限公司、浙江银江交通技术有限公司、西安银江智慧城市技术有限公司、健</w:t>
      </w:r>
      <w:r>
        <w:rPr>
          <w:spacing w:val="-84"/>
        </w:rPr>
        <w:t> </w:t>
      </w:r>
      <w:r>
        <w:rPr>
          <w:spacing w:val="-84"/>
        </w:rPr>
      </w:r>
      <w:r>
        <w:rPr>
          <w:spacing w:val="-2"/>
        </w:rPr>
        <w:t>康宝互联网技术有限公司、江西银江智慧城市信息技术有限公司、杭州银江智慧城市技术集团有限公司、浙江银江研究院有</w:t>
      </w:r>
      <w:r>
        <w:rPr>
          <w:spacing w:val="-63"/>
        </w:rPr>
        <w:t> </w:t>
      </w:r>
      <w:r>
        <w:rPr>
          <w:spacing w:val="-63"/>
        </w:rPr>
      </w:r>
      <w:r>
        <w:rPr/>
        <w:t>限公司、沈阳智享大健康信息科技有限公司为国家高新技术企业，企业所得税按</w:t>
      </w:r>
      <w:r>
        <w:rPr>
          <w:rFonts w:ascii="宋体" w:hAnsi="宋体" w:cs="宋体" w:eastAsia="宋体" w:hint="default"/>
        </w:rPr>
        <w:t>15%</w:t>
      </w:r>
      <w:r>
        <w:rPr/>
        <w:t>税率计缴。子公司浙江浙大健康管理有</w:t>
      </w:r>
      <w:r>
        <w:rPr>
          <w:spacing w:val="-84"/>
        </w:rPr>
        <w:t> </w:t>
      </w:r>
      <w:r>
        <w:rPr>
          <w:spacing w:val="-84"/>
        </w:rPr>
      </w:r>
      <w:r>
        <w:rPr>
          <w:spacing w:val="-2"/>
        </w:rPr>
        <w:t>限公司、银江（北京）物联网技术有限公司、浙江城市宝互联网技术有限公司、河南银江智慧城市技术有限公司、东丰银江</w:t>
      </w:r>
      <w:r>
        <w:rPr>
          <w:spacing w:val="-69"/>
        </w:rPr>
        <w:t> </w:t>
      </w:r>
      <w:r>
        <w:rPr>
          <w:spacing w:val="-69"/>
        </w:rPr>
      </w:r>
      <w:r>
        <w:rPr>
          <w:spacing w:val="-2"/>
        </w:rPr>
        <w:t>智慧城市技术有限公司、重庆银江智慧城市信息技术有限公司、湖南银江智慧城市信息技术有限公司、山西银江交通信息技</w:t>
      </w:r>
      <w:r>
        <w:rPr>
          <w:spacing w:val="-63"/>
        </w:rPr>
        <w:t> </w:t>
      </w:r>
      <w:r>
        <w:rPr>
          <w:spacing w:val="-63"/>
        </w:rPr>
      </w:r>
      <w:r>
        <w:rPr>
          <w:spacing w:val="-2"/>
        </w:rPr>
        <w:t>术有限公司、山东银江交通技术有限公司、湖南银江交通技术有限公司、江苏银江智慧城市信息技术有限公司、济南银江信</w:t>
      </w:r>
      <w:r>
        <w:rPr>
          <w:spacing w:val="-65"/>
        </w:rPr>
        <w:t> </w:t>
      </w:r>
      <w:r>
        <w:rPr>
          <w:spacing w:val="-65"/>
        </w:rPr>
      </w:r>
      <w:r>
        <w:rPr>
          <w:spacing w:val="-2"/>
        </w:rPr>
        <w:t>息技术有限公司、北京银江智慧城市技术有限公司、江苏银江交通技术有限公司、湖北银江智慧城市技术有限公司、贵阳银</w:t>
      </w:r>
      <w:r>
        <w:rPr>
          <w:spacing w:val="-65"/>
        </w:rPr>
        <w:t> </w:t>
      </w:r>
      <w:r>
        <w:rPr>
          <w:spacing w:val="-65"/>
        </w:rPr>
      </w:r>
      <w:r>
        <w:rPr>
          <w:spacing w:val="-2"/>
        </w:rPr>
        <w:t>江智慧城市技术有限公司、四川银江智慧城市信息技术有限公司、福建银江智慧城市信息技术有限公司、安徽银江智慧城市</w:t>
      </w:r>
      <w:r>
        <w:rPr>
          <w:spacing w:val="-63"/>
        </w:rPr>
        <w:t> </w:t>
      </w:r>
      <w:r>
        <w:rPr>
          <w:spacing w:val="-63"/>
        </w:rPr>
      </w:r>
      <w:r>
        <w:rPr>
          <w:spacing w:val="-2"/>
        </w:rPr>
        <w:t>技术有限公司、广东银江智慧城市建设技术有限公司、济南银江智慧城市技术有限公司、青岛银江智慧城市技术有限公司为</w:t>
      </w:r>
      <w:r>
        <w:rPr>
          <w:spacing w:val="-62"/>
        </w:rPr>
        <w:t> </w:t>
      </w:r>
      <w:r>
        <w:rPr>
          <w:spacing w:val="-62"/>
        </w:rPr>
      </w:r>
      <w:r>
        <w:rPr/>
        <w:t>小型微利企业，应纳税所得额不超过</w:t>
      </w:r>
      <w:r>
        <w:rPr>
          <w:rFonts w:ascii="宋体" w:hAnsi="宋体" w:cs="宋体" w:eastAsia="宋体" w:hint="default"/>
        </w:rPr>
        <w:t>100</w:t>
      </w:r>
      <w:r>
        <w:rPr/>
        <w:t>万元部分减按</w:t>
      </w:r>
      <w:r>
        <w:rPr>
          <w:rFonts w:ascii="宋体" w:hAnsi="宋体" w:cs="宋体" w:eastAsia="宋体" w:hint="default"/>
        </w:rPr>
        <w:t>25%</w:t>
      </w:r>
      <w:r>
        <w:rPr/>
        <w:t>计入应纳税所得额，按</w:t>
      </w:r>
      <w:r>
        <w:rPr>
          <w:rFonts w:ascii="宋体" w:hAnsi="宋体" w:cs="宋体" w:eastAsia="宋体" w:hint="default"/>
        </w:rPr>
        <w:t>20%</w:t>
      </w:r>
      <w:r>
        <w:rPr/>
        <w:t>的税率缴纳企业所得税；对应纳税所得</w:t>
      </w:r>
      <w:r>
        <w:rPr>
          <w:spacing w:val="-85"/>
        </w:rPr>
        <w:t> </w:t>
      </w:r>
      <w:r>
        <w:rPr>
          <w:spacing w:val="-85"/>
        </w:rPr>
      </w:r>
      <w:r>
        <w:rPr>
          <w:spacing w:val="-2"/>
        </w:rPr>
        <w:t>额超过</w:t>
      </w:r>
      <w:r>
        <w:rPr>
          <w:rFonts w:ascii="宋体" w:hAnsi="宋体" w:cs="宋体" w:eastAsia="宋体" w:hint="default"/>
          <w:spacing w:val="-2"/>
        </w:rPr>
        <w:t>100</w:t>
      </w:r>
      <w:r>
        <w:rPr>
          <w:spacing w:val="-2"/>
        </w:rPr>
        <w:t>万元不超过</w:t>
      </w:r>
      <w:r>
        <w:rPr>
          <w:rFonts w:ascii="宋体" w:hAnsi="宋体" w:cs="宋体" w:eastAsia="宋体" w:hint="default"/>
          <w:spacing w:val="-2"/>
        </w:rPr>
        <w:t>300</w:t>
      </w:r>
      <w:r>
        <w:rPr>
          <w:spacing w:val="-2"/>
        </w:rPr>
        <w:t>万元部分减按</w:t>
      </w:r>
      <w:r>
        <w:rPr>
          <w:rFonts w:ascii="宋体" w:hAnsi="宋体" w:cs="宋体" w:eastAsia="宋体" w:hint="default"/>
          <w:spacing w:val="-2"/>
        </w:rPr>
        <w:t>50%</w:t>
      </w:r>
      <w:r>
        <w:rPr>
          <w:spacing w:val="-2"/>
        </w:rPr>
        <w:t>计入应纳税所得额，按</w:t>
      </w:r>
      <w:r>
        <w:rPr>
          <w:rFonts w:ascii="宋体" w:hAnsi="宋体" w:cs="宋体" w:eastAsia="宋体" w:hint="default"/>
          <w:spacing w:val="-2"/>
        </w:rPr>
        <w:t>20%</w:t>
      </w:r>
      <w:r>
        <w:rPr>
          <w:spacing w:val="-2"/>
        </w:rPr>
        <w:t>的税率缴纳企业所得税。子公司吉林银江信息技术有限</w:t>
      </w:r>
      <w:r>
        <w:rPr>
          <w:spacing w:val="-58"/>
        </w:rPr>
        <w:t> </w:t>
      </w:r>
      <w:r>
        <w:rPr>
          <w:spacing w:val="-58"/>
        </w:rPr>
      </w:r>
      <w:r>
        <w:rPr/>
        <w:t>公司企业所得税为核定征收。</w:t>
      </w:r>
    </w:p>
    <w:p>
      <w:pPr>
        <w:pStyle w:val="BodyText"/>
        <w:spacing w:line="240" w:lineRule="auto" w:before="19"/>
        <w:ind w:right="1133"/>
        <w:jc w:val="left"/>
      </w:pPr>
      <w:r>
        <w:rPr/>
        <w:t>其他分子公司企业所得税按</w:t>
      </w:r>
      <w:r>
        <w:rPr>
          <w:rFonts w:ascii="宋体" w:hAnsi="宋体" w:cs="宋体" w:eastAsia="宋体" w:hint="default"/>
        </w:rPr>
        <w:t>25%</w:t>
      </w:r>
      <w:r>
        <w:rPr/>
        <w:t>税率计缴。</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七、合并财务报表项目注释" w:id="230"/>
      <w:bookmarkEnd w:id="230"/>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货币资金" w:id="231"/>
      <w:bookmarkEnd w:id="23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39,944.84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56,517.39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592,703,752.27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604,252,706.53</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41,478,260.32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74,733,583.22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634,221,957.43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679,042,807.14</w:t>
            </w:r>
          </w:p>
        </w:tc>
      </w:tr>
    </w:tbl>
    <w:p>
      <w:pPr>
        <w:pStyle w:val="BodyText"/>
        <w:spacing w:line="360" w:lineRule="auto" w:before="49"/>
        <w:ind w:right="5714"/>
        <w:jc w:val="left"/>
      </w:pPr>
      <w:r>
        <w:rPr/>
        <w:pict>
          <v:shape style="position:absolute;margin-left:56.400002pt;margin-top:35.281723pt;width:461.65pt;height:137.3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73"/>
                    <w:gridCol w:w="3135"/>
                    <w:gridCol w:w="3010"/>
                  </w:tblGrid>
                  <w:tr>
                    <w:trPr>
                      <w:trHeight w:val="341"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3"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已质押定期银行存款</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31,744,095.00</w:t>
                        </w:r>
                      </w:p>
                    </w:tc>
                    <w:tc>
                      <w:tcPr>
                        <w:tcW w:w="301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18,654,728.44</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41,932,505.82</w:t>
                        </w:r>
                      </w:p>
                    </w:tc>
                  </w:tr>
                  <w:tr>
                    <w:trPr>
                      <w:trHeight w:val="343"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14,253,869.90</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15,690,406.84</w:t>
                        </w:r>
                      </w:p>
                    </w:tc>
                  </w:tr>
                  <w:tr>
                    <w:trPr>
                      <w:trHeight w:val="341"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5,000,000.00</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12,000,000.00</w:t>
                        </w:r>
                      </w:p>
                    </w:tc>
                  </w:tr>
                  <w:tr>
                    <w:trPr>
                      <w:trHeight w:val="344"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农民工保证金</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3,529,710.22</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4,032,728.73</w:t>
                        </w:r>
                      </w:p>
                    </w:tc>
                  </w:tr>
                  <w:tr>
                    <w:trPr>
                      <w:trHeight w:val="341"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短期借款保证金</w:t>
                        </w:r>
                      </w:p>
                    </w:tc>
                    <w:tc>
                      <w:tcPr>
                        <w:tcW w:w="3135" w:type="dxa"/>
                        <w:tcBorders>
                          <w:top w:val="single" w:sz="4" w:space="0" w:color="000000"/>
                          <w:left w:val="single" w:sz="4" w:space="0" w:color="000000"/>
                          <w:bottom w:val="single" w:sz="4" w:space="0" w:color="000000"/>
                          <w:right w:val="single" w:sz="4" w:space="0" w:color="000000"/>
                        </w:tcBorders>
                      </w:tcPr>
                      <w:p>
                        <w:pP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1,077,941.83</w:t>
                        </w:r>
                      </w:p>
                    </w:tc>
                  </w:tr>
                  <w:tr>
                    <w:trPr>
                      <w:trHeight w:val="343"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73,182,403.56</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74,733,583.22</w:t>
                        </w:r>
                      </w:p>
                    </w:tc>
                  </w:tr>
                </w:tbl>
                <w:p>
                  <w:pPr/>
                </w:p>
              </w:txbxContent>
            </v:textbox>
            <w10:wrap type="none"/>
          </v:shape>
        </w:pict>
      </w:r>
      <w:r>
        <w:rPr/>
        <w:t>其他说明 其中因抵押、质押或冻结等对使用有限制的货币资金明细如下：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44"/>
        <w:ind w:right="1133"/>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日，公司受限货币资金明细情况如下：</w:t>
      </w:r>
    </w:p>
    <w:p>
      <w:pPr>
        <w:pStyle w:val="BodyText"/>
        <w:spacing w:line="316" w:lineRule="auto" w:before="76"/>
        <w:ind w:right="1133"/>
        <w:jc w:val="left"/>
      </w:pPr>
      <w:r>
        <w:rPr>
          <w:spacing w:val="-2"/>
        </w:rPr>
        <w:t>①本公司以人民币</w:t>
      </w:r>
      <w:r>
        <w:rPr>
          <w:rFonts w:ascii="宋体" w:hAnsi="宋体" w:cs="宋体" w:eastAsia="宋体" w:hint="default"/>
          <w:spacing w:val="-2"/>
        </w:rPr>
        <w:t>3,935,841.44</w:t>
      </w:r>
      <w:r>
        <w:rPr>
          <w:spacing w:val="-2"/>
        </w:rPr>
        <w:t>元保函保证金质押，取得杭州银行股份有限公司西城支行人民币</w:t>
      </w:r>
      <w:r>
        <w:rPr>
          <w:rFonts w:ascii="宋体" w:hAnsi="宋体" w:cs="宋体" w:eastAsia="宋体" w:hint="default"/>
          <w:spacing w:val="-2"/>
        </w:rPr>
        <w:t>6,418,388.71</w:t>
      </w:r>
      <w:r>
        <w:rPr>
          <w:spacing w:val="-2"/>
        </w:rPr>
        <w:t>元保函，期限</w:t>
      </w:r>
      <w:r>
        <w:rPr>
          <w:spacing w:val="-49"/>
        </w:rPr>
        <w:t> </w:t>
      </w:r>
      <w:r>
        <w:rPr>
          <w:spacing w:val="-49"/>
        </w:rPr>
      </w:r>
      <w:r>
        <w:rPr/>
        <w:t>为</w:t>
      </w:r>
      <w:r>
        <w:rPr>
          <w:rFonts w:ascii="宋体" w:hAnsi="宋体" w:cs="宋体" w:eastAsia="宋体" w:hint="default"/>
        </w:rPr>
        <w:t>2018</w:t>
      </w:r>
      <w:r>
        <w:rPr/>
        <w:t>年</w:t>
      </w:r>
      <w:r>
        <w:rPr>
          <w:rFonts w:ascii="宋体" w:hAnsi="宋体" w:cs="宋体" w:eastAsia="宋体" w:hint="default"/>
        </w:rPr>
        <w:t>3</w:t>
      </w:r>
      <w:r>
        <w:rPr/>
        <w:t>月至</w:t>
      </w:r>
      <w:r>
        <w:rPr>
          <w:rFonts w:ascii="宋体" w:hAnsi="宋体" w:cs="宋体" w:eastAsia="宋体" w:hint="default"/>
        </w:rPr>
        <w:t>2020</w:t>
      </w:r>
      <w:r>
        <w:rPr/>
        <w:t>年</w:t>
      </w:r>
      <w:r>
        <w:rPr>
          <w:rFonts w:ascii="宋体" w:hAnsi="宋体" w:cs="宋体" w:eastAsia="宋体" w:hint="default"/>
        </w:rPr>
        <w:t>12</w:t>
      </w:r>
      <w:r>
        <w:rPr/>
        <w:t>月。</w:t>
      </w:r>
    </w:p>
    <w:p>
      <w:pPr>
        <w:pStyle w:val="BodyText"/>
        <w:spacing w:line="316" w:lineRule="auto" w:before="19"/>
        <w:ind w:right="1133"/>
        <w:jc w:val="left"/>
      </w:pPr>
      <w:r>
        <w:rPr/>
        <w:t>②本公司以人民币</w:t>
      </w:r>
      <w:r>
        <w:rPr>
          <w:rFonts w:ascii="宋体" w:hAnsi="宋体" w:cs="宋体" w:eastAsia="宋体" w:hint="default"/>
        </w:rPr>
        <w:t>959,760.84</w:t>
      </w:r>
      <w:r>
        <w:rPr/>
        <w:t>元保函保证金质押，取得杭州联合农村商业银行股份有限公司科技支行人民币</w:t>
      </w:r>
      <w:r>
        <w:rPr>
          <w:rFonts w:ascii="宋体" w:hAnsi="宋体" w:cs="宋体" w:eastAsia="宋体" w:hint="default"/>
        </w:rPr>
        <w:t>3,199,202.80</w:t>
      </w:r>
      <w:r>
        <w:rPr>
          <w:rFonts w:ascii="宋体" w:hAnsi="宋体" w:cs="宋体" w:eastAsia="宋体" w:hint="default"/>
          <w:spacing w:val="-18"/>
        </w:rPr>
        <w:t> </w:t>
      </w:r>
      <w:r>
        <w:rPr>
          <w:rFonts w:ascii="宋体" w:hAnsi="宋体" w:cs="宋体" w:eastAsia="宋体" w:hint="default"/>
          <w:spacing w:val="-18"/>
        </w:rPr>
      </w:r>
      <w:r>
        <w:rPr/>
        <w:t>元保函，期限为</w:t>
      </w:r>
      <w:r>
        <w:rPr>
          <w:rFonts w:ascii="宋体" w:hAnsi="宋体" w:cs="宋体" w:eastAsia="宋体" w:hint="default"/>
        </w:rPr>
        <w:t>2017</w:t>
      </w:r>
      <w:r>
        <w:rPr/>
        <w:t>年</w:t>
      </w:r>
      <w:r>
        <w:rPr>
          <w:rFonts w:ascii="宋体" w:hAnsi="宋体" w:cs="宋体" w:eastAsia="宋体" w:hint="default"/>
        </w:rPr>
        <w:t>11</w:t>
      </w:r>
      <w:r>
        <w:rPr/>
        <w:t>月至</w:t>
      </w:r>
      <w:r>
        <w:rPr>
          <w:rFonts w:ascii="宋体" w:hAnsi="宋体" w:cs="宋体" w:eastAsia="宋体" w:hint="default"/>
        </w:rPr>
        <w:t>2021</w:t>
      </w:r>
      <w:r>
        <w:rPr/>
        <w:t>年</w:t>
      </w:r>
      <w:r>
        <w:rPr>
          <w:rFonts w:ascii="宋体" w:hAnsi="宋体" w:cs="宋体" w:eastAsia="宋体" w:hint="default"/>
        </w:rPr>
        <w:t>5</w:t>
      </w:r>
      <w:r>
        <w:rPr/>
        <w:t>月。</w:t>
      </w:r>
    </w:p>
    <w:p>
      <w:pPr>
        <w:pStyle w:val="BodyText"/>
        <w:spacing w:line="316" w:lineRule="auto" w:before="18"/>
        <w:ind w:right="1124"/>
        <w:jc w:val="left"/>
      </w:pPr>
      <w:r>
        <w:rPr/>
        <w:t>③本公司以人民币</w:t>
      </w:r>
      <w:r>
        <w:rPr>
          <w:rFonts w:ascii="宋体" w:hAnsi="宋体" w:cs="宋体" w:eastAsia="宋体" w:hint="default"/>
        </w:rPr>
        <w:t>3,602,492.75</w:t>
      </w:r>
      <w:r>
        <w:rPr/>
        <w:t>元保函保证金质押，取得中信银行股份有限公司玉泉支行人民币</w:t>
      </w:r>
      <w:r>
        <w:rPr>
          <w:rFonts w:ascii="宋体" w:hAnsi="宋体" w:cs="宋体" w:eastAsia="宋体" w:hint="default"/>
        </w:rPr>
        <w:t>12,118,719.20</w:t>
      </w:r>
      <w:r>
        <w:rPr/>
        <w:t>元保函，期 限为</w:t>
      </w:r>
      <w:r>
        <w:rPr>
          <w:rFonts w:ascii="宋体" w:hAnsi="宋体" w:cs="宋体" w:eastAsia="宋体" w:hint="default"/>
        </w:rPr>
        <w:t>2018</w:t>
      </w:r>
      <w:r>
        <w:rPr/>
        <w:t>年</w:t>
      </w:r>
      <w:r>
        <w:rPr>
          <w:rFonts w:ascii="宋体" w:hAnsi="宋体" w:cs="宋体" w:eastAsia="宋体" w:hint="default"/>
        </w:rPr>
        <w:t>10</w:t>
      </w:r>
      <w:r>
        <w:rPr/>
        <w:t>月至</w:t>
      </w:r>
      <w:r>
        <w:rPr>
          <w:rFonts w:ascii="宋体" w:hAnsi="宋体" w:cs="宋体" w:eastAsia="宋体" w:hint="default"/>
        </w:rPr>
        <w:t>2021</w:t>
      </w:r>
      <w:r>
        <w:rPr/>
        <w:t>年</w:t>
      </w:r>
      <w:r>
        <w:rPr>
          <w:rFonts w:ascii="宋体" w:hAnsi="宋体" w:cs="宋体" w:eastAsia="宋体" w:hint="default"/>
        </w:rPr>
        <w:t>10</w:t>
      </w:r>
      <w:r>
        <w:rPr/>
        <w:t>月。</w:t>
      </w:r>
    </w:p>
    <w:p>
      <w:pPr>
        <w:spacing w:after="0" w:line="316" w:lineRule="auto"/>
        <w:jc w:val="left"/>
        <w:sectPr>
          <w:footerReference w:type="default" r:id="rId16"/>
          <w:pgSz w:w="11910" w:h="16840"/>
          <w:pgMar w:footer="980" w:header="745" w:top="1060" w:bottom="1160" w:left="980" w:right="0"/>
          <w:pgNumType w:start="12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3"/>
        </w:rPr>
        <w:t>④本公司以人民币</w:t>
      </w:r>
      <w:r>
        <w:rPr>
          <w:rFonts w:ascii="宋体" w:hAnsi="宋体" w:cs="宋体" w:eastAsia="宋体" w:hint="default"/>
          <w:spacing w:val="-3"/>
        </w:rPr>
        <w:t>27,236.50</w:t>
      </w:r>
      <w:r>
        <w:rPr>
          <w:spacing w:val="-3"/>
        </w:rPr>
        <w:t>元保函保证金质押，取得招商银行股份有限公司凤起支行人民币</w:t>
      </w:r>
      <w:r>
        <w:rPr>
          <w:rFonts w:ascii="宋体" w:hAnsi="宋体" w:cs="宋体" w:eastAsia="宋体" w:hint="default"/>
          <w:spacing w:val="-3"/>
        </w:rPr>
        <w:t>272,365.39</w:t>
      </w:r>
      <w:r>
        <w:rPr>
          <w:spacing w:val="-3"/>
        </w:rPr>
        <w:t>元保函，期限为</w:t>
      </w:r>
      <w:r>
        <w:rPr>
          <w:rFonts w:ascii="宋体" w:hAnsi="宋体" w:cs="宋体" w:eastAsia="宋体" w:hint="default"/>
          <w:spacing w:val="-3"/>
        </w:rPr>
        <w:t>2019</w:t>
      </w:r>
      <w:r>
        <w:rPr>
          <w:rFonts w:ascii="宋体" w:hAnsi="宋体" w:cs="宋体" w:eastAsia="宋体" w:hint="default"/>
          <w:spacing w:val="-70"/>
        </w:rPr>
        <w:t> </w:t>
      </w:r>
      <w:r>
        <w:rPr>
          <w:rFonts w:ascii="宋体" w:hAnsi="宋体" w:cs="宋体" w:eastAsia="宋体" w:hint="default"/>
          <w:spacing w:val="-70"/>
        </w:rPr>
      </w:r>
      <w:r>
        <w:rPr/>
        <w:t>年</w:t>
      </w:r>
      <w:r>
        <w:rPr>
          <w:rFonts w:ascii="宋体" w:hAnsi="宋体" w:cs="宋体" w:eastAsia="宋体" w:hint="default"/>
        </w:rPr>
        <w:t>9</w:t>
      </w:r>
      <w:r>
        <w:rPr/>
        <w:t>月至</w:t>
      </w:r>
      <w:r>
        <w:rPr>
          <w:rFonts w:ascii="宋体" w:hAnsi="宋体" w:cs="宋体" w:eastAsia="宋体" w:hint="default"/>
        </w:rPr>
        <w:t>2020</w:t>
      </w:r>
      <w:r>
        <w:rPr/>
        <w:t>年</w:t>
      </w:r>
      <w:r>
        <w:rPr>
          <w:rFonts w:ascii="宋体" w:hAnsi="宋体" w:cs="宋体" w:eastAsia="宋体" w:hint="default"/>
        </w:rPr>
        <w:t>3</w:t>
      </w:r>
      <w:r>
        <w:rPr/>
        <w:t>月。</w:t>
      </w:r>
    </w:p>
    <w:p>
      <w:pPr>
        <w:pStyle w:val="BodyText"/>
        <w:spacing w:line="316" w:lineRule="auto" w:before="17"/>
        <w:ind w:right="1133"/>
        <w:jc w:val="left"/>
      </w:pPr>
      <w:r>
        <w:rPr/>
        <w:t>⑤本公司以人民币</w:t>
      </w:r>
      <w:r>
        <w:rPr>
          <w:rFonts w:ascii="宋体" w:hAnsi="宋体" w:cs="宋体" w:eastAsia="宋体" w:hint="default"/>
        </w:rPr>
        <w:t>254,374.14</w:t>
      </w:r>
      <w:r>
        <w:rPr/>
        <w:t>元保函保证金质押，取得宁波银行股份有限公司杭州分行人民币</w:t>
      </w:r>
      <w:r>
        <w:rPr>
          <w:rFonts w:ascii="宋体" w:hAnsi="宋体" w:cs="宋体" w:eastAsia="宋体" w:hint="default"/>
        </w:rPr>
        <w:t>847,913.79</w:t>
      </w:r>
      <w:r>
        <w:rPr/>
        <w:t>元保函，期限为</w:t>
      </w:r>
      <w:r>
        <w:rPr>
          <w:spacing w:val="-17"/>
        </w:rPr>
        <w:t> </w:t>
      </w:r>
      <w:r>
        <w:rPr>
          <w:spacing w:val="-17"/>
        </w:rPr>
      </w:r>
      <w:r>
        <w:rPr>
          <w:rFonts w:ascii="宋体" w:hAnsi="宋体" w:cs="宋体" w:eastAsia="宋体" w:hint="default"/>
        </w:rPr>
        <w:t>2018</w:t>
      </w:r>
      <w:r>
        <w:rPr/>
        <w:t>年</w:t>
      </w:r>
      <w:r>
        <w:rPr>
          <w:rFonts w:ascii="宋体" w:hAnsi="宋体" w:cs="宋体" w:eastAsia="宋体" w:hint="default"/>
        </w:rPr>
        <w:t>9</w:t>
      </w:r>
      <w:r>
        <w:rPr/>
        <w:t>月至</w:t>
      </w:r>
      <w:r>
        <w:rPr>
          <w:rFonts w:ascii="宋体" w:hAnsi="宋体" w:cs="宋体" w:eastAsia="宋体" w:hint="default"/>
        </w:rPr>
        <w:t>2020</w:t>
      </w:r>
      <w:r>
        <w:rPr/>
        <w:t>年</w:t>
      </w:r>
      <w:r>
        <w:rPr>
          <w:rFonts w:ascii="宋体" w:hAnsi="宋体" w:cs="宋体" w:eastAsia="宋体" w:hint="default"/>
        </w:rPr>
        <w:t>3</w:t>
      </w:r>
      <w:r>
        <w:rPr/>
        <w:t>月。</w:t>
      </w:r>
    </w:p>
    <w:p>
      <w:pPr>
        <w:pStyle w:val="BodyText"/>
        <w:spacing w:line="316" w:lineRule="auto" w:before="19"/>
        <w:ind w:right="0"/>
        <w:jc w:val="left"/>
      </w:pPr>
      <w:r>
        <w:rPr>
          <w:spacing w:val="-2"/>
        </w:rPr>
        <w:t>⑥本公司以人民币</w:t>
      </w:r>
      <w:r>
        <w:rPr>
          <w:rFonts w:ascii="宋体" w:hAnsi="宋体" w:cs="宋体" w:eastAsia="宋体" w:hint="default"/>
          <w:spacing w:val="-2"/>
        </w:rPr>
        <w:t>9,818,329.47</w:t>
      </w:r>
      <w:r>
        <w:rPr>
          <w:spacing w:val="-2"/>
        </w:rPr>
        <w:t>元保函保证金质押，取得中国银行股份有限公司钱江新城支行人民币</w:t>
      </w:r>
      <w:r>
        <w:rPr>
          <w:rFonts w:ascii="宋体" w:hAnsi="宋体" w:cs="宋体" w:eastAsia="宋体" w:hint="default"/>
          <w:spacing w:val="-2"/>
        </w:rPr>
        <w:t>19,110,781.59</w:t>
      </w:r>
      <w:r>
        <w:rPr>
          <w:spacing w:val="-2"/>
        </w:rPr>
        <w:t>元保函，</w:t>
      </w:r>
      <w:r>
        <w:rPr>
          <w:spacing w:val="-46"/>
        </w:rPr>
        <w:t> </w:t>
      </w:r>
      <w:r>
        <w:rPr>
          <w:spacing w:val="-46"/>
        </w:rPr>
      </w:r>
      <w:r>
        <w:rPr/>
        <w:t>期限为</w:t>
      </w:r>
      <w:r>
        <w:rPr>
          <w:rFonts w:ascii="宋体" w:hAnsi="宋体" w:cs="宋体" w:eastAsia="宋体" w:hint="default"/>
        </w:rPr>
        <w:t>2019</w:t>
      </w:r>
      <w:r>
        <w:rPr/>
        <w:t>年</w:t>
      </w:r>
      <w:r>
        <w:rPr>
          <w:rFonts w:ascii="宋体" w:hAnsi="宋体" w:cs="宋体" w:eastAsia="宋体" w:hint="default"/>
        </w:rPr>
        <w:t>3</w:t>
      </w:r>
      <w:r>
        <w:rPr/>
        <w:t>月至</w:t>
      </w:r>
      <w:r>
        <w:rPr>
          <w:rFonts w:ascii="宋体" w:hAnsi="宋体" w:cs="宋体" w:eastAsia="宋体" w:hint="default"/>
        </w:rPr>
        <w:t>2023</w:t>
      </w:r>
      <w:r>
        <w:rPr/>
        <w:t>年</w:t>
      </w:r>
      <w:r>
        <w:rPr>
          <w:rFonts w:ascii="宋体" w:hAnsi="宋体" w:cs="宋体" w:eastAsia="宋体" w:hint="default"/>
        </w:rPr>
        <w:t>5</w:t>
      </w:r>
      <w:r>
        <w:rPr/>
        <w:t>月。</w:t>
      </w:r>
    </w:p>
    <w:p>
      <w:pPr>
        <w:pStyle w:val="BodyText"/>
        <w:spacing w:line="240" w:lineRule="auto" w:before="19"/>
        <w:ind w:right="0"/>
        <w:jc w:val="left"/>
      </w:pPr>
      <w:r>
        <w:rPr/>
        <w:t>⑦截至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日，本公司尚有人民币</w:t>
      </w:r>
      <w:r>
        <w:rPr>
          <w:rFonts w:ascii="宋体" w:hAnsi="宋体" w:cs="宋体" w:eastAsia="宋体" w:hint="default"/>
        </w:rPr>
        <w:t>443.25</w:t>
      </w:r>
      <w:r>
        <w:rPr/>
        <w:t>元保函保证金存于中信银行股份有限公司杭州分行，年末处于受限状态。</w:t>
      </w:r>
    </w:p>
    <w:p>
      <w:pPr>
        <w:pStyle w:val="BodyText"/>
        <w:spacing w:line="316" w:lineRule="auto" w:before="76"/>
        <w:ind w:right="1124"/>
        <w:jc w:val="left"/>
      </w:pPr>
      <w:r>
        <w:rPr/>
        <w:t>⑧截至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日，子公司浙江银江交通技术有限公司尚有人民币</w:t>
      </w:r>
      <w:r>
        <w:rPr>
          <w:rFonts w:ascii="宋体" w:hAnsi="宋体" w:cs="宋体" w:eastAsia="宋体" w:hint="default"/>
        </w:rPr>
        <w:t>56,250.05</w:t>
      </w:r>
      <w:r>
        <w:rPr/>
        <w:t>元保函保证金存于杭州银行西城支行，年 末处于受限状态。</w:t>
      </w:r>
    </w:p>
    <w:p>
      <w:pPr>
        <w:pStyle w:val="BodyText"/>
        <w:spacing w:line="316" w:lineRule="auto" w:before="19"/>
        <w:ind w:right="0"/>
        <w:jc w:val="left"/>
      </w:pPr>
      <w:r>
        <w:rPr>
          <w:spacing w:val="18"/>
        </w:rPr>
        <w:t>⑨本公司以人民币</w:t>
      </w:r>
      <w:r>
        <w:rPr>
          <w:spacing w:val="-66"/>
        </w:rPr>
        <w:t> </w:t>
      </w:r>
      <w:r>
        <w:rPr>
          <w:rFonts w:ascii="宋体" w:hAnsi="宋体" w:cs="宋体" w:eastAsia="宋体" w:hint="default"/>
        </w:rPr>
        <w:t>10,582,368.14</w:t>
      </w:r>
      <w:r>
        <w:rPr>
          <w:rFonts w:ascii="宋体" w:hAnsi="宋体" w:cs="宋体" w:eastAsia="宋体" w:hint="default"/>
          <w:spacing w:val="-64"/>
        </w:rPr>
        <w:t> </w:t>
      </w:r>
      <w:r>
        <w:rPr>
          <w:spacing w:val="20"/>
        </w:rPr>
        <w:t>元银行承兑汇票保证金质押，取得中信银行股份有限公司杭州玉泉支行人民币</w:t>
      </w:r>
      <w:r>
        <w:rPr>
          <w:spacing w:val="-84"/>
        </w:rPr>
        <w:t> </w:t>
      </w:r>
      <w:r>
        <w:rPr>
          <w:rFonts w:ascii="宋体" w:hAnsi="宋体" w:cs="宋体" w:eastAsia="宋体" w:hint="default"/>
        </w:rPr>
        <w:t>35,121,759.82</w:t>
      </w:r>
      <w:r>
        <w:rPr/>
        <w:t>元银行承兑汇票，期限为</w:t>
      </w:r>
      <w:r>
        <w:rPr>
          <w:rFonts w:ascii="宋体" w:hAnsi="宋体" w:cs="宋体" w:eastAsia="宋体" w:hint="default"/>
        </w:rPr>
        <w:t>2019</w:t>
      </w:r>
      <w:r>
        <w:rPr/>
        <w:t>年</w:t>
      </w:r>
      <w:r>
        <w:rPr>
          <w:rFonts w:ascii="宋体" w:hAnsi="宋体" w:cs="宋体" w:eastAsia="宋体" w:hint="default"/>
        </w:rPr>
        <w:t>7</w:t>
      </w:r>
      <w:r>
        <w:rPr/>
        <w:t>月至</w:t>
      </w:r>
      <w:r>
        <w:rPr>
          <w:rFonts w:ascii="宋体" w:hAnsi="宋体" w:cs="宋体" w:eastAsia="宋体" w:hint="default"/>
        </w:rPr>
        <w:t>2020</w:t>
      </w:r>
      <w:r>
        <w:rPr/>
        <w:t>年</w:t>
      </w:r>
      <w:r>
        <w:rPr>
          <w:rFonts w:ascii="宋体" w:hAnsi="宋体" w:cs="宋体" w:eastAsia="宋体" w:hint="default"/>
        </w:rPr>
        <w:t>5</w:t>
      </w:r>
      <w:r>
        <w:rPr/>
        <w:t>月。</w:t>
      </w:r>
    </w:p>
    <w:p>
      <w:pPr>
        <w:pStyle w:val="BodyText"/>
        <w:spacing w:line="319" w:lineRule="auto" w:before="19"/>
        <w:ind w:right="1133"/>
        <w:jc w:val="left"/>
      </w:pPr>
      <w:r>
        <w:rPr>
          <w:spacing w:val="-2"/>
        </w:rPr>
        <w:t>⑩本公司以人民币</w:t>
      </w:r>
      <w:r>
        <w:rPr>
          <w:rFonts w:ascii="宋体" w:hAnsi="宋体" w:cs="宋体" w:eastAsia="宋体" w:hint="default"/>
          <w:spacing w:val="-2"/>
        </w:rPr>
        <w:t>2,699,556.76</w:t>
      </w:r>
      <w:r>
        <w:rPr>
          <w:spacing w:val="-2"/>
        </w:rPr>
        <w:t>元银行承兑汇票保证金质押，取得杭州银行股份有限公司西城支行人民币</w:t>
      </w:r>
      <w:r>
        <w:rPr>
          <w:rFonts w:ascii="宋体" w:hAnsi="宋体" w:cs="宋体" w:eastAsia="宋体" w:hint="default"/>
          <w:spacing w:val="-2"/>
        </w:rPr>
        <w:t>8,998,522.43</w:t>
      </w:r>
      <w:r>
        <w:rPr>
          <w:spacing w:val="-2"/>
        </w:rPr>
        <w:t>元银</w:t>
      </w:r>
      <w:r>
        <w:rPr>
          <w:spacing w:val="-52"/>
        </w:rPr>
        <w:t> </w:t>
      </w:r>
      <w:r>
        <w:rPr/>
        <w:t>行承兑汇票，期限为</w:t>
      </w:r>
      <w:r>
        <w:rPr>
          <w:rFonts w:ascii="宋体" w:hAnsi="宋体" w:cs="宋体" w:eastAsia="宋体" w:hint="default"/>
        </w:rPr>
        <w:t>2019</w:t>
      </w:r>
      <w:r>
        <w:rPr/>
        <w:t>年</w:t>
      </w:r>
      <w:r>
        <w:rPr>
          <w:rFonts w:ascii="宋体" w:hAnsi="宋体" w:cs="宋体" w:eastAsia="宋体" w:hint="default"/>
        </w:rPr>
        <w:t>3</w:t>
      </w:r>
      <w:r>
        <w:rPr/>
        <w:t>月至</w:t>
      </w:r>
      <w:r>
        <w:rPr>
          <w:rFonts w:ascii="宋体" w:hAnsi="宋体" w:cs="宋体" w:eastAsia="宋体" w:hint="default"/>
        </w:rPr>
        <w:t>2020</w:t>
      </w:r>
      <w:r>
        <w:rPr/>
        <w:t>年</w:t>
      </w:r>
      <w:r>
        <w:rPr>
          <w:rFonts w:ascii="宋体" w:hAnsi="宋体" w:cs="宋体" w:eastAsia="宋体" w:hint="default"/>
        </w:rPr>
        <w:t>11</w:t>
      </w:r>
      <w:r>
        <w:rPr/>
        <w:t>月。</w:t>
      </w:r>
    </w:p>
    <w:p>
      <w:pPr>
        <w:pStyle w:val="BodyText"/>
        <w:spacing w:line="447" w:lineRule="exact"/>
        <w:ind w:right="0"/>
        <w:jc w:val="left"/>
      </w:pPr>
      <w:r>
        <w:rPr>
          <w:rFonts w:ascii="Cambria Math" w:hAnsi="Cambria Math" w:cs="Cambria Math" w:eastAsia="Cambria Math" w:hint="default"/>
          <w:spacing w:val="7"/>
        </w:rPr>
        <w:t>⑪</w:t>
      </w:r>
      <w:r>
        <w:rPr>
          <w:spacing w:val="7"/>
        </w:rPr>
        <w:t>本公司以人民币</w:t>
      </w:r>
      <w:r>
        <w:rPr>
          <w:rFonts w:ascii="宋体" w:hAnsi="宋体" w:cs="宋体" w:eastAsia="宋体" w:hint="default"/>
          <w:spacing w:val="7"/>
        </w:rPr>
        <w:t>300,000.00</w:t>
      </w:r>
      <w:r>
        <w:rPr>
          <w:spacing w:val="7"/>
        </w:rPr>
        <w:t>元银行承兑汇票保证金质押，取得杭州联合农村商业银行股份有限公司科技支行人民币</w:t>
      </w:r>
    </w:p>
    <w:p>
      <w:pPr>
        <w:pStyle w:val="BodyText"/>
        <w:spacing w:line="19" w:lineRule="exact"/>
        <w:ind w:right="1133"/>
        <w:jc w:val="left"/>
      </w:pPr>
      <w:r>
        <w:rPr>
          <w:rFonts w:ascii="宋体" w:hAnsi="宋体" w:cs="宋体" w:eastAsia="宋体" w:hint="default"/>
        </w:rPr>
        <w:t>1,000,000.00</w:t>
      </w:r>
      <w:r>
        <w:rPr/>
        <w:t>元银行承兑汇票，期限为</w:t>
      </w:r>
      <w:r>
        <w:rPr>
          <w:rFonts w:ascii="宋体" w:hAnsi="宋体" w:cs="宋体" w:eastAsia="宋体" w:hint="default"/>
        </w:rPr>
        <w:t>2019</w:t>
      </w:r>
      <w:r>
        <w:rPr/>
        <w:t>年</w:t>
      </w:r>
      <w:r>
        <w:rPr>
          <w:rFonts w:ascii="宋体" w:hAnsi="宋体" w:cs="宋体" w:eastAsia="宋体" w:hint="default"/>
        </w:rPr>
        <w:t>5</w:t>
      </w:r>
      <w:r>
        <w:rPr/>
        <w:t>月至</w:t>
      </w:r>
      <w:r>
        <w:rPr>
          <w:rFonts w:ascii="宋体" w:hAnsi="宋体" w:cs="宋体" w:eastAsia="宋体" w:hint="default"/>
        </w:rPr>
        <w:t>2020</w:t>
      </w:r>
      <w:r>
        <w:rPr/>
        <w:t>年</w:t>
      </w:r>
      <w:r>
        <w:rPr>
          <w:rFonts w:ascii="宋体" w:hAnsi="宋体" w:cs="宋体" w:eastAsia="宋体" w:hint="default"/>
        </w:rPr>
        <w:t>5</w:t>
      </w:r>
      <w:r>
        <w:rPr/>
        <w:t>月。</w:t>
      </w:r>
    </w:p>
    <w:p>
      <w:pPr>
        <w:pStyle w:val="BodyText"/>
        <w:spacing w:line="158" w:lineRule="auto" w:before="34"/>
        <w:ind w:right="1133"/>
        <w:jc w:val="left"/>
      </w:pPr>
      <w:r>
        <w:rPr>
          <w:rFonts w:ascii="Cambria Math" w:hAnsi="Cambria Math" w:cs="Cambria Math" w:eastAsia="Cambria Math" w:hint="default"/>
        </w:rPr>
        <w:t>⑫</w:t>
      </w:r>
      <w:r>
        <w:rPr/>
        <w:t>本公司以人民币</w:t>
      </w:r>
      <w:r>
        <w:rPr>
          <w:rFonts w:ascii="宋体" w:hAnsi="宋体" w:cs="宋体" w:eastAsia="宋体" w:hint="default"/>
        </w:rPr>
        <w:t>671,945.00</w:t>
      </w:r>
      <w:r>
        <w:rPr/>
        <w:t>元银行承兑汇票保证金质押，取得中国银行股份有限公司钱江新城支行人民币</w:t>
      </w:r>
      <w:r>
        <w:rPr>
          <w:rFonts w:ascii="宋体" w:hAnsi="宋体" w:cs="宋体" w:eastAsia="宋体" w:hint="default"/>
        </w:rPr>
        <w:t>671,945.00</w:t>
      </w:r>
      <w:r>
        <w:rPr/>
        <w:t>元</w:t>
      </w:r>
      <w:r>
        <w:rPr>
          <w:spacing w:val="-43"/>
        </w:rPr>
        <w:t> </w:t>
      </w:r>
      <w:r>
        <w:rPr/>
        <w:t>银行承兑汇票，期限为</w:t>
      </w:r>
      <w:r>
        <w:rPr>
          <w:rFonts w:ascii="宋体" w:hAnsi="宋体" w:cs="宋体" w:eastAsia="宋体" w:hint="default"/>
        </w:rPr>
        <w:t>2019</w:t>
      </w:r>
      <w:r>
        <w:rPr/>
        <w:t>年</w:t>
      </w:r>
      <w:r>
        <w:rPr>
          <w:rFonts w:ascii="宋体" w:hAnsi="宋体" w:cs="宋体" w:eastAsia="宋体" w:hint="default"/>
        </w:rPr>
        <w:t>12</w:t>
      </w:r>
      <w:r>
        <w:rPr/>
        <w:t>月至</w:t>
      </w:r>
      <w:r>
        <w:rPr>
          <w:rFonts w:ascii="宋体" w:hAnsi="宋体" w:cs="宋体" w:eastAsia="宋体" w:hint="default"/>
        </w:rPr>
        <w:t>2020</w:t>
      </w:r>
      <w:r>
        <w:rPr/>
        <w:t>年</w:t>
      </w:r>
      <w:r>
        <w:rPr>
          <w:rFonts w:ascii="宋体" w:hAnsi="宋体" w:cs="宋体" w:eastAsia="宋体" w:hint="default"/>
        </w:rPr>
        <w:t>5</w:t>
      </w:r>
      <w:r>
        <w:rPr/>
        <w:t>月。</w:t>
      </w:r>
    </w:p>
    <w:p>
      <w:pPr>
        <w:pStyle w:val="BodyText"/>
        <w:spacing w:line="515" w:lineRule="exact"/>
        <w:ind w:right="0"/>
        <w:jc w:val="left"/>
      </w:pPr>
      <w:r>
        <w:rPr>
          <w:rFonts w:ascii="Cambria Math" w:hAnsi="Cambria Math" w:cs="Cambria Math" w:eastAsia="Cambria Math" w:hint="default"/>
        </w:rPr>
        <w:t>⑬</w:t>
      </w:r>
      <w:r>
        <w:rPr/>
        <w:t>本公司以人民币</w:t>
      </w:r>
      <w:r>
        <w:rPr>
          <w:rFonts w:ascii="宋体" w:hAnsi="宋体" w:cs="宋体" w:eastAsia="宋体" w:hint="default"/>
        </w:rPr>
        <w:t>5,000,000.00</w:t>
      </w:r>
      <w:r>
        <w:rPr/>
        <w:t>元的信用证保证金质押，取得浙商银行股份有限公司杭州分行人民币</w:t>
      </w:r>
      <w:r>
        <w:rPr>
          <w:rFonts w:ascii="宋体" w:hAnsi="宋体" w:cs="宋体" w:eastAsia="宋体" w:hint="default"/>
        </w:rPr>
        <w:t>20,000,000.00</w:t>
      </w:r>
      <w:r>
        <w:rPr/>
        <w:t>元短期</w:t>
      </w:r>
    </w:p>
    <w:p>
      <w:pPr>
        <w:pStyle w:val="BodyText"/>
        <w:spacing w:line="19" w:lineRule="exact"/>
        <w:ind w:right="1133"/>
        <w:jc w:val="left"/>
      </w:pPr>
      <w:r>
        <w:rPr/>
        <w:t>借款，期限为</w:t>
      </w:r>
      <w:r>
        <w:rPr>
          <w:rFonts w:ascii="宋体" w:hAnsi="宋体" w:cs="宋体" w:eastAsia="宋体" w:hint="default"/>
        </w:rPr>
        <w:t>2019</w:t>
      </w:r>
      <w:r>
        <w:rPr/>
        <w:t>年</w:t>
      </w:r>
      <w:r>
        <w:rPr>
          <w:rFonts w:ascii="宋体" w:hAnsi="宋体" w:cs="宋体" w:eastAsia="宋体" w:hint="default"/>
        </w:rPr>
        <w:t>3</w:t>
      </w:r>
      <w:r>
        <w:rPr/>
        <w:t>月至</w:t>
      </w:r>
      <w:r>
        <w:rPr>
          <w:rFonts w:ascii="宋体" w:hAnsi="宋体" w:cs="宋体" w:eastAsia="宋体" w:hint="default"/>
        </w:rPr>
        <w:t>2020</w:t>
      </w:r>
      <w:r>
        <w:rPr/>
        <w:t>年</w:t>
      </w:r>
      <w:r>
        <w:rPr>
          <w:rFonts w:ascii="宋体" w:hAnsi="宋体" w:cs="宋体" w:eastAsia="宋体" w:hint="default"/>
        </w:rPr>
        <w:t>3</w:t>
      </w:r>
      <w:r>
        <w:rPr/>
        <w:t>月。</w:t>
      </w:r>
    </w:p>
    <w:p>
      <w:pPr>
        <w:pStyle w:val="BodyText"/>
        <w:spacing w:line="158" w:lineRule="auto" w:before="34"/>
        <w:ind w:right="1133"/>
        <w:jc w:val="left"/>
      </w:pPr>
      <w:r>
        <w:rPr>
          <w:rFonts w:ascii="Cambria Math" w:hAnsi="Cambria Math" w:cs="Cambria Math" w:eastAsia="Cambria Math" w:hint="default"/>
        </w:rPr>
        <w:t>⑭</w:t>
      </w:r>
      <w:r>
        <w:rPr/>
        <w:t>公司存入指定银行账户农民工保证金金额</w:t>
      </w:r>
      <w:r>
        <w:rPr>
          <w:rFonts w:ascii="宋体" w:hAnsi="宋体" w:cs="宋体" w:eastAsia="宋体" w:hint="default"/>
        </w:rPr>
        <w:t>3,529,710.22</w:t>
      </w:r>
      <w:r>
        <w:rPr/>
        <w:t>元，为公司外地项目聘请农民工事项提供保证，年末处于受限状</w:t>
      </w:r>
      <w:r>
        <w:rPr>
          <w:spacing w:val="-44"/>
        </w:rPr>
        <w:t> </w:t>
      </w:r>
      <w:r>
        <w:rPr>
          <w:spacing w:val="-44"/>
        </w:rPr>
      </w:r>
      <w:r>
        <w:rPr/>
        <w:t>态。</w:t>
      </w:r>
    </w:p>
    <w:p>
      <w:pPr>
        <w:pStyle w:val="BodyText"/>
        <w:spacing w:line="515" w:lineRule="exact"/>
        <w:ind w:right="1133"/>
        <w:jc w:val="left"/>
      </w:pPr>
      <w:r>
        <w:rPr>
          <w:rFonts w:ascii="Cambria Math" w:hAnsi="Cambria Math" w:cs="Cambria Math" w:eastAsia="Cambria Math" w:hint="default"/>
        </w:rPr>
        <w:t>⑮</w:t>
      </w:r>
      <w:r>
        <w:rPr/>
        <w:t>本公司以人民币</w:t>
      </w:r>
      <w:r>
        <w:rPr>
          <w:rFonts w:ascii="宋体" w:hAnsi="宋体" w:cs="宋体" w:eastAsia="宋体" w:hint="default"/>
        </w:rPr>
        <w:t>744,095.00</w:t>
      </w:r>
      <w:r>
        <w:rPr/>
        <w:t>元定期存款质押，取得中国工商银行股份有限公司厦门美仁宫支行人民币</w:t>
      </w:r>
      <w:r>
        <w:rPr>
          <w:rFonts w:ascii="宋体" w:hAnsi="宋体" w:cs="宋体" w:eastAsia="宋体" w:hint="default"/>
        </w:rPr>
        <w:t>744,094.80</w:t>
      </w:r>
      <w:r>
        <w:rPr/>
        <w:t>元银行</w:t>
      </w:r>
    </w:p>
    <w:p>
      <w:pPr>
        <w:pStyle w:val="BodyText"/>
        <w:spacing w:line="19" w:lineRule="exact"/>
        <w:ind w:right="1133"/>
        <w:jc w:val="left"/>
      </w:pPr>
      <w:r>
        <w:rPr/>
        <w:t>承兑汇票，期限为</w:t>
      </w:r>
      <w:r>
        <w:rPr>
          <w:rFonts w:ascii="宋体" w:hAnsi="宋体" w:cs="宋体" w:eastAsia="宋体" w:hint="default"/>
        </w:rPr>
        <w:t>2019</w:t>
      </w:r>
      <w:r>
        <w:rPr/>
        <w:t>年</w:t>
      </w:r>
      <w:r>
        <w:rPr>
          <w:rFonts w:ascii="宋体" w:hAnsi="宋体" w:cs="宋体" w:eastAsia="宋体" w:hint="default"/>
        </w:rPr>
        <w:t>10</w:t>
      </w:r>
      <w:r>
        <w:rPr/>
        <w:t>月至</w:t>
      </w:r>
      <w:r>
        <w:rPr>
          <w:rFonts w:ascii="宋体" w:hAnsi="宋体" w:cs="宋体" w:eastAsia="宋体" w:hint="default"/>
        </w:rPr>
        <w:t>2020</w:t>
      </w:r>
      <w:r>
        <w:rPr/>
        <w:t>年</w:t>
      </w:r>
      <w:r>
        <w:rPr>
          <w:rFonts w:ascii="宋体" w:hAnsi="宋体" w:cs="宋体" w:eastAsia="宋体" w:hint="default"/>
        </w:rPr>
        <w:t>1</w:t>
      </w:r>
      <w:r>
        <w:rPr/>
        <w:t>月。</w:t>
      </w:r>
    </w:p>
    <w:p>
      <w:pPr>
        <w:pStyle w:val="BodyText"/>
        <w:spacing w:line="158" w:lineRule="auto" w:before="34"/>
        <w:ind w:right="0"/>
        <w:jc w:val="left"/>
      </w:pPr>
      <w:r>
        <w:rPr>
          <w:rFonts w:ascii="Cambria Math" w:hAnsi="Cambria Math" w:cs="Cambria Math" w:eastAsia="Cambria Math" w:hint="default"/>
          <w:spacing w:val="-1"/>
        </w:rPr>
        <w:t>⑯</w:t>
      </w:r>
      <w:r>
        <w:rPr>
          <w:spacing w:val="-1"/>
        </w:rPr>
        <w:t>子公司健康宝互联网技术有限公司存入上海浦东发展银行杭州分行保俶支行指定银行账户定期存款</w:t>
      </w:r>
      <w:r>
        <w:rPr>
          <w:rFonts w:ascii="宋体" w:hAnsi="宋体" w:cs="宋体" w:eastAsia="宋体" w:hint="default"/>
          <w:spacing w:val="-1"/>
        </w:rPr>
        <w:t>11,000,000.00</w:t>
      </w:r>
      <w:r>
        <w:rPr>
          <w:spacing w:val="-1"/>
        </w:rPr>
        <w:t>元，为</w:t>
      </w:r>
      <w:r>
        <w:rPr>
          <w:spacing w:val="-62"/>
        </w:rPr>
        <w:t> </w:t>
      </w:r>
      <w:r>
        <w:rPr>
          <w:spacing w:val="-62"/>
        </w:rPr>
      </w:r>
      <w:r>
        <w:rPr/>
        <w:t>公司短期借款</w:t>
      </w:r>
      <w:r>
        <w:rPr>
          <w:rFonts w:ascii="宋体" w:hAnsi="宋体" w:cs="宋体" w:eastAsia="宋体" w:hint="default"/>
        </w:rPr>
        <w:t>10,450,000.00</w:t>
      </w:r>
      <w:r>
        <w:rPr/>
        <w:t>元提供担保，期限为</w:t>
      </w:r>
      <w:r>
        <w:rPr>
          <w:rFonts w:ascii="宋体" w:hAnsi="宋体" w:cs="宋体" w:eastAsia="宋体" w:hint="default"/>
        </w:rPr>
        <w:t>2019</w:t>
      </w:r>
      <w:r>
        <w:rPr/>
        <w:t>年</w:t>
      </w:r>
      <w:r>
        <w:rPr>
          <w:rFonts w:ascii="宋体" w:hAnsi="宋体" w:cs="宋体" w:eastAsia="宋体" w:hint="default"/>
        </w:rPr>
        <w:t>6</w:t>
      </w:r>
      <w:r>
        <w:rPr/>
        <w:t>月至</w:t>
      </w:r>
      <w:r>
        <w:rPr>
          <w:rFonts w:ascii="宋体" w:hAnsi="宋体" w:cs="宋体" w:eastAsia="宋体" w:hint="default"/>
        </w:rPr>
        <w:t>2020</w:t>
      </w:r>
      <w:r>
        <w:rPr/>
        <w:t>年</w:t>
      </w:r>
      <w:r>
        <w:rPr>
          <w:rFonts w:ascii="宋体" w:hAnsi="宋体" w:cs="宋体" w:eastAsia="宋体" w:hint="default"/>
        </w:rPr>
        <w:t>6</w:t>
      </w:r>
      <w:r>
        <w:rPr/>
        <w:t>月。</w:t>
      </w:r>
    </w:p>
    <w:p>
      <w:pPr>
        <w:pStyle w:val="BodyText"/>
        <w:spacing w:line="515" w:lineRule="exact"/>
        <w:ind w:right="0"/>
        <w:jc w:val="left"/>
      </w:pPr>
      <w:r>
        <w:rPr>
          <w:rFonts w:ascii="Cambria Math" w:hAnsi="Cambria Math" w:cs="Cambria Math" w:eastAsia="Cambria Math" w:hint="default"/>
        </w:rPr>
        <w:t>⑰</w:t>
      </w:r>
      <w:r>
        <w:rPr/>
        <w:t>子公司浙江银江智慧交通集团有限公司以人民币</w:t>
      </w:r>
      <w:r>
        <w:rPr>
          <w:rFonts w:ascii="宋体" w:hAnsi="宋体" w:cs="宋体" w:eastAsia="宋体" w:hint="default"/>
        </w:rPr>
        <w:t>20,000,000.00</w:t>
      </w:r>
      <w:r>
        <w:rPr/>
        <w:t>元定期存款为质押，取得中国民生银行股份有限公司杭州</w:t>
      </w:r>
    </w:p>
    <w:p>
      <w:pPr>
        <w:pStyle w:val="BodyText"/>
        <w:spacing w:line="118" w:lineRule="exact"/>
        <w:ind w:right="1133"/>
        <w:jc w:val="left"/>
      </w:pPr>
      <w:r>
        <w:rPr/>
        <w:t>分行人民币</w:t>
      </w:r>
      <w:r>
        <w:rPr>
          <w:rFonts w:ascii="宋体" w:hAnsi="宋体" w:cs="宋体" w:eastAsia="宋体" w:hint="default"/>
        </w:rPr>
        <w:t>20,000,000.00</w:t>
      </w:r>
      <w:r>
        <w:rPr/>
        <w:t>元短期借款，期限为</w:t>
      </w:r>
      <w:r>
        <w:rPr>
          <w:rFonts w:ascii="宋体" w:hAnsi="宋体" w:cs="宋体" w:eastAsia="宋体" w:hint="default"/>
        </w:rPr>
        <w:t>2019</w:t>
      </w:r>
      <w:r>
        <w:rPr/>
        <w:t>年</w:t>
      </w:r>
      <w:r>
        <w:rPr>
          <w:rFonts w:ascii="宋体" w:hAnsi="宋体" w:cs="宋体" w:eastAsia="宋体" w:hint="default"/>
        </w:rPr>
        <w:t>9</w:t>
      </w:r>
      <w:r>
        <w:rPr/>
        <w:t>月至</w:t>
      </w:r>
      <w:r>
        <w:rPr>
          <w:rFonts w:ascii="宋体" w:hAnsi="宋体" w:cs="宋体" w:eastAsia="宋体" w:hint="default"/>
        </w:rPr>
        <w:t>2020</w:t>
      </w:r>
      <w:r>
        <w:rPr/>
        <w:t>年</w:t>
      </w:r>
      <w:r>
        <w:rPr>
          <w:rFonts w:ascii="宋体" w:hAnsi="宋体" w:cs="宋体" w:eastAsia="宋体" w:hint="default"/>
        </w:rPr>
        <w:t>9</w:t>
      </w:r>
      <w:r>
        <w:rPr/>
        <w:t>月。</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交易性金融资产" w:id="232"/>
      <w:bookmarkEnd w:id="232"/>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衍生金融资产" w:id="233"/>
      <w:bookmarkEnd w:id="233"/>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应收票据" w:id="234"/>
      <w:bookmarkEnd w:id="234"/>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票据分类列示" w:id="235"/>
      <w:bookmarkEnd w:id="23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333,052.00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551,606.81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884,658.81</w:t>
            </w:r>
          </w:p>
        </w:tc>
      </w:tr>
    </w:tbl>
    <w:p>
      <w:pPr>
        <w:pStyle w:val="BodyText"/>
        <w:spacing w:line="240" w:lineRule="auto" w:before="49"/>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3841"/>
        <w:gridCol w:w="4082"/>
      </w:tblGrid>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932"/>
        <w:gridCol w:w="797"/>
        <w:gridCol w:w="79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2" w:hRule="exact"/>
        </w:trPr>
        <w:tc>
          <w:tcPr>
            <w:tcW w:w="1635" w:type="dxa"/>
            <w:vMerge/>
            <w:tcBorders>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635" w:type="dxa"/>
            <w:vMerge/>
            <w:tcBorders>
              <w:left w:val="single" w:sz="4" w:space="0" w:color="000000"/>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560,000.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884,658.8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884,658.8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560,000.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333,052.0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37.65%</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333,052.0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551,606.8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62.35%</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551,606.8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560,000.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884,658.8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884,658.8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本期计提、收回或转回的坏账准备情况" w:id="236"/>
      <w:bookmarkEnd w:id="23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期末公司已质押的应收票据" w:id="237"/>
      <w:bookmarkEnd w:id="237"/>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期末公司已背书或贴现且在资产负债表日尚未到期的应收票据" w:id="238"/>
      <w:bookmarkEnd w:id="238"/>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5）期末公司因出票人未履约而将其转应收账款的票据" w:id="239"/>
      <w:bookmarkEnd w:id="239"/>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6）本期实际核销的应收票据情况" w:id="240"/>
      <w:bookmarkEnd w:id="240"/>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5、应收账款" w:id="241"/>
      <w:bookmarkEnd w:id="241"/>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应收账款分类披露" w:id="242"/>
      <w:bookmarkEnd w:id="24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35"/>
        <w:gridCol w:w="751"/>
        <w:gridCol w:w="764"/>
        <w:gridCol w:w="761"/>
        <w:gridCol w:w="763"/>
        <w:gridCol w:w="802"/>
        <w:gridCol w:w="763"/>
        <w:gridCol w:w="797"/>
        <w:gridCol w:w="800"/>
        <w:gridCol w:w="790"/>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2" w:type="dxa"/>
            <w:vMerge w:val="restart"/>
            <w:tcBorders>
              <w:top w:val="single" w:sz="4" w:space="0" w:color="000000"/>
              <w:left w:val="single" w:sz="4" w:space="0" w:color="000000"/>
              <w:right w:val="single" w:sz="4" w:space="0" w:color="000000"/>
            </w:tcBorders>
            <w:shd w:val="clear" w:color="auto" w:fill="D2D2D2"/>
          </w:tcPr>
          <w:p>
            <w:pPr/>
          </w:p>
        </w:tc>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9"/>
              <w:jc w:val="center"/>
              <w:rPr>
                <w:rFonts w:ascii="宋体" w:hAnsi="宋体" w:cs="宋体" w:eastAsia="宋体" w:hint="default"/>
                <w:sz w:val="18"/>
                <w:szCs w:val="18"/>
              </w:rPr>
            </w:pPr>
            <w:r>
              <w:rPr>
                <w:rFonts w:ascii="宋体" w:hAnsi="宋体" w:cs="宋体" w:eastAsia="宋体" w:hint="default"/>
                <w:sz w:val="18"/>
                <w:szCs w:val="18"/>
              </w:rPr>
              <w:t>类别</w:t>
            </w:r>
          </w:p>
        </w:tc>
        <w:tc>
          <w:tcPr>
            <w:tcW w:w="151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5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5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51"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1"/>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51" w:type="dxa"/>
            <w:tcBorders>
              <w:top w:val="single" w:sz="4" w:space="0" w:color="000000"/>
              <w:left w:val="single" w:sz="10" w:space="0" w:color="D2D2D2"/>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695,400.0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1"/>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1,758,86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8,334.27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292,445,</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667.66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16.63%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1,466,422</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,666.61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1,616,925</w:t>
            </w:r>
          </w:p>
          <w:p>
            <w:pPr>
              <w:pStyle w:val="TableParagraph"/>
              <w:spacing w:line="240" w:lineRule="auto" w:before="105"/>
              <w:ind w:left="170" w:right="0"/>
              <w:jc w:val="center"/>
              <w:rPr>
                <w:rFonts w:ascii="Times New Roman" w:hAnsi="Times New Roman" w:cs="Times New Roman" w:eastAsia="Times New Roman" w:hint="default"/>
                <w:sz w:val="18"/>
                <w:szCs w:val="18"/>
              </w:rPr>
            </w:pPr>
            <w:r>
              <w:rPr>
                <w:rFonts w:ascii="Times New Roman"/>
                <w:sz w:val="18"/>
              </w:rPr>
              <w:t>,077.89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293,786,3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35.80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1,323,138,7</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42.09</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8" w:right="0"/>
              <w:jc w:val="left"/>
              <w:rPr>
                <w:rFonts w:ascii="Times New Roman" w:hAnsi="Times New Roman" w:cs="Times New Roman" w:eastAsia="Times New Roman" w:hint="default"/>
                <w:sz w:val="18"/>
                <w:szCs w:val="18"/>
              </w:rPr>
            </w:pPr>
            <w:r>
              <w:rPr>
                <w:rFonts w:ascii="Times New Roman"/>
                <w:sz w:val="18"/>
              </w:rPr>
              <w:t>1,758,86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8" w:right="0"/>
              <w:jc w:val="left"/>
              <w:rPr>
                <w:rFonts w:ascii="Times New Roman" w:hAnsi="Times New Roman" w:cs="Times New Roman" w:eastAsia="Times New Roman" w:hint="default"/>
                <w:sz w:val="18"/>
                <w:szCs w:val="18"/>
              </w:rPr>
            </w:pPr>
            <w:r>
              <w:rPr>
                <w:rFonts w:ascii="Times New Roman"/>
                <w:sz w:val="18"/>
              </w:rPr>
              <w:t>292,445,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16.63%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5" w:right="0"/>
              <w:jc w:val="left"/>
              <w:rPr>
                <w:rFonts w:ascii="Times New Roman" w:hAnsi="Times New Roman" w:cs="Times New Roman" w:eastAsia="Times New Roman" w:hint="default"/>
                <w:sz w:val="18"/>
                <w:szCs w:val="18"/>
              </w:rPr>
            </w:pPr>
            <w:r>
              <w:rPr>
                <w:rFonts w:ascii="Times New Roman"/>
                <w:sz w:val="18"/>
              </w:rPr>
              <w:t>1,466,422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2" w:right="0"/>
              <w:jc w:val="left"/>
              <w:rPr>
                <w:rFonts w:ascii="Times New Roman" w:hAnsi="Times New Roman" w:cs="Times New Roman" w:eastAsia="Times New Roman" w:hint="default"/>
                <w:sz w:val="18"/>
                <w:szCs w:val="18"/>
              </w:rPr>
            </w:pPr>
            <w:r>
              <w:rPr>
                <w:rFonts w:ascii="Times New Roman"/>
                <w:sz w:val="18"/>
              </w:rPr>
              <w:t>1,616,925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99.96%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293,786,3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1,323,138,7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800"/>
        <w:gridCol w:w="790"/>
        <w:gridCol w:w="931"/>
      </w:tblGrid>
      <w:tr>
        <w:trPr>
          <w:trHeight w:val="363" w:hRule="exact"/>
        </w:trPr>
        <w:tc>
          <w:tcPr>
            <w:tcW w:w="163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8,334.27</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5" w:right="0"/>
              <w:jc w:val="left"/>
              <w:rPr>
                <w:rFonts w:ascii="Times New Roman" w:hAnsi="Times New Roman" w:cs="Times New Roman" w:eastAsia="Times New Roman" w:hint="default"/>
                <w:sz w:val="18"/>
                <w:szCs w:val="18"/>
              </w:rPr>
            </w:pPr>
            <w:r>
              <w:rPr>
                <w:rFonts w:ascii="Times New Roman"/>
                <w:sz w:val="18"/>
              </w:rPr>
              <w:t>667.66</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5" w:right="0"/>
              <w:jc w:val="left"/>
              <w:rPr>
                <w:rFonts w:ascii="Times New Roman" w:hAnsi="Times New Roman" w:cs="Times New Roman" w:eastAsia="Times New Roman" w:hint="default"/>
                <w:sz w:val="18"/>
                <w:szCs w:val="18"/>
              </w:rPr>
            </w:pPr>
            <w:r>
              <w:rPr>
                <w:rFonts w:ascii="Times New Roman"/>
                <w:sz w:val="18"/>
              </w:rPr>
              <w:t>,666.61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4" w:right="0"/>
              <w:jc w:val="left"/>
              <w:rPr>
                <w:rFonts w:ascii="Times New Roman" w:hAnsi="Times New Roman" w:cs="Times New Roman" w:eastAsia="Times New Roman" w:hint="default"/>
                <w:sz w:val="18"/>
                <w:szCs w:val="18"/>
              </w:rPr>
            </w:pPr>
            <w:r>
              <w:rPr>
                <w:rFonts w:ascii="Times New Roman"/>
                <w:sz w:val="18"/>
              </w:rPr>
              <w:t>,077.89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9" w:right="0"/>
              <w:jc w:val="left"/>
              <w:rPr>
                <w:rFonts w:ascii="Times New Roman" w:hAnsi="Times New Roman" w:cs="Times New Roman" w:eastAsia="Times New Roman" w:hint="default"/>
                <w:sz w:val="18"/>
                <w:szCs w:val="18"/>
              </w:rPr>
            </w:pPr>
            <w:r>
              <w:rPr>
                <w:rFonts w:ascii="Times New Roman"/>
                <w:sz w:val="18"/>
              </w:rPr>
              <w:t>35.80</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4" w:right="0"/>
              <w:jc w:val="left"/>
              <w:rPr>
                <w:rFonts w:ascii="Times New Roman" w:hAnsi="Times New Roman" w:cs="Times New Roman" w:eastAsia="Times New Roman" w:hint="default"/>
                <w:sz w:val="18"/>
                <w:szCs w:val="18"/>
              </w:rPr>
            </w:pPr>
            <w:r>
              <w:rPr>
                <w:rFonts w:ascii="Times New Roman"/>
                <w:sz w:val="18"/>
              </w:rPr>
              <w:t>42.09</w:t>
            </w: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1,758,86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8,334.27</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292,445,</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667.66</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1,466,422</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,666.61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1,617,620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,477.89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294,481,7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35.80</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1,323,138,7</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42.09</w:t>
            </w:r>
          </w:p>
        </w:tc>
      </w:tr>
    </w:tbl>
    <w:p>
      <w:pPr>
        <w:pStyle w:val="BodyText"/>
        <w:spacing w:line="240" w:lineRule="auto" w:before="49"/>
        <w:ind w:right="1133"/>
        <w:jc w:val="left"/>
      </w:pPr>
      <w:r>
        <w:rPr/>
        <w:t>按账龄披露</w:t>
      </w:r>
    </w:p>
    <w:p>
      <w:pPr>
        <w:pStyle w:val="BodyText"/>
        <w:spacing w:line="240" w:lineRule="auto" w:before="117"/>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931,385,281.62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480,754,615.17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92,316,463.36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254,411,974.12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77,197,698.34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72,952,836.20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104,261,439.58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1,758,868,334.27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本期计提、收回或转回的坏账准备情况" w:id="243"/>
      <w:bookmarkEnd w:id="24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294,481,735.80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7,757,087.76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-3,264,825.91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-6,528,329.99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292,445,667.66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294,481,735.80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7,757,087.76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-3,264,825.91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-6,528,329.99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292,445,667.66</w:t>
            </w:r>
          </w:p>
        </w:tc>
      </w:tr>
    </w:tbl>
    <w:p>
      <w:pPr>
        <w:pStyle w:val="BodyText"/>
        <w:spacing w:line="240" w:lineRule="auto" w:before="49"/>
        <w:ind w:right="1133"/>
        <w:jc w:val="left"/>
      </w:pPr>
      <w:r>
        <w:rPr/>
        <w:t>其中本期坏账准备收回或转回金额重要的：无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本期实际核销的应收账款情况" w:id="244"/>
      <w:bookmarkEnd w:id="244"/>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3,264,825.91</w:t>
            </w:r>
          </w:p>
        </w:tc>
      </w:tr>
    </w:tbl>
    <w:p>
      <w:pPr>
        <w:pStyle w:val="BodyText"/>
        <w:spacing w:line="240" w:lineRule="auto" w:before="49"/>
        <w:ind w:right="1133"/>
        <w:jc w:val="left"/>
      </w:pPr>
      <w:r>
        <w:rPr/>
        <w:t>其中重要的应收账款核销情况：</w:t>
      </w:r>
    </w:p>
    <w:p>
      <w:pPr>
        <w:pStyle w:val="BodyText"/>
        <w:spacing w:line="240" w:lineRule="auto" w:before="117"/>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北京四海商达科技 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3,264,825.91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所属公司对应董事 会决议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3,264,825.91</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按欠款方归集的期末余额前五名的应收账款情况" w:id="245"/>
      <w:bookmarkEnd w:id="245"/>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5"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135,850,000.00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6,792,500.00</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51,320,654.76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2,566,032.74</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35,256,335.54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1,762,816.78</w:t>
            </w:r>
          </w:p>
        </w:tc>
      </w:tr>
      <w:tr>
        <w:trPr>
          <w:trHeight w:val="40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30,866,810.04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3,721,931.01</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28,358,269.36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1,417,913.47</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281,652,069.70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16.00%</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因金融资产转移而终止确认的应收账款" w:id="246"/>
      <w:bookmarkEnd w:id="246"/>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无因金融资产转移而终止确认的应收账款。</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6）转移应收账款且继续涉入形成的资产、负债金额" w:id="247"/>
      <w:bookmarkEnd w:id="247"/>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无转移应收账款且继续涉入形成的资产、负债。</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6、应收款项融资" w:id="248"/>
      <w:bookmarkEnd w:id="248"/>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10,360,000.00</w:t>
            </w:r>
          </w:p>
        </w:tc>
      </w:tr>
    </w:tbl>
    <w:p>
      <w:pPr>
        <w:pStyle w:val="BodyText"/>
        <w:spacing w:line="240" w:lineRule="auto" w:before="49"/>
        <w:ind w:right="1133"/>
        <w:jc w:val="left"/>
      </w:pPr>
      <w:r>
        <w:rPr/>
        <w:t>应收款项融资本期增减变动及公允价值变动情况</w:t>
      </w:r>
    </w:p>
    <w:p>
      <w:pPr>
        <w:pStyle w:val="BodyText"/>
        <w:spacing w:line="340" w:lineRule="auto" w:before="115"/>
        <w:ind w:right="139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如是按照预期信用损失一般模型计提应收款项融资减值准备，请参照其他应收款的披露方式披露减值准备的相关信息：</w:t>
      </w:r>
    </w:p>
    <w:p>
      <w:pPr>
        <w:pStyle w:val="BodyText"/>
        <w:spacing w:line="340" w:lineRule="auto" w:before="39"/>
        <w:ind w:right="913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其他说明：</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7、预付款项" w:id="249"/>
      <w:bookmarkEnd w:id="249"/>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预付款项按账龄列示" w:id="250"/>
      <w:bookmarkEnd w:id="250"/>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29"/>
        <w:gridCol w:w="3819"/>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164,886,443.19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90.49%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162,293,359.58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88.52%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11,314,810.64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8,936,083.89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3,493,125.15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3,950,348.70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2,521,346.77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8,184,097.28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182,215,725.75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183,363,889.45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按预付对象归集的期末余额前五名的预付款情况" w:id="251"/>
      <w:bookmarkEnd w:id="251"/>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6"/>
        <w:jc w:val="left"/>
      </w:pPr>
      <w:r>
        <w:rPr>
          <w:spacing w:val="6"/>
        </w:rPr>
        <w:t>本集团按预付对象归集的年末余额前五名预付账款汇总金额为</w:t>
      </w:r>
      <w:r>
        <w:rPr>
          <w:rFonts w:ascii="宋体" w:hAnsi="宋体" w:cs="宋体" w:eastAsia="宋体" w:hint="default"/>
          <w:spacing w:val="6"/>
        </w:rPr>
        <w:t>60,948,216.86</w:t>
      </w:r>
      <w:r>
        <w:rPr>
          <w:spacing w:val="6"/>
        </w:rPr>
        <w:t>元，占预付账款年末余额合计数的比例为</w:t>
      </w:r>
      <w:r>
        <w:rPr/>
        <w:t> </w:t>
      </w:r>
      <w:r>
        <w:rPr>
          <w:rFonts w:ascii="宋体" w:hAnsi="宋体" w:cs="宋体" w:eastAsia="宋体" w:hint="default"/>
        </w:rPr>
        <w:t>33.45%</w:t>
      </w:r>
      <w:r>
        <w:rPr/>
        <w:t>。</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8、其他应收款" w:id="252"/>
      <w:bookmarkEnd w:id="252"/>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273,829.17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148,436,528.59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261,318,822.39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148,710,357.76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261,318,822.39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应收利息" w:id="253"/>
      <w:bookmarkEnd w:id="253"/>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应收利息分类" w:id="254"/>
      <w:bookmarkEnd w:id="254"/>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273,829.17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273,829.17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重要逾期利息" w:id="255"/>
      <w:bookmarkEnd w:id="255"/>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坏账准备计提情况" w:id="256"/>
      <w:bookmarkEnd w:id="256"/>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2）应收股利" w:id="257"/>
      <w:bookmarkEnd w:id="257"/>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其他应收款" w:id="258"/>
      <w:bookmarkEnd w:id="258"/>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其他应收款按款项性质分类情况" w:id="259"/>
      <w:bookmarkEnd w:id="259"/>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232,796,486.19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239,359,348.05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63,573,783.05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131,926,549.19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132,057,146.59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143,255,372.38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19,294,953.48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21,999,949.23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3,710,038.07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47,895,038.07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3,452,894.85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6,602,959.60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454,885,302.23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591,039,216.52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坏账准备计提情况" w:id="260"/>
      <w:bookmarkEnd w:id="260"/>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95,474,946.84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234,245,447.29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329,720,394.13</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-17,261,233.29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-17,261,233.29</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-1,162,861.86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-1,162,861.86</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-3,394,680.59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-3,394,680.59</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-1,452,844.75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-1,452,844.75</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73,366,188.21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233,082,585.43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306,448,773.64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265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3933" w:space="4987"/>
            <w:col w:w="201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65,795,943.50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286,553,328.56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22,387,239.93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80,148,790.24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18,652,581.94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20,626,282.42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40,869,925.88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454,885,302.23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本期计提、收回或转回的坏账准备情况" w:id="261"/>
      <w:bookmarkEnd w:id="261"/>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40"/>
        <w:gridCol w:w="1332"/>
        <w:gridCol w:w="1332"/>
        <w:gridCol w:w="1325"/>
        <w:gridCol w:w="1726"/>
      </w:tblGrid>
      <w:tr>
        <w:trPr>
          <w:trHeight w:val="402"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单项计提</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234,245,447.2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-1,162,861.86</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233,082,585.43</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95,474,946.84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-17,261,233.29</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-3,394,680.59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-1,452,844.75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73,366,188.21</w:t>
            </w:r>
          </w:p>
        </w:tc>
      </w:tr>
      <w:tr>
        <w:trPr>
          <w:trHeight w:val="716"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329,720,394.1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-17,261,233.29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-1,162,861.86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-3,394,680.59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-1,452,844.75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306,448,773.64</w:t>
            </w:r>
          </w:p>
        </w:tc>
      </w:tr>
    </w:tbl>
    <w:p>
      <w:pPr>
        <w:pStyle w:val="BodyText"/>
        <w:spacing w:line="240" w:lineRule="auto" w:before="49"/>
        <w:ind w:right="1133"/>
        <w:jc w:val="left"/>
      </w:pPr>
      <w:r>
        <w:rPr/>
        <w:t>其中本期坏账准备转回或收回金额重要的：</w:t>
      </w:r>
    </w:p>
    <w:p>
      <w:pPr>
        <w:pStyle w:val="BodyText"/>
        <w:spacing w:line="240" w:lineRule="auto" w:before="115"/>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1,162,861.86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法院强制执行款转入</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1,162,861.86</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6" w:lineRule="auto" w:before="8"/>
        <w:ind w:right="1133"/>
        <w:jc w:val="left"/>
      </w:pPr>
      <w:r>
        <w:rPr>
          <w:spacing w:val="-2"/>
        </w:rPr>
        <w:t>上年末对李欣的业绩补偿款余额</w:t>
      </w:r>
      <w:r>
        <w:rPr>
          <w:rFonts w:ascii="宋体" w:hAnsi="宋体" w:cs="宋体" w:eastAsia="宋体" w:hint="default"/>
          <w:spacing w:val="-2"/>
        </w:rPr>
        <w:t>239,359,348.05</w:t>
      </w:r>
      <w:r>
        <w:rPr>
          <w:spacing w:val="-2"/>
        </w:rPr>
        <w:t>元计提坏账准备金额</w:t>
      </w:r>
      <w:r>
        <w:rPr>
          <w:rFonts w:ascii="宋体" w:hAnsi="宋体" w:cs="宋体" w:eastAsia="宋体" w:hint="default"/>
          <w:spacing w:val="-2"/>
        </w:rPr>
        <w:t>233,959,348.05</w:t>
      </w:r>
      <w:r>
        <w:rPr>
          <w:spacing w:val="-2"/>
        </w:rPr>
        <w:t>元，账面价值</w:t>
      </w:r>
      <w:r>
        <w:rPr>
          <w:rFonts w:ascii="宋体" w:hAnsi="宋体" w:cs="宋体" w:eastAsia="宋体" w:hint="default"/>
          <w:spacing w:val="-2"/>
        </w:rPr>
        <w:t>5,400,000.00</w:t>
      </w:r>
      <w:r>
        <w:rPr>
          <w:spacing w:val="-2"/>
        </w:rPr>
        <w:t>元。本年通</w:t>
      </w:r>
      <w:r>
        <w:rPr>
          <w:spacing w:val="-40"/>
        </w:rPr>
        <w:t> </w:t>
      </w:r>
      <w:r>
        <w:rPr>
          <w:spacing w:val="-40"/>
        </w:rPr>
      </w:r>
      <w:r>
        <w:rPr/>
        <w:t>过法院拍卖李欣房产取得执行款</w:t>
      </w:r>
      <w:r>
        <w:rPr>
          <w:rFonts w:ascii="宋体" w:hAnsi="宋体" w:cs="宋体" w:eastAsia="宋体" w:hint="default"/>
        </w:rPr>
        <w:t>6,562,861.86</w:t>
      </w:r>
      <w:r>
        <w:rPr/>
        <w:t>元，收回坏账准备金额</w:t>
      </w:r>
      <w:r>
        <w:rPr>
          <w:rFonts w:ascii="宋体" w:hAnsi="宋体" w:cs="宋体" w:eastAsia="宋体" w:hint="default"/>
        </w:rPr>
        <w:t>1,162,861.86</w:t>
      </w:r>
      <w:r>
        <w:rPr/>
        <w:t>元。</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4）本期实际核销的其他应收款情况" w:id="262"/>
      <w:bookmarkEnd w:id="262"/>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208"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3,394,680.59</w:t>
            </w:r>
          </w:p>
        </w:tc>
      </w:tr>
    </w:tbl>
    <w:p>
      <w:pPr>
        <w:pStyle w:val="BodyText"/>
        <w:spacing w:line="240" w:lineRule="auto" w:before="49"/>
        <w:ind w:right="1133"/>
        <w:jc w:val="left"/>
      </w:pPr>
      <w:r>
        <w:rPr/>
        <w:t>其中重要的其他应收款核销情况：</w:t>
      </w:r>
    </w:p>
    <w:p>
      <w:pPr>
        <w:pStyle w:val="BodyText"/>
        <w:spacing w:line="240" w:lineRule="auto" w:before="115"/>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上海汉唐科技有限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1,314,680.59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管理层批准</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北京爱普瑞得科技 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所属公司对应董事 会决议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2,164,680.59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按欠款方归集的期末余额前五名的其他应收款情况" w:id="263"/>
      <w:bookmarkEnd w:id="263"/>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102"/>
        <w:gridCol w:w="1558"/>
        <w:gridCol w:w="2124"/>
        <w:gridCol w:w="1595"/>
        <w:gridCol w:w="1595"/>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2"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102"/>
        <w:gridCol w:w="1558"/>
        <w:gridCol w:w="2124"/>
        <w:gridCol w:w="1594"/>
        <w:gridCol w:w="1596"/>
      </w:tblGrid>
      <w:tr>
        <w:trPr>
          <w:trHeight w:val="3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70"/>
              <w:jc w:val="righ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6"/>
              <w:jc w:val="right"/>
              <w:rPr>
                <w:rFonts w:ascii="宋体" w:hAnsi="宋体" w:cs="宋体" w:eastAsia="宋体" w:hint="default"/>
                <w:sz w:val="18"/>
                <w:szCs w:val="18"/>
              </w:rPr>
            </w:pPr>
            <w:r>
              <w:rPr>
                <w:rFonts w:ascii="宋体" w:hAnsi="宋体" w:cs="宋体" w:eastAsia="宋体" w:hint="default"/>
                <w:sz w:val="18"/>
                <w:szCs w:val="18"/>
              </w:rPr>
              <w:t>往来款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232,796,486.19</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232,796,486.19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上海景聃企业管理 中心（有限合伙）</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26"/>
              <w:jc w:val="right"/>
              <w:rPr>
                <w:rFonts w:ascii="宋体" w:hAnsi="宋体" w:cs="宋体" w:eastAsia="宋体" w:hint="default"/>
                <w:sz w:val="18"/>
                <w:szCs w:val="18"/>
              </w:rPr>
            </w:pPr>
            <w:r>
              <w:rPr>
                <w:rFonts w:ascii="宋体" w:hAnsi="宋体" w:cs="宋体" w:eastAsia="宋体" w:hint="default"/>
                <w:sz w:val="18"/>
                <w:szCs w:val="18"/>
              </w:rPr>
              <w:t>往来款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湖州市北建设投资 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26"/>
              <w:jc w:val="right"/>
              <w:rPr>
                <w:rFonts w:ascii="宋体" w:hAnsi="宋体" w:cs="宋体" w:eastAsia="宋体" w:hint="default"/>
                <w:sz w:val="18"/>
                <w:szCs w:val="18"/>
              </w:rPr>
            </w:pPr>
            <w:r>
              <w:rPr>
                <w:rFonts w:ascii="宋体" w:hAnsi="宋体" w:cs="宋体" w:eastAsia="宋体" w:hint="default"/>
                <w:sz w:val="18"/>
                <w:szCs w:val="18"/>
              </w:rPr>
              <w:t>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6,657,000.00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665,700.00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颍上县集中招投标 交易中心</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26"/>
              <w:jc w:val="right"/>
              <w:rPr>
                <w:rFonts w:ascii="宋体" w:hAnsi="宋体" w:cs="宋体" w:eastAsia="宋体" w:hint="default"/>
                <w:sz w:val="18"/>
                <w:szCs w:val="18"/>
              </w:rPr>
            </w:pPr>
            <w:r>
              <w:rPr>
                <w:rFonts w:ascii="宋体" w:hAnsi="宋体" w:cs="宋体" w:eastAsia="宋体" w:hint="default"/>
                <w:sz w:val="18"/>
                <w:szCs w:val="18"/>
              </w:rPr>
              <w:t>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4,886,000.00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1,747,000.00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3,139,000.00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401,250.00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上海中交智能系统 工程有限公司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26"/>
              <w:jc w:val="right"/>
              <w:rPr>
                <w:rFonts w:ascii="宋体" w:hAnsi="宋体" w:cs="宋体" w:eastAsia="宋体" w:hint="default"/>
                <w:sz w:val="18"/>
                <w:szCs w:val="18"/>
              </w:rPr>
            </w:pPr>
            <w:r>
              <w:rPr>
                <w:rFonts w:ascii="宋体" w:hAnsi="宋体" w:cs="宋体" w:eastAsia="宋体" w:hint="default"/>
                <w:sz w:val="18"/>
                <w:szCs w:val="18"/>
              </w:rPr>
              <w:t>往来款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4,653,959.69</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2,653,959.69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2,326,979.85</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85"/>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256,993,445.88</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236,990,416.04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涉及政府补助的应收款项" w:id="264"/>
      <w:bookmarkEnd w:id="264"/>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7）因金融资产转移而终止确认的其他应收款" w:id="265"/>
      <w:bookmarkEnd w:id="265"/>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8）转移其他应收款且继续涉入形成的资产、负债金额" w:id="266"/>
      <w:bookmarkEnd w:id="266"/>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9、存货" w:id="267"/>
      <w:bookmarkEnd w:id="267"/>
      <w:r>
        <w:rPr>
          <w:b w:val="0"/>
          <w:bCs w:val="0"/>
        </w:rPr>
      </w:r>
      <w:r>
        <w:rPr>
          <w:rFonts w:ascii="Times New Roman" w:hAnsi="Times New Roman" w:cs="Times New Roman" w:eastAsia="Times New Roman" w:hint="default"/>
        </w:rPr>
        <w:t>9</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1）存货分类" w:id="268"/>
      <w:bookmarkEnd w:id="26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2,144,424.50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2,144,424.50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11,552,573.43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11,552,573.43</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179,472.66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179,472.66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13,567,155.42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4,290,192.95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9,276,962.47</w:t>
            </w:r>
          </w:p>
        </w:tc>
      </w:tr>
      <w:tr>
        <w:trPr>
          <w:trHeight w:val="1028"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63"/>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1,617,933,940.52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1,617,933,940.52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1,517,610,571.85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1,517,610,571.85</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141,079,851.70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141,079,851.70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150,290,374.95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150,290,374.95</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1,761,337,689.38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1,761,337,689.38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1,693,020,675.65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4,290,192.95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1,688,730,482.70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存货跌价准备" w:id="269"/>
      <w:bookmarkEnd w:id="26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2734"/>
        <w:gridCol w:w="2735"/>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4,290,192.95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2,401,902.40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1,888,290.55</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4,290,192.95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2,401,902.40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1,888,290.55</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存货期末余额含有借款费用资本化金额的说明" w:id="270"/>
      <w:bookmarkEnd w:id="270"/>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期末建造合同形成的已完工未结算资产情况" w:id="271"/>
      <w:bookmarkEnd w:id="27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3,028,390,138.61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1,097,097,286.02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2,507,553,484.11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1,617,933,940.52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10、合同资产" w:id="272"/>
      <w:bookmarkEnd w:id="272"/>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1、持有待售资产" w:id="273"/>
      <w:bookmarkEnd w:id="273"/>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2、一年内到期的非流动资产" w:id="274"/>
      <w:bookmarkEnd w:id="274"/>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13、其他流动资产" w:id="275"/>
      <w:bookmarkEnd w:id="275"/>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953" w:space="696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2,393,337.70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1,857,666.31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65,082.93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181,140.34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2,458,420.63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2,038,806.65</w:t>
            </w:r>
          </w:p>
        </w:tc>
      </w:tr>
    </w:tbl>
    <w:p>
      <w:pPr>
        <w:pStyle w:val="BodyText"/>
        <w:spacing w:line="240" w:lineRule="auto" w:before="49"/>
        <w:ind w:right="1133"/>
        <w:jc w:val="left"/>
      </w:pPr>
      <w:r>
        <w:rPr/>
        <w:t>其他说明：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14、债权投资" w:id="276"/>
      <w:bookmarkEnd w:id="276"/>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5、其他债权投资" w:id="277"/>
      <w:bookmarkEnd w:id="277"/>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6、长期应收款" w:id="278"/>
      <w:bookmarkEnd w:id="278"/>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长期应收款情况" w:id="279"/>
      <w:bookmarkEnd w:id="279"/>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04"/>
        <w:gridCol w:w="1166"/>
        <w:gridCol w:w="1167"/>
        <w:gridCol w:w="1166"/>
        <w:gridCol w:w="1169"/>
        <w:gridCol w:w="1166"/>
        <w:gridCol w:w="1167"/>
        <w:gridCol w:w="1164"/>
      </w:tblGrid>
      <w:tr>
        <w:trPr>
          <w:trHeight w:val="401" w:hRule="exact"/>
        </w:trPr>
        <w:tc>
          <w:tcPr>
            <w:tcW w:w="1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4"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工程款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58,517,803.86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58,517,803.86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88,428,034.89</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88,428,034.89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5.39%-6.49%</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58,517,803.86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58,517,803.86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88,428,034.89</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88,428,034.89</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坏账准备减值情况</w:t>
      </w:r>
    </w:p>
    <w:p>
      <w:pPr>
        <w:pStyle w:val="BodyText"/>
        <w:spacing w:line="240" w:lineRule="auto" w:before="115"/>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50"/>
        <w:ind w:right="1133"/>
        <w:jc w:val="left"/>
      </w:pPr>
      <w:r>
        <w:rPr/>
        <w:t>损失准备本期变动金额重大的账面余额变动情况</w:t>
      </w:r>
    </w:p>
    <w:p>
      <w:pPr>
        <w:pStyle w:val="BodyText"/>
        <w:spacing w:line="240" w:lineRule="auto" w:before="115"/>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因金融资产转移而终止确认的长期应收款" w:id="280"/>
      <w:bookmarkEnd w:id="280"/>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无因金融资产转移而终止确认的长期应收款。</w:t>
      </w:r>
    </w:p>
    <w:p>
      <w:pPr>
        <w:spacing w:line="240" w:lineRule="auto" w:before="0"/>
        <w:rPr>
          <w:rFonts w:ascii="宋体" w:hAnsi="宋体" w:cs="宋体" w:eastAsia="宋体" w:hint="default"/>
          <w:sz w:val="18"/>
          <w:szCs w:val="18"/>
        </w:rPr>
      </w:pPr>
    </w:p>
    <w:p>
      <w:pPr>
        <w:spacing w:line="484" w:lineRule="auto" w:before="120"/>
        <w:ind w:left="152" w:right="5534" w:firstLine="0"/>
        <w:jc w:val="left"/>
        <w:rPr>
          <w:rFonts w:ascii="宋体" w:hAnsi="宋体" w:cs="宋体" w:eastAsia="宋体" w:hint="default"/>
          <w:sz w:val="21"/>
          <w:szCs w:val="21"/>
        </w:rPr>
      </w:pPr>
      <w:bookmarkStart w:name="（3）转移长期应收款且继续涉入形成的资产、负债金额" w:id="281"/>
      <w:bookmarkEnd w:id="281"/>
      <w:r>
        <w:rPr/>
      </w: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）转移长期应收款且继续涉入形成的资产、负债金额</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18"/>
          <w:szCs w:val="18"/>
        </w:rPr>
        <w:t>无转移长期应收款且继续涉入形成的资产、负债</w:t>
      </w:r>
      <w:r>
        <w:rPr>
          <w:rFonts w:ascii="宋体" w:hAnsi="宋体" w:cs="宋体" w:eastAsia="宋体" w:hint="default"/>
          <w:sz w:val="24"/>
          <w:szCs w:val="24"/>
        </w:rPr>
        <w:t>。</w:t>
      </w:r>
      <w:r>
        <w:rPr>
          <w:rFonts w:ascii="宋体" w:hAnsi="宋体" w:cs="宋体" w:eastAsia="宋体" w:hint="default"/>
          <w:sz w:val="24"/>
          <w:szCs w:val="24"/>
        </w:rPr>
        <w:t> </w:t>
      </w:r>
      <w:bookmarkStart w:name="17、长期股权投资" w:id="282"/>
      <w:bookmarkEnd w:id="282"/>
      <w:r>
        <w:rPr>
          <w:rFonts w:ascii="宋体" w:hAnsi="宋体" w:cs="宋体" w:eastAsia="宋体" w:hint="default"/>
          <w:sz w:val="24"/>
          <w:szCs w:val="24"/>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spacing w:line="240" w:lineRule="auto" w:before="107"/>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90.744003pt;margin-top:182.419983pt;width:45.4pt;height:23.4pt;mso-position-horizontal-relative:page;mso-position-vertical-relative:page;z-index:-1185520" type="#_x0000_t202" filled="false" stroked="false">
            <v:textbox inset="0,0,0,0">
              <w:txbxContent>
                <w:p>
                  <w:pPr>
                    <w:pStyle w:val="BodyText"/>
                    <w:spacing w:line="240" w:lineRule="auto" w:before="123"/>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356"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上海银江</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7"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智慧智能</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9,690,843</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481,239.4</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10,172,08</w:t>
            </w:r>
          </w:p>
        </w:tc>
        <w:tc>
          <w:tcPr>
            <w:tcW w:w="797" w:type="dxa"/>
            <w:vMerge/>
            <w:tcBorders>
              <w:left w:val="single" w:sz="4" w:space="0" w:color="000000"/>
              <w:right w:val="single" w:sz="4" w:space="0" w:color="000000"/>
            </w:tcBorders>
          </w:tcPr>
          <w:p>
            <w:pP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化技术有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.87</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1</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3.28</w:t>
            </w:r>
          </w:p>
        </w:tc>
        <w:tc>
          <w:tcPr>
            <w:tcW w:w="797" w:type="dxa"/>
            <w:vMerge/>
            <w:tcBorders>
              <w:left w:val="single" w:sz="4" w:space="0" w:color="000000"/>
              <w:right w:val="single" w:sz="4" w:space="0" w:color="000000"/>
            </w:tcBorders>
          </w:tcPr>
          <w:p>
            <w:pPr/>
          </w:p>
        </w:tc>
      </w:tr>
      <w:tr>
        <w:trPr>
          <w:trHeight w:val="353"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7"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北京欧迈</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39.4pt;height:23.4pt;mso-position-horizontal-relative:char;mso-position-vertical-relative:line" coordorigin="0,0" coordsize="788,468">
                  <v:group style="position:absolute;left:0;top:0;width:788;height:468" coordorigin="0,0" coordsize="788,468">
                    <v:shape style="position:absolute;left:0;top:0;width:788;height:468" coordorigin="0,0" coordsize="788,468" path="m0,468l787,468,787,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特科技股</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17,230,87</w:t>
            </w:r>
          </w:p>
        </w:tc>
      </w:tr>
      <w:tr>
        <w:trPr>
          <w:trHeight w:val="311"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份有限公</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7.83</w:t>
            </w:r>
          </w:p>
        </w:tc>
      </w:tr>
      <w:tr>
        <w:trPr>
          <w:trHeight w:val="355"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湖南欧迈</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7"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特网络科</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-284,451.</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774,031.7</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489,579.9</w:t>
            </w:r>
          </w:p>
        </w:tc>
        <w:tc>
          <w:tcPr>
            <w:tcW w:w="797" w:type="dxa"/>
            <w:vMerge/>
            <w:tcBorders>
              <w:left w:val="single" w:sz="4" w:space="0" w:color="000000"/>
              <w:right w:val="single" w:sz="4" w:space="0" w:color="000000"/>
            </w:tcBorders>
          </w:tcPr>
          <w:p>
            <w:pP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技有限公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81</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5</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4</w:t>
            </w:r>
          </w:p>
        </w:tc>
        <w:tc>
          <w:tcPr>
            <w:tcW w:w="797" w:type="dxa"/>
            <w:vMerge/>
            <w:tcBorders>
              <w:left w:val="single" w:sz="4" w:space="0" w:color="000000"/>
              <w:right w:val="single" w:sz="4" w:space="0" w:color="000000"/>
            </w:tcBorders>
          </w:tcPr>
          <w:p>
            <w:pPr/>
          </w:p>
        </w:tc>
      </w:tr>
      <w:tr>
        <w:trPr>
          <w:trHeight w:val="353"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7"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安徽新网</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7"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讯科技发</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12,133,04</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-27,884.2</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12,105,15</w:t>
            </w:r>
          </w:p>
        </w:tc>
        <w:tc>
          <w:tcPr>
            <w:tcW w:w="797" w:type="dxa"/>
            <w:vMerge/>
            <w:tcBorders>
              <w:left w:val="single" w:sz="4" w:space="0" w:color="000000"/>
              <w:right w:val="single" w:sz="4" w:space="0" w:color="000000"/>
            </w:tcBorders>
          </w:tcPr>
          <w:p>
            <w:pPr/>
          </w:p>
        </w:tc>
      </w:tr>
      <w:tr>
        <w:trPr>
          <w:trHeight w:val="311"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展有限公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0.40</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6</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6.14</w:t>
            </w:r>
          </w:p>
        </w:tc>
        <w:tc>
          <w:tcPr>
            <w:tcW w:w="797" w:type="dxa"/>
            <w:vMerge/>
            <w:tcBorders>
              <w:left w:val="single" w:sz="4" w:space="0" w:color="000000"/>
              <w:right w:val="single" w:sz="4" w:space="0" w:color="000000"/>
            </w:tcBorders>
          </w:tcPr>
          <w:p>
            <w:pPr/>
          </w:p>
        </w:tc>
      </w:tr>
      <w:tr>
        <w:trPr>
          <w:trHeight w:val="355"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北京银江 瑞讯科技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10,624,67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-2,009,50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8,615,175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上海济祥</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935"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319" w:lineRule="auto" w:before="9"/>
              <w:ind w:left="24" w:right="41"/>
              <w:jc w:val="both"/>
              <w:rPr>
                <w:rFonts w:ascii="宋体" w:hAnsi="宋体" w:cs="宋体" w:eastAsia="宋体" w:hint="default"/>
                <w:sz w:val="18"/>
                <w:szCs w:val="18"/>
              </w:rPr>
            </w:pPr>
            <w:r>
              <w:rPr>
                <w:rFonts w:ascii="宋体" w:hAnsi="宋体" w:cs="宋体" w:eastAsia="宋体" w:hint="default"/>
                <w:sz w:val="18"/>
                <w:szCs w:val="18"/>
              </w:rPr>
              <w:t>智能交通 科技有限 公司（注</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4,272,598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.97</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-32,663.9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-4,239,93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5.05</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4,239,935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.05</w:t>
            </w:r>
          </w:p>
        </w:tc>
      </w:tr>
      <w:tr>
        <w:trPr>
          <w:trHeight w:val="360"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杭州天尊 信息技术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2,532,052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-259,914.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2,272,138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厦门银江</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7"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8,665,396</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-250,337.</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8,415,058</w:t>
            </w:r>
          </w:p>
        </w:tc>
        <w:tc>
          <w:tcPr>
            <w:tcW w:w="797" w:type="dxa"/>
            <w:vMerge/>
            <w:tcBorders>
              <w:left w:val="single" w:sz="4" w:space="0" w:color="000000"/>
              <w:right w:val="single" w:sz="4" w:space="0" w:color="000000"/>
            </w:tcBorders>
          </w:tcPr>
          <w:p>
            <w:pPr/>
          </w:p>
        </w:tc>
      </w:tr>
      <w:tr>
        <w:trPr>
          <w:trHeight w:val="311"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技术股份</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.41</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61</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.80</w:t>
            </w:r>
          </w:p>
        </w:tc>
        <w:tc>
          <w:tcPr>
            <w:tcW w:w="797" w:type="dxa"/>
            <w:vMerge/>
            <w:tcBorders>
              <w:left w:val="single" w:sz="4" w:space="0" w:color="000000"/>
              <w:right w:val="single" w:sz="4" w:space="0" w:color="000000"/>
            </w:tcBorders>
          </w:tcPr>
          <w:p>
            <w:pPr/>
          </w:p>
        </w:tc>
      </w:tr>
      <w:tr>
        <w:trPr>
          <w:trHeight w:val="355"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5"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美国华人</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执业医生</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w w:val="95"/>
                <w:sz w:val="18"/>
              </w:rPr>
              <w:t>19,119,30</w:t>
            </w: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网络医院</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53"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杭州银江</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1"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智慧产业</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r>
      <w:tr>
        <w:trPr>
          <w:trHeight w:val="318"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创业投资</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w w:val="95"/>
                <w:sz w:val="18"/>
              </w:rPr>
              <w:t>482,811,6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23,000,00</w:t>
            </w: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16,408,10</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522,219,7</w:t>
            </w:r>
          </w:p>
        </w:tc>
        <w:tc>
          <w:tcPr>
            <w:tcW w:w="797" w:type="dxa"/>
            <w:vMerge/>
            <w:tcBorders>
              <w:left w:val="single" w:sz="4" w:space="0" w:color="000000"/>
              <w:right w:val="single" w:sz="4" w:space="0" w:color="000000"/>
            </w:tcBorders>
          </w:tcPr>
          <w:p>
            <w:pPr/>
          </w:p>
        </w:tc>
      </w:tr>
      <w:tr>
        <w:trPr>
          <w:trHeight w:val="311"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合伙企业</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63.97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6.25</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70.22</w:t>
            </w:r>
          </w:p>
        </w:tc>
        <w:tc>
          <w:tcPr>
            <w:tcW w:w="797" w:type="dxa"/>
            <w:vMerge/>
            <w:tcBorders>
              <w:left w:val="single" w:sz="4" w:space="0" w:color="000000"/>
              <w:right w:val="single" w:sz="4" w:space="0" w:color="000000"/>
            </w:tcBorders>
          </w:tcPr>
          <w:p>
            <w:pPr/>
          </w:p>
        </w:tc>
      </w:tr>
      <w:tr>
        <w:trPr>
          <w:trHeight w:val="307"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r>
      <w:tr>
        <w:trPr>
          <w:trHeight w:val="360"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伙）</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90.744003pt;margin-top:292.849976pt;width:45.4pt;height:15.6pt;mso-position-horizontal-relative:page;mso-position-vertical-relative:page;z-index:-1185472" type="#_x0000_t202" filled="false" stroked="false">
            <v:textbox inset="0,0,0,0">
              <w:txbxContent>
                <w:p>
                  <w:pPr>
                    <w:pStyle w:val="BodyText"/>
                    <w:spacing w:line="203" w:lineRule="exact"/>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杭州银江 医联网技 术股份有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9,972,041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769,734.5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10,741,77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杭州清普 信息技术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23,693,68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358,499.7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24,052,18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1.78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浙江银江 金服控股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27,905,88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-2,071,38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3.95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25,834,49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浙江贤谷 互联网技 术有限公 </w:t>
            </w:r>
            <w:r>
              <w:rPr>
                <w:rFonts w:ascii="宋体" w:hAnsi="宋体" w:cs="宋体" w:eastAsia="宋体" w:hint="default"/>
                <w:spacing w:val="-8"/>
                <w:sz w:val="18"/>
                <w:szCs w:val="18"/>
              </w:rPr>
              <w:t>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19,969,23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5.55</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39.4pt;height:15.6pt;mso-position-horizontal-relative:char;mso-position-vertical-relative:line" coordorigin="0,0" coordsize="788,312">
                  <v:group style="position:absolute;left:0;top:0;width:788;height:312" coordorigin="0,0" coordsize="788,312">
                    <v:shape style="position:absolute;left:0;top:0;width:788;height:312" coordorigin="0,0" coordsize="788,312" path="m0,312l787,312,787,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-387,814.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19,581,42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1.39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重庆市银 江国超科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1,520,684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264,486.8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1,785,171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浙江智尔 信息技术 有限公司</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723,670.8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2,988,820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3,712,491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613,507,3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46.20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14,740,26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-4,239,93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2,988,820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649,996,4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99.81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40,590,11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2.88</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613,507,3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46.20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23,000,00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14,740,26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8.22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-4,239,93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2,988,820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649,996,4</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99.81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40,590,11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2.88</w:t>
            </w:r>
          </w:p>
        </w:tc>
      </w:tr>
    </w:tbl>
    <w:p>
      <w:pPr>
        <w:pStyle w:val="BodyText"/>
        <w:spacing w:line="338" w:lineRule="auto" w:before="49"/>
        <w:ind w:right="1124"/>
        <w:jc w:val="left"/>
      </w:pPr>
      <w:r>
        <w:rPr/>
        <w:t>其他说明 注</w:t>
      </w:r>
      <w:r>
        <w:rPr>
          <w:rFonts w:ascii="宋体" w:hAnsi="宋体" w:cs="宋体" w:eastAsia="宋体" w:hint="default"/>
        </w:rPr>
        <w:t>1</w:t>
      </w:r>
      <w:r>
        <w:rPr/>
        <w:t>：公司投资的北京欧迈特科技股份有限公司近几年亏损金额较大，且</w:t>
      </w:r>
      <w:r>
        <w:rPr>
          <w:rFonts w:ascii="宋体" w:hAnsi="宋体" w:cs="宋体" w:eastAsia="宋体" w:hint="default"/>
        </w:rPr>
        <w:t>2018</w:t>
      </w:r>
      <w:r>
        <w:rPr/>
        <w:t>年公司从全国中小企业股份转让系统摘牌，该</w:t>
      </w:r>
      <w:r>
        <w:rPr>
          <w:spacing w:val="-84"/>
        </w:rPr>
        <w:t> </w:t>
      </w:r>
      <w:r>
        <w:rPr>
          <w:spacing w:val="-84"/>
        </w:rPr>
      </w:r>
      <w:r>
        <w:rPr>
          <w:spacing w:val="-2"/>
        </w:rPr>
        <w:t>笔投资通过转让股权转让实现退出的可能性较小，公司管理层在</w:t>
      </w:r>
      <w:r>
        <w:rPr>
          <w:rFonts w:ascii="宋体" w:hAnsi="宋体" w:cs="宋体" w:eastAsia="宋体" w:hint="default"/>
          <w:spacing w:val="-2"/>
        </w:rPr>
        <w:t>2018</w:t>
      </w:r>
      <w:r>
        <w:rPr>
          <w:spacing w:val="-2"/>
        </w:rPr>
        <w:t>年度根据谨慎性原则对该笔长期股权投资全额计提减值</w:t>
      </w:r>
    </w:p>
    <w:p>
      <w:pPr>
        <w:pStyle w:val="BodyText"/>
        <w:spacing w:line="316" w:lineRule="auto" w:before="2"/>
        <w:ind w:right="1031"/>
        <w:jc w:val="left"/>
      </w:pPr>
      <w:r>
        <w:rPr/>
        <w:t>准备。 注</w:t>
      </w:r>
      <w:r>
        <w:rPr>
          <w:rFonts w:ascii="宋体" w:hAnsi="宋体" w:cs="宋体" w:eastAsia="宋体" w:hint="default"/>
        </w:rPr>
        <w:t>2</w:t>
      </w:r>
      <w:r>
        <w:rPr/>
        <w:t>：公司投资的上海济祥智能交通科技有限公司承接的项目逐年下降，经营状况不佳，未来公司实现盈利的可能性较小，</w:t>
      </w:r>
      <w:r>
        <w:rPr>
          <w:spacing w:val="-84"/>
        </w:rPr>
        <w:t> </w:t>
      </w:r>
      <w:r>
        <w:rPr>
          <w:spacing w:val="-84"/>
        </w:rPr>
      </w:r>
      <w:r>
        <w:rPr/>
        <w:t>本年公司管理层根据谨慎性原则对该笔投资全额计提减值准备。 </w:t>
      </w:r>
      <w:r>
        <w:rPr>
          <w:spacing w:val="-2"/>
        </w:rPr>
        <w:t>注</w:t>
      </w:r>
      <w:r>
        <w:rPr>
          <w:rFonts w:ascii="宋体" w:hAnsi="宋体" w:cs="宋体" w:eastAsia="宋体" w:hint="default"/>
          <w:spacing w:val="-2"/>
        </w:rPr>
        <w:t>3</w:t>
      </w:r>
      <w:r>
        <w:rPr>
          <w:spacing w:val="-2"/>
        </w:rPr>
        <w:t>：公司投资的美国华人执业医生网络医院因为自身经营费用较大，目前亏损金额较大，未来公司实现盈利的可能性较小，</w:t>
      </w:r>
      <w:r>
        <w:rPr>
          <w:spacing w:val="-65"/>
        </w:rPr>
        <w:t> </w:t>
      </w:r>
      <w:r>
        <w:rPr>
          <w:spacing w:val="-65"/>
        </w:rPr>
      </w:r>
      <w:r>
        <w:rPr/>
        <w:t>公司管理层在</w:t>
      </w:r>
      <w:r>
        <w:rPr>
          <w:rFonts w:ascii="宋体" w:hAnsi="宋体" w:cs="宋体" w:eastAsia="宋体" w:hint="default"/>
        </w:rPr>
        <w:t>2018</w:t>
      </w:r>
      <w:r>
        <w:rPr/>
        <w:t>年度根据谨慎性原则对该笔投资全额计提减值准备。 注</w:t>
      </w:r>
      <w:r>
        <w:rPr>
          <w:rFonts w:ascii="宋体" w:hAnsi="宋体" w:cs="宋体" w:eastAsia="宋体" w:hint="default"/>
        </w:rPr>
        <w:t>4</w:t>
      </w:r>
      <w:r>
        <w:rPr/>
        <w:t>：公司投资的浙江交通宝互联网技术有限公司在</w:t>
      </w:r>
      <w:r>
        <w:rPr>
          <w:rFonts w:ascii="宋体" w:hAnsi="宋体" w:cs="宋体" w:eastAsia="宋体" w:hint="default"/>
        </w:rPr>
        <w:t>2020</w:t>
      </w:r>
      <w:r>
        <w:rPr/>
        <w:t>年更名为浙江贤谷互联网技术有限公司。 注</w:t>
      </w:r>
      <w:r>
        <w:rPr>
          <w:rFonts w:ascii="宋体" w:hAnsi="宋体" w:cs="宋体" w:eastAsia="宋体" w:hint="default"/>
        </w:rPr>
        <w:t>5</w:t>
      </w:r>
      <w:r>
        <w:rPr/>
        <w:t>：浙江智尔信息技术有限公司原系本公司控股子公司，因为本年度对其公司持股股权比例下降，导致公司无法再控制浙</w:t>
      </w:r>
      <w:r>
        <w:rPr>
          <w:spacing w:val="-84"/>
        </w:rPr>
        <w:t> </w:t>
      </w:r>
      <w:r>
        <w:rPr>
          <w:spacing w:val="-84"/>
        </w:rPr>
      </w:r>
      <w:r>
        <w:rPr>
          <w:spacing w:val="-2"/>
        </w:rPr>
        <w:t>江智尔信息技术有限公司，但仍然对其具有重大影响，本年将其剩余投资转为权益法核算，在转换日，转入长期股权投资金</w:t>
      </w:r>
      <w:r>
        <w:rPr>
          <w:spacing w:val="-64"/>
        </w:rPr>
        <w:t> </w:t>
      </w:r>
      <w:r>
        <w:rPr>
          <w:spacing w:val="-64"/>
        </w:rPr>
      </w:r>
      <w:r>
        <w:rPr/>
        <w:t>额</w:t>
      </w:r>
      <w:r>
        <w:rPr>
          <w:rFonts w:ascii="宋体" w:hAnsi="宋体" w:cs="宋体" w:eastAsia="宋体" w:hint="default"/>
        </w:rPr>
        <w:t>2,988,820.44</w:t>
      </w:r>
      <w:r>
        <w:rPr/>
        <w:t>元。</w:t>
      </w:r>
    </w:p>
    <w:p>
      <w:pPr>
        <w:pStyle w:val="BodyText"/>
        <w:spacing w:line="316" w:lineRule="auto" w:before="19"/>
        <w:ind w:right="1129"/>
        <w:jc w:val="both"/>
      </w:pPr>
      <w:r>
        <w:rPr/>
        <w:t>注</w:t>
      </w:r>
      <w:r>
        <w:rPr>
          <w:rFonts w:ascii="宋体" w:hAnsi="宋体" w:cs="宋体" w:eastAsia="宋体" w:hint="default"/>
        </w:rPr>
        <w:t>6</w:t>
      </w:r>
      <w:r>
        <w:rPr/>
        <w:t>：浙江银江云计算技术有限公司本年处置部分股权后，公司仍持有其</w:t>
      </w:r>
      <w:r>
        <w:rPr>
          <w:rFonts w:ascii="宋体" w:hAnsi="宋体" w:cs="宋体" w:eastAsia="宋体" w:hint="default"/>
        </w:rPr>
        <w:t>40.00%</w:t>
      </w:r>
      <w:r>
        <w:rPr/>
        <w:t>股权，对该公司的剩余股权投资后续计量采</w:t>
      </w:r>
      <w:r>
        <w:rPr>
          <w:spacing w:val="-83"/>
        </w:rPr>
        <w:t> </w:t>
      </w:r>
      <w:r>
        <w:rPr>
          <w:spacing w:val="-83"/>
        </w:rPr>
      </w:r>
      <w:r>
        <w:rPr>
          <w:spacing w:val="-2"/>
        </w:rPr>
        <w:t>用权益法。因为浙江银江云计算技术有限公司在转换日的净资产为负数，根据谨慎性考虑，公司将剩余股权在转换日的公允</w:t>
      </w:r>
      <w:r>
        <w:rPr>
          <w:spacing w:val="-63"/>
        </w:rPr>
        <w:t> </w:t>
      </w:r>
      <w:r>
        <w:rPr>
          <w:spacing w:val="-63"/>
        </w:rPr>
      </w:r>
      <w:r>
        <w:rPr/>
        <w:t>价值确定为</w:t>
      </w:r>
      <w:r>
        <w:rPr>
          <w:rFonts w:ascii="宋体" w:hAnsi="宋体" w:cs="宋体" w:eastAsia="宋体" w:hint="default"/>
        </w:rPr>
        <w:t>0</w:t>
      </w:r>
      <w:r>
        <w:rPr/>
        <w:t>，待该公司后续净资产转正后再确定后续的权益法投资收益。截至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日，浙江银江云计算技术有限</w:t>
      </w:r>
      <w:r>
        <w:rPr>
          <w:spacing w:val="-87"/>
        </w:rPr>
        <w:t> </w:t>
      </w:r>
      <w:r>
        <w:rPr/>
        <w:t>公司账面净资产仍为负数，故年末公司对浙江银江云计算技术有限公司的长期股权投资金额为</w:t>
      </w:r>
      <w:r>
        <w:rPr>
          <w:rFonts w:ascii="宋体" w:hAnsi="宋体" w:cs="宋体" w:eastAsia="宋体" w:hint="default"/>
        </w:rPr>
        <w:t>0</w:t>
      </w:r>
      <w:r>
        <w:rPr/>
        <w:t>。</w:t>
      </w:r>
    </w:p>
    <w:p>
      <w:pPr>
        <w:spacing w:after="0" w:line="31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18、其他权益工具投资" w:id="283"/>
      <w:bookmarkEnd w:id="283"/>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 收益的金融资产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207,548,167.24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423,117,293.76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207,548,167.24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423,117,293.76</w:t>
            </w:r>
          </w:p>
        </w:tc>
      </w:tr>
    </w:tbl>
    <w:p>
      <w:pPr>
        <w:pStyle w:val="BodyText"/>
        <w:spacing w:line="240" w:lineRule="auto" w:before="49"/>
        <w:ind w:right="1133"/>
        <w:jc w:val="left"/>
      </w:pPr>
      <w:r>
        <w:rPr/>
        <w:t>分项披露本期非交易性权益工具投资</w:t>
      </w:r>
    </w:p>
    <w:p>
      <w:pPr>
        <w:pStyle w:val="BodyText"/>
        <w:spacing w:line="240" w:lineRule="auto" w:before="115"/>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136"/>
        <w:gridCol w:w="1133"/>
        <w:gridCol w:w="1217"/>
        <w:gridCol w:w="1368"/>
        <w:gridCol w:w="1366"/>
        <w:gridCol w:w="1368"/>
      </w:tblGrid>
      <w:tr>
        <w:trPr>
          <w:trHeight w:val="1337"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2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381" w:right="111" w:hanging="269"/>
              <w:jc w:val="left"/>
              <w:rPr>
                <w:rFonts w:ascii="宋体" w:hAnsi="宋体" w:cs="宋体" w:eastAsia="宋体" w:hint="default"/>
                <w:sz w:val="18"/>
                <w:szCs w:val="18"/>
              </w:rPr>
            </w:pPr>
            <w:r>
              <w:rPr>
                <w:rFonts w:ascii="宋体" w:hAnsi="宋体" w:cs="宋体" w:eastAsia="宋体" w:hint="default"/>
                <w:sz w:val="18"/>
                <w:szCs w:val="18"/>
              </w:rPr>
              <w:t>确认的股利 收入</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浙江金科文化产业股份 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1,940,128.74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881.60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21,947,764.09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-21,947,764.09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非交易性投资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出售股权</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浙江万朋教育科技股份 有限公司</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非交易性投资</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亿邦国际控股公司</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非交易性投资</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MAGICLEAP,INC.</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非交易性投资</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山东博安智能科技股份 有限公司</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非交易性投资</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杭州天迈网络有限公司</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非交易性投资</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杭州银江健康云科技有 限公司</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非交易性投资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出售股权</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19、其他非流动金融资产" w:id="284"/>
      <w:bookmarkEnd w:id="284"/>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20、投资性房地产" w:id="285"/>
      <w:bookmarkEnd w:id="285"/>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采用成本计量模式的投资性房地产" w:id="286"/>
      <w:bookmarkEnd w:id="28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103"/>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288,770,083.14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288,770,083.14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20,450,080.87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20,450,080.87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20,450,080.87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20,450,080.87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309,220,164.01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309,220,164.01</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14,629,730.78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14,629,730.78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11,814,794.25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11,814,794.25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7,264,999.12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7,264,999.12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4,549,795.13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4,549,795.13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26,444,525.03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26,444,525.03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282,775,638.98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282,775,638.98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274,140,352.36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274,140,352.36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1133"/>
        <w:jc w:val="left"/>
        <w:rPr>
          <w:b w:val="0"/>
          <w:bCs w:val="0"/>
        </w:rPr>
      </w:pPr>
      <w:bookmarkStart w:name="（2）采用公允价值计量模式的投资性房地产" w:id="287"/>
      <w:bookmarkEnd w:id="28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未办妥产权证书的投资性房地产情况" w:id="288"/>
      <w:bookmarkEnd w:id="288"/>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中国智谷富春园区办公楼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239,375,974.01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1、固定资产" w:id="289"/>
      <w:bookmarkEnd w:id="289"/>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523,299,079.57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200,763,828.47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523,299,079.57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200,763,828.47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固定资产情况" w:id="290"/>
      <w:bookmarkEnd w:id="29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6"/>
        <w:gridCol w:w="1855"/>
        <w:gridCol w:w="1844"/>
        <w:gridCol w:w="1844"/>
        <w:gridCol w:w="1774"/>
      </w:tblGrid>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电子设备及其它</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55" w:type="dxa"/>
            <w:tcBorders>
              <w:top w:val="single" w:sz="4" w:space="0" w:color="000000"/>
              <w:left w:val="single" w:sz="9"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209,270,474.04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39,736,633.62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44,226,613.28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293,233,720.94</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356,267,214.28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43,197.88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1,101,945.46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357,412,357.62</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356,267,214.28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43,197.88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1,101,945.46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357,412,357.62</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855" w:type="dxa"/>
            <w:tcBorders>
              <w:top w:val="single" w:sz="4" w:space="0" w:color="000000"/>
              <w:left w:val="single" w:sz="9"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855" w:type="dxa"/>
            <w:tcBorders>
              <w:top w:val="single" w:sz="4" w:space="0" w:color="000000"/>
              <w:left w:val="single" w:sz="9"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55" w:type="dxa"/>
            <w:tcBorders>
              <w:top w:val="single" w:sz="4" w:space="0" w:color="000000"/>
              <w:left w:val="single" w:sz="9"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21,701,426.37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1,275,374.45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11,431,051.09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34,407,851.91</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1,251,345.50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1,275,374.45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8,735,786.10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11,262,506.05</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）企业处置减少</w:t>
            </w:r>
          </w:p>
        </w:tc>
        <w:tc>
          <w:tcPr>
            <w:tcW w:w="1855" w:type="dxa"/>
            <w:tcBorders>
              <w:top w:val="single" w:sz="4" w:space="0" w:color="000000"/>
              <w:left w:val="single" w:sz="9"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2,695,264.99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2,695,264.99</w:t>
            </w:r>
          </w:p>
        </w:tc>
      </w:tr>
      <w:tr>
        <w:trPr>
          <w:trHeight w:val="404"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）转投资性房地产减少</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20,450,080.87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20,450,080.87</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543,836,261.95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38,504,457.05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33,897,507.65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616,238,226.65</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855" w:type="dxa"/>
            <w:tcBorders>
              <w:top w:val="single" w:sz="4" w:space="0" w:color="000000"/>
              <w:left w:val="single" w:sz="9"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26,942,314.81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32,516,174.82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33,011,402.84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92,469,892.47</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11,378,560.76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2,385,720.43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3,223,169.10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16,987,450.29</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11,378,560.76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2,385,720.43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3,223,169.10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16,987,450.29</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55" w:type="dxa"/>
            <w:tcBorders>
              <w:top w:val="single" w:sz="4" w:space="0" w:color="000000"/>
              <w:left w:val="single" w:sz="9"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7"/>
        <w:gridCol w:w="1844"/>
        <w:gridCol w:w="1844"/>
        <w:gridCol w:w="1844"/>
        <w:gridCol w:w="1774"/>
      </w:tblGrid>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5,569,692.78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1,208,824.45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9,739,678.45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16,518,195.68</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1,019,897.65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1,208,824.45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8,296,456.32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10,525,178.42</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）企业处置减少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1,443,222.13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1,443,222.13</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）转投资性房地产减少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4,549,795.13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4,549,795.13</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32,751,182.79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33,693,070.80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26,494,893.49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92,939,147.08</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511,085,079.16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4,811,386.25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7,402,614.16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523,299,079.57</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182,328,159.23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7,220,458.80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11,215,210.44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200,763,828.47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暂时闲置的固定资产情况" w:id="291"/>
      <w:bookmarkEnd w:id="291"/>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3）通过融资租赁租入的固定资产情况" w:id="292"/>
      <w:bookmarkEnd w:id="292"/>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4）通过经营租赁租出的固定资产" w:id="293"/>
      <w:bookmarkEnd w:id="293"/>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5）未办妥产权证书的固定资产情况" w:id="294"/>
      <w:bookmarkEnd w:id="294"/>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中国智谷富春园区办公楼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62,257,057.75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中国智谷富春园区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A1-A2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356,267,214.28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固定资产清理" w:id="295"/>
      <w:bookmarkEnd w:id="295"/>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22、在建工程" w:id="296"/>
      <w:bookmarkEnd w:id="296"/>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39,893,577.98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39,893,577.98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在建工程情况" w:id="297"/>
      <w:bookmarkEnd w:id="29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1"/>
              <w:jc w:val="both"/>
              <w:rPr>
                <w:rFonts w:ascii="宋体" w:hAnsi="宋体" w:cs="宋体" w:eastAsia="宋体" w:hint="default"/>
                <w:sz w:val="18"/>
                <w:szCs w:val="18"/>
              </w:rPr>
            </w:pPr>
            <w:r>
              <w:rPr>
                <w:rFonts w:ascii="宋体" w:hAnsi="宋体" w:cs="宋体" w:eastAsia="宋体" w:hint="default"/>
                <w:sz w:val="18"/>
                <w:szCs w:val="18"/>
              </w:rPr>
              <w:t>中国智谷富春园 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A1-A2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号楼装 修工程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39,449,541.28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39,449,541.28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租入固定资产装 修工程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444,036.70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444,036.70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39,893,577.98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39,893,577.98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重要在建工程项目本期变动情况" w:id="298"/>
      <w:bookmarkEnd w:id="29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4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96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中国智 谷富春 园区 </w:t>
            </w:r>
            <w:r>
              <w:rPr>
                <w:rFonts w:ascii="Times New Roman" w:hAnsi="Times New Roman" w:cs="Times New Roman" w:eastAsia="Times New Roman" w:hint="default"/>
                <w:sz w:val="18"/>
                <w:szCs w:val="18"/>
              </w:rPr>
              <w:t>A1-A2</w:t>
            </w:r>
          </w:p>
          <w:p>
            <w:pPr>
              <w:pStyle w:val="TableParagraph"/>
              <w:spacing w:line="316" w:lineRule="auto" w:before="39"/>
              <w:ind w:left="24" w:right="156"/>
              <w:jc w:val="left"/>
              <w:rPr>
                <w:rFonts w:ascii="宋体" w:hAnsi="宋体" w:cs="宋体" w:eastAsia="宋体" w:hint="default"/>
                <w:sz w:val="18"/>
                <w:szCs w:val="18"/>
              </w:rPr>
            </w:pPr>
            <w:r>
              <w:rPr>
                <w:rFonts w:ascii="宋体" w:hAnsi="宋体" w:cs="宋体" w:eastAsia="宋体" w:hint="default"/>
                <w:sz w:val="18"/>
                <w:szCs w:val="18"/>
              </w:rPr>
              <w:t>号楼装 修工程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78,899,0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82.56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39,449,5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41.28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39,449,5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50.00%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7"/>
              <w:jc w:val="center"/>
              <w:rPr>
                <w:rFonts w:ascii="Times New Roman" w:hAnsi="Times New Roman" w:cs="Times New Roman" w:eastAsia="Times New Roman" w:hint="default"/>
                <w:sz w:val="18"/>
                <w:szCs w:val="18"/>
              </w:rPr>
            </w:pPr>
            <w:r>
              <w:rPr>
                <w:rFonts w:ascii="Times New Roman"/>
                <w:sz w:val="18"/>
              </w:rPr>
              <w:t>50.00%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78,899,0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82.56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39,449,5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41.28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39,449,5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41.28</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left="172" w:right="0"/>
        <w:jc w:val="left"/>
        <w:rPr>
          <w:b w:val="0"/>
          <w:bCs w:val="0"/>
        </w:rPr>
      </w:pPr>
      <w:bookmarkStart w:name="（3）本期计提在建工程减值准备情况" w:id="299"/>
      <w:bookmarkEnd w:id="299"/>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72" w:right="0"/>
        <w:jc w:val="left"/>
        <w:rPr>
          <w:b w:val="0"/>
          <w:bCs w:val="0"/>
        </w:rPr>
      </w:pPr>
      <w:bookmarkStart w:name="（4）工程物资" w:id="300"/>
      <w:bookmarkEnd w:id="300"/>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72" w:right="0"/>
        <w:jc w:val="left"/>
        <w:rPr>
          <w:b w:val="0"/>
          <w:bCs w:val="0"/>
        </w:rPr>
      </w:pPr>
      <w:bookmarkStart w:name="23、生产性生物资产" w:id="301"/>
      <w:bookmarkEnd w:id="301"/>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72" w:right="0"/>
        <w:jc w:val="left"/>
        <w:rPr>
          <w:b w:val="0"/>
          <w:bCs w:val="0"/>
        </w:rPr>
      </w:pPr>
      <w:bookmarkStart w:name="24、油气资产" w:id="302"/>
      <w:bookmarkEnd w:id="302"/>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72" w:right="0"/>
        <w:jc w:val="left"/>
        <w:rPr>
          <w:b w:val="0"/>
          <w:bCs w:val="0"/>
        </w:rPr>
      </w:pPr>
      <w:bookmarkStart w:name="25、使用权资产" w:id="303"/>
      <w:bookmarkEnd w:id="303"/>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72" w:right="0"/>
        <w:jc w:val="left"/>
        <w:rPr>
          <w:b w:val="0"/>
          <w:bCs w:val="0"/>
        </w:rPr>
      </w:pPr>
      <w:bookmarkStart w:name="26、无形资产" w:id="304"/>
      <w:bookmarkEnd w:id="304"/>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72" w:right="0"/>
        <w:jc w:val="left"/>
        <w:rPr>
          <w:b w:val="0"/>
          <w:bCs w:val="0"/>
        </w:rPr>
      </w:pPr>
      <w:bookmarkStart w:name="（1）无形资产情况" w:id="305"/>
      <w:bookmarkEnd w:id="30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53"/>
        <w:gridCol w:w="1074"/>
        <w:gridCol w:w="853"/>
        <w:gridCol w:w="991"/>
        <w:gridCol w:w="1277"/>
        <w:gridCol w:w="1133"/>
        <w:gridCol w:w="1063"/>
        <w:gridCol w:w="922"/>
        <w:gridCol w:w="1202"/>
      </w:tblGrid>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Times New Roman" w:hAnsi="Times New Roman" w:cs="Times New Roman" w:eastAsia="Times New Roman" w:hint="default"/>
                <w:sz w:val="18"/>
                <w:szCs w:val="18"/>
              </w:rPr>
              <w:t>PPP </w:t>
            </w:r>
            <w:r>
              <w:rPr>
                <w:rFonts w:ascii="宋体" w:hAnsi="宋体" w:cs="宋体" w:eastAsia="宋体" w:hint="default"/>
                <w:sz w:val="18"/>
                <w:szCs w:val="18"/>
              </w:rPr>
              <w:t>项目资产</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074" w:type="dxa"/>
            <w:tcBorders>
              <w:top w:val="single" w:sz="4" w:space="0" w:color="000000"/>
              <w:left w:val="single" w:sz="12"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074" w:type="dxa"/>
            <w:tcBorders>
              <w:top w:val="single" w:sz="4" w:space="0" w:color="000000"/>
              <w:left w:val="single" w:sz="12"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center"/>
              <w:rPr>
                <w:rFonts w:ascii="Times New Roman" w:hAnsi="Times New Roman" w:cs="Times New Roman" w:eastAsia="Times New Roman" w:hint="default"/>
                <w:sz w:val="18"/>
                <w:szCs w:val="18"/>
              </w:rPr>
            </w:pPr>
            <w:r>
              <w:rPr>
                <w:rFonts w:ascii="Times New Roman"/>
                <w:sz w:val="18"/>
              </w:rPr>
              <w:t>131,181,068.15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4,699,303.82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135,883,371.97</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74" w:type="dxa"/>
            <w:tcBorders>
              <w:top w:val="single" w:sz="4" w:space="0" w:color="000000"/>
              <w:left w:val="single" w:sz="12"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31,409,977.91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93,707,868.83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125,117,846.74</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w:t>
            </w:r>
          </w:p>
          <w:p>
            <w:pPr>
              <w:pStyle w:val="TableParagraph"/>
              <w:spacing w:line="240" w:lineRule="auto" w:before="60"/>
              <w:ind w:left="1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74" w:type="dxa"/>
            <w:tcBorders>
              <w:top w:val="single" w:sz="4" w:space="0" w:color="000000"/>
              <w:left w:val="single" w:sz="12"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6,634,199.48</w:t>
            </w:r>
          </w:p>
        </w:tc>
        <w:tc>
          <w:tcPr>
            <w:tcW w:w="106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6,634,199.48</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部研发</w:t>
            </w:r>
          </w:p>
        </w:tc>
        <w:tc>
          <w:tcPr>
            <w:tcW w:w="1074" w:type="dxa"/>
            <w:tcBorders>
              <w:top w:val="single" w:sz="4" w:space="0" w:color="000000"/>
              <w:left w:val="single" w:sz="12"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31,409,977.91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31,409,977.91</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3" w:right="56"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 业合并增加</w:t>
            </w:r>
          </w:p>
        </w:tc>
        <w:tc>
          <w:tcPr>
            <w:tcW w:w="1074" w:type="dxa"/>
            <w:tcBorders>
              <w:top w:val="single" w:sz="4" w:space="0" w:color="000000"/>
              <w:left w:val="single" w:sz="12"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）其他转入</w:t>
            </w:r>
          </w:p>
        </w:tc>
        <w:tc>
          <w:tcPr>
            <w:tcW w:w="1074" w:type="dxa"/>
            <w:tcBorders>
              <w:top w:val="single" w:sz="4" w:space="0" w:color="000000"/>
              <w:left w:val="single" w:sz="12"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87,073,669.35</w:t>
            </w:r>
          </w:p>
        </w:tc>
        <w:tc>
          <w:tcPr>
            <w:tcW w:w="106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87,073,669.35</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1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74" w:type="dxa"/>
            <w:tcBorders>
              <w:top w:val="single" w:sz="4" w:space="0" w:color="000000"/>
              <w:left w:val="single" w:sz="12"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246,219.13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249,219.13</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74" w:type="dxa"/>
            <w:tcBorders>
              <w:top w:val="single" w:sz="4" w:space="0" w:color="000000"/>
              <w:left w:val="single" w:sz="12"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80,581.20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83,581.20</w:t>
            </w: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3" w:right="5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）企业处置 减少</w:t>
            </w:r>
          </w:p>
        </w:tc>
        <w:tc>
          <w:tcPr>
            <w:tcW w:w="1074" w:type="dxa"/>
            <w:tcBorders>
              <w:top w:val="single" w:sz="4" w:space="0" w:color="000000"/>
              <w:left w:val="single" w:sz="12"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165,637.93</w:t>
            </w: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074" w:type="dxa"/>
            <w:tcBorders>
              <w:top w:val="single" w:sz="4" w:space="0" w:color="000000"/>
              <w:left w:val="single" w:sz="12"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162,591,046.06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93,707,868.83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4,453,084.69</w:t>
            </w: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260,751,999.58</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074" w:type="dxa"/>
            <w:tcBorders>
              <w:top w:val="single" w:sz="4" w:space="0" w:color="000000"/>
              <w:left w:val="single" w:sz="12"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074" w:type="dxa"/>
            <w:tcBorders>
              <w:top w:val="single" w:sz="4" w:space="0" w:color="000000"/>
              <w:left w:val="single" w:sz="12"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41,980,419.66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1,399,011.30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43,382,430.96</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74" w:type="dxa"/>
            <w:tcBorders>
              <w:top w:val="single" w:sz="4" w:space="0" w:color="000000"/>
              <w:left w:val="single" w:sz="12"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074" w:type="dxa"/>
            <w:tcBorders>
              <w:top w:val="single" w:sz="4" w:space="0" w:color="000000"/>
              <w:left w:val="single" w:sz="12"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14,447,395.13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4,109,994.25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539,487.05</w:t>
            </w: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19,096,876.43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60" w:right="0"/>
        </w:sectPr>
      </w:pPr>
    </w:p>
    <w:p>
      <w:pPr>
        <w:spacing w:line="240" w:lineRule="auto" w:before="6"/>
        <w:rPr>
          <w:rFonts w:ascii="宋体" w:hAnsi="宋体" w:cs="宋体" w:eastAsia="宋体" w:hint="default"/>
          <w:sz w:val="28"/>
          <w:szCs w:val="28"/>
        </w:rPr>
      </w:pPr>
    </w:p>
    <w:tbl>
      <w:tblPr>
        <w:tblW w:w="0" w:type="auto"/>
        <w:jc w:val="left"/>
        <w:tblInd w:w="117" w:type="dxa"/>
        <w:tblLayout w:type="fixed"/>
        <w:tblCellMar>
          <w:top w:w="0" w:type="dxa"/>
          <w:left w:w="0" w:type="dxa"/>
          <w:bottom w:w="0" w:type="dxa"/>
          <w:right w:w="0" w:type="dxa"/>
        </w:tblCellMar>
        <w:tblLook w:val="01E0"/>
      </w:tblPr>
      <w:tblGrid>
        <w:gridCol w:w="1276"/>
        <w:gridCol w:w="1063"/>
        <w:gridCol w:w="853"/>
        <w:gridCol w:w="991"/>
        <w:gridCol w:w="1277"/>
        <w:gridCol w:w="1133"/>
        <w:gridCol w:w="1063"/>
        <w:gridCol w:w="922"/>
        <w:gridCol w:w="1202"/>
      </w:tblGrid>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0"/>
              <w:ind w:left="2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108,587.67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111,587.67</w:t>
            </w:r>
          </w:p>
        </w:tc>
      </w:tr>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80,581.20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83,581.20</w:t>
            </w:r>
          </w:p>
        </w:tc>
      </w:tr>
      <w:tr>
        <w:trPr>
          <w:trHeight w:val="71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5" w:right="6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）企业处置 减少</w:t>
            </w:r>
          </w:p>
        </w:tc>
        <w:tc>
          <w:tcPr>
            <w:tcW w:w="106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28,006.47</w:t>
            </w: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28,006.47</w:t>
            </w:r>
          </w:p>
        </w:tc>
      </w:tr>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56,427,814.79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4,109,994.25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1,829,910.68</w:t>
            </w: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62,367,719.72</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2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0"/>
              <w:ind w:left="25"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106,163,231.27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89,597,874.58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2,623,174.01</w:t>
            </w: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198,384,279.86</w:t>
            </w:r>
          </w:p>
        </w:tc>
      </w:tr>
      <w:tr>
        <w:trPr>
          <w:trHeight w:val="71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89,200,648.49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3,300,292.52</w:t>
            </w:r>
          </w:p>
        </w:tc>
        <w:tc>
          <w:tcPr>
            <w:tcW w:w="92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92,500,941.01</w:t>
            </w:r>
          </w:p>
        </w:tc>
      </w:tr>
    </w:tbl>
    <w:p>
      <w:pPr>
        <w:pStyle w:val="BodyText"/>
        <w:spacing w:line="240" w:lineRule="auto" w:before="49"/>
        <w:ind w:left="192" w:right="0"/>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62.35%</w:t>
      </w:r>
      <w:r>
        <w:rPr/>
        <w:t>。</w:t>
      </w:r>
    </w:p>
    <w:p>
      <w:pPr>
        <w:spacing w:line="240" w:lineRule="auto" w:before="13"/>
        <w:rPr>
          <w:rFonts w:ascii="宋体" w:hAnsi="宋体" w:cs="宋体" w:eastAsia="宋体" w:hint="default"/>
          <w:sz w:val="25"/>
          <w:szCs w:val="25"/>
        </w:rPr>
      </w:pPr>
    </w:p>
    <w:p>
      <w:pPr>
        <w:pStyle w:val="Heading3"/>
        <w:spacing w:line="240" w:lineRule="auto"/>
        <w:ind w:left="192" w:right="0"/>
        <w:jc w:val="left"/>
        <w:rPr>
          <w:b w:val="0"/>
          <w:bCs w:val="0"/>
        </w:rPr>
      </w:pPr>
      <w:bookmarkStart w:name="（2）未办妥产权证书的土地使用权情况" w:id="306"/>
      <w:bookmarkEnd w:id="30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92" w:right="0"/>
        <w:jc w:val="left"/>
        <w:rPr>
          <w:b w:val="0"/>
          <w:bCs w:val="0"/>
        </w:rPr>
      </w:pPr>
      <w:bookmarkStart w:name="27、开发支出" w:id="307"/>
      <w:bookmarkEnd w:id="307"/>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87"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403"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交通超能信 号优化服务 平台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V2.0</w:t>
            </w:r>
          </w:p>
        </w:tc>
        <w:tc>
          <w:tcPr>
            <w:tcW w:w="10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7,963,239.36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2,051,399.96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102,055.85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9,912,583.47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196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z w:val="18"/>
                <w:szCs w:val="18"/>
              </w:rPr>
              <w:t>大数据背景 下新型突发 事件应急保 </w:t>
            </w:r>
            <w:r>
              <w:rPr>
                <w:rFonts w:ascii="宋体" w:hAnsi="宋体" w:cs="宋体" w:eastAsia="宋体" w:hint="default"/>
                <w:spacing w:val="-12"/>
                <w:sz w:val="18"/>
                <w:szCs w:val="18"/>
              </w:rPr>
              <w:t>障系统、装备</w:t>
            </w:r>
            <w:r>
              <w:rPr>
                <w:rFonts w:ascii="宋体" w:hAnsi="宋体" w:cs="宋体" w:eastAsia="宋体" w:hint="default"/>
                <w:sz w:val="18"/>
                <w:szCs w:val="18"/>
              </w:rPr>
              <w:t> 研发与应用 示范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6,089,764.78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5,882,780.83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1,447,302.56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10,525,243.0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城市交通精 细化管控技 术与系统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5,519,656.60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1,257,348.66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6,253,069.35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523,935.91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29"/>
              <w:jc w:val="both"/>
              <w:rPr>
                <w:rFonts w:ascii="宋体" w:hAnsi="宋体" w:cs="宋体" w:eastAsia="宋体" w:hint="default"/>
                <w:sz w:val="18"/>
                <w:szCs w:val="18"/>
              </w:rPr>
            </w:pPr>
            <w:r>
              <w:rPr>
                <w:rFonts w:ascii="宋体" w:hAnsi="宋体" w:cs="宋体" w:eastAsia="宋体" w:hint="default"/>
                <w:sz w:val="18"/>
                <w:szCs w:val="18"/>
              </w:rPr>
              <w:t>人工智能技 术在城市交 通智能管控 领域的示范 应用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2,135,721.08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8,378,550.83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3,791,228.59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6,723,043.32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基于主动反 馈的交通控 制与开放服 务平台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2,060,691.47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2,060,691.47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9"/>
              <w:jc w:val="both"/>
              <w:rPr>
                <w:rFonts w:ascii="宋体" w:hAnsi="宋体" w:cs="宋体" w:eastAsia="宋体" w:hint="default"/>
                <w:sz w:val="18"/>
                <w:szCs w:val="18"/>
              </w:rPr>
            </w:pPr>
            <w:r>
              <w:rPr>
                <w:rFonts w:ascii="宋体" w:hAnsi="宋体" w:cs="宋体" w:eastAsia="宋体" w:hint="default"/>
                <w:sz w:val="18"/>
                <w:szCs w:val="18"/>
              </w:rPr>
              <w:t>智能政务开 放创新服务 平台开发及 应用示范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1,478,463.61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1,709,389.46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pacing w:val="-1"/>
                <w:sz w:val="18"/>
              </w:rPr>
              <w:t>388,042.14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2,799,810.93</w:t>
            </w: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银江公安交 通管理与指 挥平台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1,370,830.26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1,370,830.26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9"/>
              <w:jc w:val="both"/>
              <w:rPr>
                <w:rFonts w:ascii="宋体" w:hAnsi="宋体" w:cs="宋体" w:eastAsia="宋体" w:hint="default"/>
                <w:sz w:val="18"/>
                <w:szCs w:val="18"/>
              </w:rPr>
            </w:pPr>
            <w:r>
              <w:rPr>
                <w:rFonts w:ascii="宋体" w:hAnsi="宋体" w:cs="宋体" w:eastAsia="宋体" w:hint="default"/>
                <w:sz w:val="18"/>
                <w:szCs w:val="18"/>
              </w:rPr>
              <w:t>快速路网交 通态势可视 化系统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563,387.74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563,387.74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跨系统数据 共享交换关 键技术研发 与应用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1,715,844.03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6"/>
              <w:jc w:val="right"/>
              <w:rPr>
                <w:rFonts w:ascii="Times New Roman" w:hAnsi="Times New Roman" w:cs="Times New Roman" w:eastAsia="Times New Roman" w:hint="default"/>
                <w:sz w:val="18"/>
                <w:szCs w:val="18"/>
              </w:rPr>
            </w:pPr>
            <w:r>
              <w:rPr>
                <w:rFonts w:ascii="Times New Roman"/>
                <w:spacing w:val="-1"/>
                <w:sz w:val="18"/>
              </w:rPr>
              <w:t>202,519.90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1,513,324.13</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5"/>
              <w:jc w:val="both"/>
              <w:rPr>
                <w:rFonts w:ascii="Times New Roman" w:hAnsi="Times New Roman" w:cs="Times New Roman" w:eastAsia="Times New Roman" w:hint="default"/>
                <w:sz w:val="18"/>
                <w:szCs w:val="18"/>
              </w:rPr>
            </w:pPr>
            <w:r>
              <w:rPr>
                <w:rFonts w:ascii="宋体" w:hAnsi="宋体" w:cs="宋体" w:eastAsia="宋体" w:hint="default"/>
                <w:sz w:val="18"/>
                <w:szCs w:val="18"/>
              </w:rPr>
              <w:t>城市</w:t>
            </w:r>
            <w:r>
              <w:rPr>
                <w:rFonts w:ascii="Times New Roman" w:hAnsi="Times New Roman" w:cs="Times New Roman" w:eastAsia="Times New Roman" w:hint="default"/>
                <w:sz w:val="18"/>
                <w:szCs w:val="18"/>
              </w:rPr>
              <w:t>"</w:t>
            </w:r>
            <w:r>
              <w:rPr>
                <w:rFonts w:ascii="宋体" w:hAnsi="宋体" w:cs="宋体" w:eastAsia="宋体" w:hint="default"/>
                <w:sz w:val="18"/>
                <w:szCs w:val="18"/>
              </w:rPr>
              <w:t>数据大 脑</w:t>
            </w:r>
            <w:r>
              <w:rPr>
                <w:rFonts w:ascii="Times New Roman" w:hAnsi="Times New Roman" w:cs="Times New Roman" w:eastAsia="Times New Roman" w:hint="default"/>
                <w:sz w:val="18"/>
                <w:szCs w:val="18"/>
              </w:rPr>
              <w:t>"</w:t>
            </w:r>
            <w:r>
              <w:rPr>
                <w:rFonts w:ascii="宋体" w:hAnsi="宋体" w:cs="宋体" w:eastAsia="宋体" w:hint="default"/>
                <w:sz w:val="18"/>
                <w:szCs w:val="18"/>
              </w:rPr>
              <w:t>交通治堵 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10,542,979.9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6,305,089.18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4,237,890.74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人口健康服 务平台运营 服务关键技 术研发与应 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23,258,884.7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9,933,771.02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13,325,113.7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公共卫生应</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5,093,710.13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2,502,740.56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2,590,969.57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67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26"/>
              <w:jc w:val="left"/>
              <w:rPr>
                <w:rFonts w:ascii="Times New Roman" w:hAnsi="Times New Roman" w:cs="Times New Roman" w:eastAsia="Times New Roman" w:hint="default"/>
                <w:sz w:val="18"/>
                <w:szCs w:val="18"/>
              </w:rPr>
            </w:pPr>
            <w:r>
              <w:rPr>
                <w:rFonts w:ascii="宋体" w:hAnsi="宋体" w:cs="宋体" w:eastAsia="宋体" w:hint="default"/>
                <w:sz w:val="18"/>
                <w:szCs w:val="18"/>
              </w:rPr>
              <w:t>急指挥与决 策平台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海量交通大 数据分析平 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14,505,023.7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14,505,023.7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6"/>
              <w:jc w:val="both"/>
              <w:rPr>
                <w:rFonts w:ascii="Times New Roman" w:hAnsi="Times New Roman" w:cs="Times New Roman" w:eastAsia="Times New Roman" w:hint="default"/>
                <w:sz w:val="18"/>
                <w:szCs w:val="18"/>
              </w:rPr>
            </w:pPr>
            <w:r>
              <w:rPr>
                <w:rFonts w:ascii="宋体" w:hAnsi="宋体" w:cs="宋体" w:eastAsia="宋体" w:hint="default"/>
                <w:sz w:val="18"/>
                <w:szCs w:val="18"/>
              </w:rPr>
              <w:t>城市智能交 通管理与指 挥平台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6,690,734.64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6,690,734.64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6"/>
              <w:jc w:val="left"/>
              <w:rPr>
                <w:rFonts w:ascii="Times New Roman" w:hAnsi="Times New Roman" w:cs="Times New Roman" w:eastAsia="Times New Roman" w:hint="default"/>
                <w:sz w:val="18"/>
                <w:szCs w:val="18"/>
              </w:rPr>
            </w:pPr>
            <w:r>
              <w:rPr>
                <w:rFonts w:ascii="宋体" w:hAnsi="宋体" w:cs="宋体" w:eastAsia="宋体" w:hint="default"/>
                <w:sz w:val="18"/>
                <w:szCs w:val="18"/>
              </w:rPr>
              <w:t>医卫综合监 管平台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4,569,968.15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4,569,968.15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3"/>
              <w:jc w:val="center"/>
              <w:rPr>
                <w:rFonts w:ascii="Times New Roman" w:hAnsi="Times New Roman" w:cs="Times New Roman" w:eastAsia="Times New Roman" w:hint="default"/>
                <w:sz w:val="18"/>
                <w:szCs w:val="18"/>
              </w:rPr>
            </w:pPr>
            <w:r>
              <w:rPr>
                <w:rFonts w:ascii="宋体" w:hAnsi="宋体" w:cs="宋体" w:eastAsia="宋体" w:hint="default"/>
                <w:sz w:val="18"/>
                <w:szCs w:val="18"/>
              </w:rPr>
              <w:t>教育宝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4,480,924.56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4,480,924.56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91"/>
              <w:ind w:left="22" w:right="12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Enloop-Hub </w:t>
            </w:r>
            <w:r>
              <w:rPr>
                <w:rFonts w:ascii="宋体" w:hAnsi="宋体" w:cs="宋体" w:eastAsia="宋体" w:hint="default"/>
                <w:sz w:val="18"/>
                <w:szCs w:val="18"/>
              </w:rPr>
              <w:t>共性技术平 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3,746,511.52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3,746,511.52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9"/>
              <w:jc w:val="both"/>
              <w:rPr>
                <w:rFonts w:ascii="宋体" w:hAnsi="宋体" w:cs="宋体" w:eastAsia="宋体" w:hint="default"/>
                <w:sz w:val="18"/>
                <w:szCs w:val="18"/>
              </w:rPr>
            </w:pPr>
            <w:r>
              <w:rPr>
                <w:rFonts w:ascii="宋体" w:hAnsi="宋体" w:cs="宋体" w:eastAsia="宋体" w:hint="default"/>
                <w:sz w:val="18"/>
                <w:szCs w:val="18"/>
              </w:rPr>
              <w:t>基于人工智 能的司法服 务平台及示 范应用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3,728,716.67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3,728,716.67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9"/>
              <w:jc w:val="both"/>
              <w:rPr>
                <w:rFonts w:ascii="宋体" w:hAnsi="宋体" w:cs="宋体" w:eastAsia="宋体" w:hint="default"/>
                <w:sz w:val="18"/>
                <w:szCs w:val="18"/>
              </w:rPr>
            </w:pPr>
            <w:r>
              <w:rPr>
                <w:rFonts w:ascii="宋体" w:hAnsi="宋体" w:cs="宋体" w:eastAsia="宋体" w:hint="default"/>
                <w:sz w:val="18"/>
                <w:szCs w:val="18"/>
              </w:rPr>
              <w:t>司法行政大 数据关键技 术研究与应 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3,401,941.35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3,401,941.35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智能交通大 数据可视化 平台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2,987,473.78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2,987,473.78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9"/>
              <w:jc w:val="both"/>
              <w:rPr>
                <w:rFonts w:ascii="宋体" w:hAnsi="宋体" w:cs="宋体" w:eastAsia="宋体" w:hint="default"/>
                <w:sz w:val="18"/>
                <w:szCs w:val="18"/>
              </w:rPr>
            </w:pPr>
            <w:r>
              <w:rPr>
                <w:rFonts w:ascii="宋体" w:hAnsi="宋体" w:cs="宋体" w:eastAsia="宋体" w:hint="default"/>
                <w:sz w:val="18"/>
                <w:szCs w:val="18"/>
              </w:rPr>
              <w:t>银江交通大 数据分析平 台项目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1,522,454.28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1,522,454.28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智尔内镜消 毒质量追溯 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1,259,493.51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1,259,493.51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3"/>
              <w:jc w:val="center"/>
              <w:rPr>
                <w:rFonts w:ascii="Times New Roman" w:hAnsi="Times New Roman" w:cs="Times New Roman" w:eastAsia="Times New Roman" w:hint="default"/>
                <w:sz w:val="18"/>
                <w:szCs w:val="18"/>
              </w:rPr>
            </w:pPr>
            <w:r>
              <w:rPr>
                <w:rFonts w:ascii="宋体" w:hAnsi="宋体" w:cs="宋体" w:eastAsia="宋体" w:hint="default"/>
                <w:sz w:val="18"/>
                <w:szCs w:val="18"/>
              </w:rPr>
              <w:t>旅游宝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1,157,929.85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1,157,929.85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智慧管廊运 维管理系统 </w:t>
            </w:r>
            <w:r>
              <w:rPr>
                <w:rFonts w:ascii="Times New Roman" w:hAnsi="Times New Roman" w:cs="Times New Roman" w:eastAsia="Times New Roman" w:hint="default"/>
                <w:sz w:val="18"/>
                <w:szCs w:val="18"/>
              </w:rPr>
              <w:t>V6.0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961,783.29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961,783.29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9"/>
              <w:jc w:val="both"/>
              <w:rPr>
                <w:rFonts w:ascii="宋体" w:hAnsi="宋体" w:cs="宋体" w:eastAsia="宋体" w:hint="default"/>
                <w:sz w:val="18"/>
                <w:szCs w:val="18"/>
              </w:rPr>
            </w:pPr>
            <w:r>
              <w:rPr>
                <w:rFonts w:ascii="宋体" w:hAnsi="宋体" w:cs="宋体" w:eastAsia="宋体" w:hint="default"/>
                <w:sz w:val="18"/>
                <w:szCs w:val="18"/>
              </w:rPr>
              <w:t>银江交通智 能运维平台 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879,976.34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879,976.34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9"/>
              <w:jc w:val="left"/>
              <w:rPr>
                <w:rFonts w:ascii="宋体" w:hAnsi="宋体" w:cs="宋体" w:eastAsia="宋体" w:hint="default"/>
                <w:sz w:val="18"/>
                <w:szCs w:val="18"/>
              </w:rPr>
            </w:pPr>
            <w:r>
              <w:rPr>
                <w:rFonts w:ascii="宋体" w:hAnsi="宋体" w:cs="宋体" w:eastAsia="宋体" w:hint="default"/>
                <w:sz w:val="18"/>
                <w:szCs w:val="18"/>
              </w:rPr>
              <w:t>城市级停车 服务平台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774,733.26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774,733.26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29"/>
              <w:jc w:val="left"/>
              <w:rPr>
                <w:rFonts w:ascii="宋体" w:hAnsi="宋体" w:cs="宋体" w:eastAsia="宋体" w:hint="default"/>
                <w:sz w:val="18"/>
                <w:szCs w:val="18"/>
              </w:rPr>
            </w:pPr>
            <w:r>
              <w:rPr>
                <w:rFonts w:ascii="宋体" w:hAnsi="宋体" w:cs="宋体" w:eastAsia="宋体" w:hint="default"/>
                <w:sz w:val="18"/>
                <w:szCs w:val="18"/>
              </w:rPr>
              <w:t>医养结合虚 拟养老院</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668,006.43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668,006.43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银江城市公 共信息服务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661,267.87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661,267.87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银江</w:t>
            </w:r>
          </w:p>
          <w:p>
            <w:pPr>
              <w:pStyle w:val="TableParagraph"/>
              <w:spacing w:line="309" w:lineRule="auto" w:before="118"/>
              <w:ind w:left="22" w:right="9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Enloop-Anal ysis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数据可 视化分析系 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610,830.59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610,830.59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区域人口健 康信息云平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547,169.81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547,169.81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9"/>
              <w:jc w:val="both"/>
              <w:rPr>
                <w:rFonts w:ascii="宋体" w:hAnsi="宋体" w:cs="宋体" w:eastAsia="宋体" w:hint="default"/>
                <w:sz w:val="18"/>
                <w:szCs w:val="18"/>
              </w:rPr>
            </w:pPr>
            <w:r>
              <w:rPr>
                <w:rFonts w:ascii="宋体" w:hAnsi="宋体" w:cs="宋体" w:eastAsia="宋体" w:hint="default"/>
                <w:sz w:val="18"/>
                <w:szCs w:val="18"/>
              </w:rPr>
              <w:t>交通信号控 制与优化关 键技术研发 与应用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516,442.46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pacing w:val="-1"/>
                <w:sz w:val="18"/>
              </w:rPr>
              <w:t>516,442.46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大数据缉查 布控系统</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478,083.40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478,083.40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9"/>
              <w:jc w:val="left"/>
              <w:rPr>
                <w:rFonts w:ascii="宋体" w:hAnsi="宋体" w:cs="宋体" w:eastAsia="宋体" w:hint="default"/>
                <w:sz w:val="18"/>
                <w:szCs w:val="18"/>
              </w:rPr>
            </w:pPr>
            <w:r>
              <w:rPr>
                <w:rFonts w:ascii="宋体" w:hAnsi="宋体" w:cs="宋体" w:eastAsia="宋体" w:hint="default"/>
                <w:sz w:val="18"/>
                <w:szCs w:val="18"/>
              </w:rPr>
              <w:t>其他研发项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5,115,565.94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5,115,565.94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27,181,754.9</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119,155,919.</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31,409,977.9</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90,176,735.4</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24,750,961.5</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8、商誉" w:id="308"/>
      <w:bookmarkEnd w:id="308"/>
      <w:r>
        <w:rPr>
          <w:b w:val="0"/>
          <w:bCs w:val="0"/>
        </w:rPr>
      </w:r>
      <w:r>
        <w:rPr>
          <w:rFonts w:ascii="Times New Roman" w:hAnsi="Times New Roman" w:cs="Times New Roman" w:eastAsia="Times New Roman" w:hint="default"/>
        </w:rPr>
        <w:t>28</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商誉账面原值" w:id="309"/>
      <w:bookmarkEnd w:id="30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9"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浙江浙大健康管 理有限公司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1,534,560.62</w:t>
            </w:r>
          </w:p>
        </w:tc>
        <w:tc>
          <w:tcPr>
            <w:tcW w:w="1368"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1,534,560.62</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1,534,560.62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1,534,560.62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商誉减值准备" w:id="310"/>
      <w:bookmarkEnd w:id="310"/>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1"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0"/>
              <w:jc w:val="left"/>
              <w:rPr>
                <w:rFonts w:ascii="宋体" w:hAnsi="宋体" w:cs="宋体" w:eastAsia="宋体" w:hint="default"/>
                <w:sz w:val="18"/>
                <w:szCs w:val="18"/>
              </w:rPr>
            </w:pPr>
            <w:r>
              <w:rPr>
                <w:rFonts w:ascii="宋体" w:hAnsi="宋体" w:cs="宋体" w:eastAsia="宋体" w:hint="default"/>
                <w:sz w:val="18"/>
                <w:szCs w:val="18"/>
              </w:rPr>
              <w:t>浙江浙大健康管 理有限公司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1,534,560.62</w:t>
            </w:r>
          </w:p>
        </w:tc>
        <w:tc>
          <w:tcPr>
            <w:tcW w:w="1368"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1,534,560.62</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1,534,560.62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1,534,560.62</w:t>
            </w:r>
          </w:p>
        </w:tc>
      </w:tr>
    </w:tbl>
    <w:p>
      <w:pPr>
        <w:pStyle w:val="BodyText"/>
        <w:spacing w:line="338" w:lineRule="auto" w:before="49"/>
        <w:ind w:right="1133"/>
        <w:jc w:val="left"/>
      </w:pPr>
      <w:r>
        <w:rPr/>
        <w:t>商誉所在资产组或资产组组合的相关信息 </w:t>
      </w: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319" w:lineRule="auto" w:before="43"/>
        <w:ind w:right="1124"/>
        <w:jc w:val="left"/>
      </w:pPr>
      <w:r>
        <w:rPr/>
        <w:t>（</w:t>
      </w:r>
      <w:r>
        <w:rPr>
          <w:rFonts w:ascii="宋体" w:hAnsi="宋体" w:cs="宋体" w:eastAsia="宋体" w:hint="default"/>
        </w:rPr>
        <w:t>1</w:t>
      </w:r>
      <w:r>
        <w:rPr/>
        <w:t>）商誉的计算过程 公司</w:t>
      </w:r>
      <w:r>
        <w:rPr>
          <w:rFonts w:ascii="宋体" w:hAnsi="宋体" w:cs="宋体" w:eastAsia="宋体" w:hint="default"/>
        </w:rPr>
        <w:t>2011</w:t>
      </w:r>
      <w:r>
        <w:rPr/>
        <w:t>年支付人民币</w:t>
      </w:r>
      <w:r>
        <w:rPr>
          <w:rFonts w:ascii="宋体" w:hAnsi="宋体" w:cs="宋体" w:eastAsia="宋体" w:hint="default"/>
        </w:rPr>
        <w:t>3,076,220.00</w:t>
      </w:r>
      <w:r>
        <w:rPr/>
        <w:t>元收购了浙江浙大健康管理有限公司</w:t>
      </w:r>
      <w:r>
        <w:rPr>
          <w:rFonts w:ascii="宋体" w:hAnsi="宋体" w:cs="宋体" w:eastAsia="宋体" w:hint="default"/>
        </w:rPr>
        <w:t>49%</w:t>
      </w:r>
      <w:r>
        <w:rPr/>
        <w:t>的权益，合并成本超过获得的浙江浙大健康管 理有限公司可辨认资产、负债公允价值的份额</w:t>
      </w:r>
      <w:r>
        <w:rPr>
          <w:rFonts w:ascii="宋体" w:hAnsi="宋体" w:cs="宋体" w:eastAsia="宋体" w:hint="default"/>
        </w:rPr>
        <w:t>1,534,560.62</w:t>
      </w:r>
      <w:r>
        <w:rPr/>
        <w:t>元，确认为与浙江浙大健康管理有限公司相关的商誉。</w:t>
      </w:r>
    </w:p>
    <w:p>
      <w:pPr>
        <w:pStyle w:val="BodyText"/>
        <w:spacing w:line="316" w:lineRule="auto" w:before="17"/>
        <w:ind w:right="0"/>
        <w:jc w:val="left"/>
      </w:pPr>
      <w:r>
        <w:rPr/>
        <w:t>（</w:t>
      </w:r>
      <w:r>
        <w:rPr>
          <w:rFonts w:ascii="宋体" w:hAnsi="宋体" w:cs="宋体" w:eastAsia="宋体" w:hint="default"/>
        </w:rPr>
        <w:t>2</w:t>
      </w:r>
      <w:r>
        <w:rPr/>
        <w:t>）商誉减值测试的方法 </w:t>
      </w:r>
      <w:r>
        <w:rPr>
          <w:spacing w:val="-2"/>
        </w:rPr>
        <w:t>因浙江浙大健康管理有限公司过去几年处于亏损状态，同时未来五年财务预测的现金流存在较大不确定性，公司基于谨慎性</w:t>
      </w:r>
      <w:r>
        <w:rPr>
          <w:spacing w:val="-64"/>
        </w:rPr>
        <w:t> </w:t>
      </w:r>
      <w:r>
        <w:rPr>
          <w:spacing w:val="-64"/>
        </w:rPr>
      </w:r>
      <w:r>
        <w:rPr/>
        <w:t>考虑，对浙江浙大健康管理有限公司形成的商誉在</w:t>
      </w:r>
      <w:r>
        <w:rPr>
          <w:rFonts w:ascii="宋体" w:hAnsi="宋体" w:cs="宋体" w:eastAsia="宋体" w:hint="default"/>
        </w:rPr>
        <w:t>2014</w:t>
      </w:r>
      <w:r>
        <w:rPr/>
        <w:t>年度已全额计提商誉减值准备。</w:t>
      </w:r>
    </w:p>
    <w:p>
      <w:pPr>
        <w:pStyle w:val="BodyText"/>
        <w:spacing w:line="357" w:lineRule="auto" w:before="59"/>
        <w:ind w:right="8774"/>
        <w:jc w:val="left"/>
      </w:pPr>
      <w:r>
        <w:rPr/>
        <w:t>商誉减值测试的影响 其他说明</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bookmarkStart w:name="29、长期待摊费用" w:id="311"/>
      <w:bookmarkEnd w:id="311"/>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3,692,719.21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2,502,513.71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2,380,200.65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3,815,032.27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3,692,719.21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2,652,513.71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2,405,200.65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3,940,032.27</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0、递延所得税资产/递延所得税负债" w:id="312"/>
      <w:bookmarkEnd w:id="312"/>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未经抵销的递延所得税资产" w:id="313"/>
      <w:bookmarkEnd w:id="31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7"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319,599,825.18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49,142,713.25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549,763,880.47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84,833,390.44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应付款暂估形成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77,637,115.02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11,645,567.25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91,431,595.19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13,714,739.28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未实现内部损益形成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32,446,539.12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4,866,980.87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33,934,912.47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5,090,236.87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递延收益形成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431,183,479.32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65,880,261.37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676,930,388.13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103,908,366.59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未经抵销的递延所得税负债" w:id="314"/>
      <w:bookmarkEnd w:id="314"/>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金融资产公允价值变动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1,037.18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61,301,350.60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9,195,202.59</w:t>
            </w:r>
          </w:p>
        </w:tc>
      </w:tr>
      <w:tr>
        <w:trPr>
          <w:trHeight w:val="133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处置子公司部分股权对 剩余股权进行公允价值 调整形成的应纳税暂时 性差异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12,199,762.13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1,829,964.32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12,199,762.14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1,829,964.32</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12,200,799.31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1,830,119.90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73,501,112.74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11,025,166.91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以抵销后净额列示的递延所得税资产或负债" w:id="315"/>
      <w:bookmarkEnd w:id="315"/>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65,880,261.37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103,908,366.59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1,830,119.90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11,025,166.91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未确认递延所得税资产明细" w:id="316"/>
      <w:bookmarkEnd w:id="316"/>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坏账准备形成可抵扣暂时性差异（注）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46,498,129.93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74,438,249.46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存货跌价准备形成的暂时性差异</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4,290,192.95</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长期股权投资减值准备形成的暂时性差 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40,590,112.88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36,350,177.83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递延收益形成的可抵扣暂时性差异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87,248,242.81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115,238,620.24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未确认递延所得税资产的可抵扣亏损将于以下年度到期" w:id="317"/>
      <w:bookmarkEnd w:id="317"/>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1、其他非流动资产" w:id="318"/>
      <w:bookmarkEnd w:id="318"/>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953" w:space="6967"/>
            <w:col w:w="201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预付房屋建筑物装修工程款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30,550,458.72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预付购房增值税款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32,523,809.53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15,238,095.24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已完工未运行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PPP </w:t>
            </w:r>
            <w:r>
              <w:rPr>
                <w:rFonts w:ascii="宋体" w:hAnsi="宋体" w:cs="宋体" w:eastAsia="宋体" w:hint="default"/>
                <w:sz w:val="18"/>
                <w:szCs w:val="18"/>
              </w:rPr>
              <w:t>项目资产</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87,073,669.35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63,074,268.25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102,311,764.59</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2、短期借款" w:id="319"/>
      <w:bookmarkEnd w:id="319"/>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短期借款分类" w:id="320"/>
      <w:bookmarkEnd w:id="32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70,950,000.00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1,634,650,000.00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1,150,950,000.00</w:t>
            </w:r>
          </w:p>
        </w:tc>
      </w:tr>
    </w:tbl>
    <w:p>
      <w:pPr>
        <w:pStyle w:val="BodyText"/>
        <w:spacing w:line="338" w:lineRule="auto" w:before="49"/>
        <w:ind w:right="5984"/>
        <w:jc w:val="left"/>
      </w:pPr>
      <w:r>
        <w:rPr/>
        <w:t>短期借款分类的说明： 注</w:t>
      </w:r>
      <w:r>
        <w:rPr>
          <w:rFonts w:ascii="宋体" w:hAnsi="宋体" w:cs="宋体" w:eastAsia="宋体" w:hint="default"/>
        </w:rPr>
        <w:t>1</w:t>
      </w:r>
      <w:r>
        <w:rPr/>
        <w:t>：质押借款的质押资产类别以及金额，参见附注七、</w:t>
      </w:r>
      <w:r>
        <w:rPr>
          <w:rFonts w:ascii="宋体" w:hAnsi="宋体" w:cs="宋体" w:eastAsia="宋体" w:hint="default"/>
        </w:rPr>
        <w:t>81</w:t>
      </w:r>
      <w:r>
        <w:rPr/>
        <w:t>。</w:t>
      </w:r>
      <w:r>
        <w:rPr>
          <w:spacing w:val="-87"/>
        </w:rPr>
        <w:t> </w:t>
      </w:r>
      <w:r>
        <w:rPr/>
        <w:t>注</w:t>
      </w:r>
      <w:r>
        <w:rPr>
          <w:rFonts w:ascii="宋体" w:hAnsi="宋体" w:cs="宋体" w:eastAsia="宋体" w:hint="default"/>
        </w:rPr>
        <w:t>2</w:t>
      </w:r>
      <w:r>
        <w:rPr/>
        <w:t>：抵押借款的抵押资产类别以及金额，参见附注七、</w:t>
      </w:r>
      <w:r>
        <w:rPr>
          <w:rFonts w:ascii="宋体" w:hAnsi="宋体" w:cs="宋体" w:eastAsia="宋体" w:hint="default"/>
        </w:rPr>
        <w:t>81</w:t>
      </w:r>
      <w:r>
        <w:rPr/>
        <w:t>。</w:t>
      </w:r>
    </w:p>
    <w:p>
      <w:pPr>
        <w:pStyle w:val="BodyText"/>
        <w:spacing w:line="316" w:lineRule="auto" w:before="3"/>
        <w:ind w:right="1124"/>
        <w:jc w:val="left"/>
      </w:pPr>
      <w:r>
        <w:rPr/>
        <w:t>注</w:t>
      </w:r>
      <w:r>
        <w:rPr>
          <w:rFonts w:ascii="宋体" w:hAnsi="宋体" w:cs="宋体" w:eastAsia="宋体" w:hint="default"/>
        </w:rPr>
        <w:t>3</w:t>
      </w:r>
      <w:r>
        <w:rPr/>
        <w:t>：</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27</w:t>
      </w:r>
      <w:r>
        <w:rPr/>
        <w:t>日，公司全资子公司浙江银江智慧交通集团有限公司与杭州银行有限公司西城支行签订的保证担保金额 为</w:t>
      </w:r>
      <w:r>
        <w:rPr>
          <w:rFonts w:ascii="宋体" w:hAnsi="宋体" w:cs="宋体" w:eastAsia="宋体" w:hint="default"/>
        </w:rPr>
        <w:t>13,200.00</w:t>
      </w:r>
      <w:r>
        <w:rPr/>
        <w:t>万元的</w:t>
      </w:r>
      <w:r>
        <w:rPr>
          <w:rFonts w:ascii="宋体" w:hAnsi="宋体" w:cs="宋体" w:eastAsia="宋体" w:hint="default"/>
        </w:rPr>
        <w:t>146C5112017000111</w:t>
      </w:r>
      <w:r>
        <w:rPr/>
        <w:t>《保证合同》，为公司以下借款提供担保：</w:t>
      </w:r>
    </w:p>
    <w:p>
      <w:pPr>
        <w:pStyle w:val="BodyText"/>
        <w:spacing w:line="316" w:lineRule="auto" w:before="19"/>
        <w:ind w:right="1124"/>
        <w:jc w:val="left"/>
      </w:pPr>
      <w:r>
        <w:rPr/>
        <w:t>①为公司金额为</w:t>
      </w:r>
      <w:r>
        <w:rPr>
          <w:rFonts w:ascii="宋体" w:hAnsi="宋体" w:cs="宋体" w:eastAsia="宋体" w:hint="default"/>
        </w:rPr>
        <w:t>2,000</w:t>
      </w:r>
      <w:r>
        <w:rPr/>
        <w:t>万元（期限为</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14</w:t>
      </w:r>
      <w:r>
        <w:rPr/>
        <w:t>日至</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13</w:t>
      </w:r>
      <w:r>
        <w:rPr/>
        <w:t>日）的短期借款提供担保，截至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日，以上合 同担保下的短期借款余额为</w:t>
      </w:r>
      <w:r>
        <w:rPr>
          <w:rFonts w:ascii="宋体" w:hAnsi="宋体" w:cs="宋体" w:eastAsia="宋体" w:hint="default"/>
        </w:rPr>
        <w:t>2,000</w:t>
      </w:r>
      <w:r>
        <w:rPr/>
        <w:t>万元；</w:t>
      </w:r>
    </w:p>
    <w:p>
      <w:pPr>
        <w:pStyle w:val="BodyText"/>
        <w:spacing w:line="316" w:lineRule="auto" w:before="19"/>
        <w:ind w:right="1124"/>
        <w:jc w:val="left"/>
      </w:pPr>
      <w:r>
        <w:rPr/>
        <w:t>②为公司金额为</w:t>
      </w:r>
      <w:r>
        <w:rPr>
          <w:rFonts w:ascii="宋体" w:hAnsi="宋体" w:cs="宋体" w:eastAsia="宋体" w:hint="default"/>
        </w:rPr>
        <w:t>2,000</w:t>
      </w:r>
      <w:r>
        <w:rPr/>
        <w:t>万元（期限为</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19</w:t>
      </w:r>
      <w:r>
        <w:rPr/>
        <w:t>日至</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18</w:t>
      </w:r>
      <w:r>
        <w:rPr/>
        <w:t>日）的短期借款提供担保，截至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日，以上合 同担保下的短期借款余额为</w:t>
      </w:r>
      <w:r>
        <w:rPr>
          <w:rFonts w:ascii="宋体" w:hAnsi="宋体" w:cs="宋体" w:eastAsia="宋体" w:hint="default"/>
        </w:rPr>
        <w:t>2,000</w:t>
      </w:r>
      <w:r>
        <w:rPr/>
        <w:t>万元；</w:t>
      </w:r>
    </w:p>
    <w:p>
      <w:pPr>
        <w:pStyle w:val="BodyText"/>
        <w:spacing w:line="316" w:lineRule="auto" w:before="19"/>
        <w:ind w:right="1133"/>
        <w:jc w:val="left"/>
      </w:pPr>
      <w:r>
        <w:rPr>
          <w:spacing w:val="-2"/>
        </w:rPr>
        <w:t>③为公司金额为</w:t>
      </w:r>
      <w:r>
        <w:rPr>
          <w:rFonts w:ascii="宋体" w:hAnsi="宋体" w:cs="宋体" w:eastAsia="宋体" w:hint="default"/>
          <w:spacing w:val="-2"/>
        </w:rPr>
        <w:t>2,000</w:t>
      </w:r>
      <w:r>
        <w:rPr>
          <w:spacing w:val="-2"/>
        </w:rPr>
        <w:t>万元（期限为</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22</w:t>
      </w:r>
      <w:r>
        <w:rPr>
          <w:spacing w:val="-2"/>
        </w:rPr>
        <w:t>日）的短期借款提供担保，截至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日，以上合</w:t>
      </w:r>
      <w:r>
        <w:rPr>
          <w:spacing w:val="-46"/>
        </w:rPr>
        <w:t> </w:t>
      </w:r>
      <w:r>
        <w:rPr>
          <w:spacing w:val="-46"/>
        </w:rPr>
      </w:r>
      <w:r>
        <w:rPr/>
        <w:t>同担保下的短期借款余额为</w:t>
      </w:r>
      <w:r>
        <w:rPr>
          <w:rFonts w:ascii="宋体" w:hAnsi="宋体" w:cs="宋体" w:eastAsia="宋体" w:hint="default"/>
        </w:rPr>
        <w:t>2,000</w:t>
      </w:r>
      <w:r>
        <w:rPr/>
        <w:t>万元；</w:t>
      </w:r>
    </w:p>
    <w:p>
      <w:pPr>
        <w:pStyle w:val="BodyText"/>
        <w:spacing w:line="316" w:lineRule="auto" w:before="19"/>
        <w:ind w:right="1124"/>
        <w:jc w:val="left"/>
      </w:pPr>
      <w:r>
        <w:rPr/>
        <w:t>④为公司金额为</w:t>
      </w:r>
      <w:r>
        <w:rPr>
          <w:rFonts w:ascii="宋体" w:hAnsi="宋体" w:cs="宋体" w:eastAsia="宋体" w:hint="default"/>
        </w:rPr>
        <w:t>2,000</w:t>
      </w:r>
      <w:r>
        <w:rPr/>
        <w:t>万元（期限为</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23</w:t>
      </w:r>
      <w:r>
        <w:rPr/>
        <w:t>日至</w:t>
      </w:r>
      <w:r>
        <w:rPr>
          <w:rFonts w:ascii="宋体" w:hAnsi="宋体" w:cs="宋体" w:eastAsia="宋体" w:hint="default"/>
        </w:rPr>
        <w:t>2020</w:t>
      </w:r>
      <w:r>
        <w:rPr/>
        <w:t>年</w:t>
      </w:r>
      <w:r>
        <w:rPr>
          <w:rFonts w:ascii="宋体" w:hAnsi="宋体" w:cs="宋体" w:eastAsia="宋体" w:hint="default"/>
        </w:rPr>
        <w:t>10</w:t>
      </w:r>
      <w:r>
        <w:rPr/>
        <w:t>月</w:t>
      </w:r>
      <w:r>
        <w:rPr>
          <w:rFonts w:ascii="宋体" w:hAnsi="宋体" w:cs="宋体" w:eastAsia="宋体" w:hint="default"/>
        </w:rPr>
        <w:t>22</w:t>
      </w:r>
      <w:r>
        <w:rPr/>
        <w:t>日）的短期借款提供担保，截至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日，以上 合同担保下的短期借款余额为</w:t>
      </w:r>
      <w:r>
        <w:rPr>
          <w:rFonts w:ascii="宋体" w:hAnsi="宋体" w:cs="宋体" w:eastAsia="宋体" w:hint="default"/>
        </w:rPr>
        <w:t>2,000</w:t>
      </w:r>
      <w:r>
        <w:rPr/>
        <w:t>万元；</w:t>
      </w:r>
    </w:p>
    <w:p>
      <w:pPr>
        <w:pStyle w:val="BodyText"/>
        <w:spacing w:line="316" w:lineRule="auto" w:before="19"/>
        <w:ind w:right="1124"/>
        <w:jc w:val="left"/>
      </w:pPr>
      <w:r>
        <w:rPr/>
        <w:t>⑤为公司金额为</w:t>
      </w:r>
      <w:r>
        <w:rPr>
          <w:rFonts w:ascii="宋体" w:hAnsi="宋体" w:cs="宋体" w:eastAsia="宋体" w:hint="default"/>
        </w:rPr>
        <w:t>1,000</w:t>
      </w:r>
      <w:r>
        <w:rPr/>
        <w:t>万元（期限为</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25</w:t>
      </w:r>
      <w:r>
        <w:rPr/>
        <w:t>日至</w:t>
      </w:r>
      <w:r>
        <w:rPr>
          <w:rFonts w:ascii="宋体" w:hAnsi="宋体" w:cs="宋体" w:eastAsia="宋体" w:hint="default"/>
        </w:rPr>
        <w:t>2020</w:t>
      </w:r>
      <w:r>
        <w:rPr/>
        <w:t>年</w:t>
      </w:r>
      <w:r>
        <w:rPr>
          <w:rFonts w:ascii="宋体" w:hAnsi="宋体" w:cs="宋体" w:eastAsia="宋体" w:hint="default"/>
        </w:rPr>
        <w:t>10</w:t>
      </w:r>
      <w:r>
        <w:rPr/>
        <w:t>月</w:t>
      </w:r>
      <w:r>
        <w:rPr>
          <w:rFonts w:ascii="宋体" w:hAnsi="宋体" w:cs="宋体" w:eastAsia="宋体" w:hint="default"/>
        </w:rPr>
        <w:t>22</w:t>
      </w:r>
      <w:r>
        <w:rPr/>
        <w:t>日）的短期借款提供担保，截至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日，以上 合同担保下的短期借款余额为</w:t>
      </w:r>
      <w:r>
        <w:rPr>
          <w:rFonts w:ascii="宋体" w:hAnsi="宋体" w:cs="宋体" w:eastAsia="宋体" w:hint="default"/>
        </w:rPr>
        <w:t>1,000</w:t>
      </w:r>
      <w:r>
        <w:rPr/>
        <w:t>万元。</w:t>
      </w:r>
    </w:p>
    <w:p>
      <w:pPr>
        <w:pStyle w:val="BodyText"/>
        <w:spacing w:line="240" w:lineRule="auto" w:before="19"/>
        <w:ind w:right="1133"/>
        <w:jc w:val="left"/>
      </w:pPr>
      <w:r>
        <w:rPr/>
        <w:t>注</w:t>
      </w:r>
      <w:r>
        <w:rPr>
          <w:rFonts w:ascii="宋体" w:hAnsi="宋体" w:cs="宋体" w:eastAsia="宋体" w:hint="default"/>
        </w:rPr>
        <w:t>4</w:t>
      </w:r>
      <w:r>
        <w:rPr/>
        <w:t>：关联方保证借款详细情况，详见附注十二、</w:t>
      </w:r>
      <w:r>
        <w:rPr>
          <w:rFonts w:ascii="宋体" w:hAnsi="宋体" w:cs="宋体" w:eastAsia="宋体" w:hint="default"/>
        </w:rPr>
        <w:t>5</w:t>
      </w:r>
      <w:r>
        <w:rPr/>
        <w:t>。</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已逾期未偿还的短期借款情况" w:id="321"/>
      <w:bookmarkEnd w:id="321"/>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3、交易性金融负债" w:id="322"/>
      <w:bookmarkEnd w:id="322"/>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34、衍生金融负债" w:id="323"/>
      <w:bookmarkEnd w:id="323"/>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5、应付票据" w:id="324"/>
      <w:bookmarkEnd w:id="324"/>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14,986,546.46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12,183,120.54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46,536,322.05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109,606,831.34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61,522,868.51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121,789,951.88</w:t>
            </w:r>
          </w:p>
        </w:tc>
      </w:tr>
    </w:tbl>
    <w:p>
      <w:pPr>
        <w:pStyle w:val="BodyText"/>
        <w:spacing w:line="240" w:lineRule="auto" w:before="49"/>
        <w:ind w:right="1133"/>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6、应付账款" w:id="325"/>
      <w:bookmarkEnd w:id="325"/>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付账款列示" w:id="326"/>
      <w:bookmarkEnd w:id="32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年，下同）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592,578,597.36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605,871,738.49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78,056,054.95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101,886,647.59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42,324,572.21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48,239,388.83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89,798,687.18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120,025,446.57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802,757,911.70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876,023,221.48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账龄超过1年的重要应付账款" w:id="327"/>
      <w:bookmarkEnd w:id="327"/>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山东智信电子工程有限公司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6,304,330.46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吕梁市建筑安装总公司建筑安装工程处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7,537,900.00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深圳市东来奇德实业发展有限公司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6,158,990.05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上海泓申科技发展有限公司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6,107,144.70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山西皓明晋天科技有限公司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5,543,926.20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31,652,291.41</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7、预收款项" w:id="328"/>
      <w:bookmarkEnd w:id="328"/>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1）预收款项列示" w:id="329"/>
      <w:bookmarkEnd w:id="32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年，下同）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162,272,462.41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145,463,512.06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2,450,340.97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5,738,035.56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1,717,258.43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7,103,523.78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3,036,688.43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7,192,963.32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169,476,750.24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165,498,034.72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账龄超过1年的重要预收款项" w:id="330"/>
      <w:bookmarkEnd w:id="330"/>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3）期末建造合同形成的已结算未完工项目情况" w:id="331"/>
      <w:bookmarkEnd w:id="331"/>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134,779,641.72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25,059,028.08</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185,445,922.30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建造合同形成的已结算未完工项目</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-25,607,252.50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8、合同负债" w:id="332"/>
      <w:bookmarkEnd w:id="332"/>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9、应付职工薪酬" w:id="333"/>
      <w:bookmarkEnd w:id="333"/>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付职工薪酬列示" w:id="334"/>
      <w:bookmarkEnd w:id="33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5"/>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21,259,478.17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111,827,706.39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116,989,814.91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16,097,369.65</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3,579,150.49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5,040,424.68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5,432,994.13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3,186,581.04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5"/>
              <w:jc w:val="righ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61,800.00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24,838,628.66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3" w:right="0"/>
              <w:jc w:val="left"/>
              <w:rPr>
                <w:rFonts w:ascii="Times New Roman" w:hAnsi="Times New Roman" w:cs="Times New Roman" w:eastAsia="Times New Roman" w:hint="default"/>
                <w:sz w:val="18"/>
                <w:szCs w:val="18"/>
              </w:rPr>
            </w:pPr>
            <w:r>
              <w:rPr>
                <w:rFonts w:ascii="Times New Roman"/>
                <w:sz w:val="18"/>
              </w:rPr>
              <w:t>116,929,931.07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122,484,609.04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19,283,950.69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短期薪酬列示" w:id="335"/>
      <w:bookmarkEnd w:id="33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7"/>
        <w:gridCol w:w="1802"/>
        <w:gridCol w:w="1791"/>
        <w:gridCol w:w="1791"/>
        <w:gridCol w:w="1790"/>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18,066,296.41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98,827,984.27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103,813,618.55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13,080,662.13</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02" w:type="dxa"/>
            <w:tcBorders>
              <w:top w:val="single" w:sz="4" w:space="0" w:color="000000"/>
              <w:left w:val="single" w:sz="10" w:space="0" w:color="D2D2D2"/>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4,404,011.46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4,404,011.46</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2,966,861.76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3,951,308.92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4,119,601.35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2,798,569.33</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2,640,884.57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3,469,946.28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3,613,725.71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2,497,105.14</w:t>
            </w: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83,528.18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131,987.28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136,832.18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78,683.28</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242,449.01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349,375.36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369,043.46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222,780.91</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16,440.00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3,176,563.00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3,177,523.00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15,480.00</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209,880.00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1,467,838.74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1,475,060.55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202,658.19</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21,259,478.17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111,827,706.39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116,989,814.91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16,097,369.65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设定提存计划列示" w:id="336"/>
      <w:bookmarkEnd w:id="33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3,452,276.00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4,858,422.90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5,237,085.82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3,073,613.08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126,874.49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182,001.78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195,908.31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112,967.96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3,579,150.49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5,040,424.68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5,432,994.13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3,186,581.04</w:t>
            </w:r>
          </w:p>
        </w:tc>
      </w:tr>
    </w:tbl>
    <w:p>
      <w:pPr>
        <w:pStyle w:val="BodyText"/>
        <w:spacing w:line="338" w:lineRule="auto" w:before="49"/>
        <w:ind w:right="1034"/>
        <w:jc w:val="left"/>
      </w:pPr>
      <w:r>
        <w:rPr/>
        <w:t>其他说明： 注：其他减少系在本年度失去控制权的以前年度纳入合并范围的子公司在控制权发生转移后不再纳入本公司合并范围所致。 </w:t>
      </w:r>
      <w:r>
        <w:rPr>
          <w:spacing w:val="-2"/>
        </w:rPr>
        <w:t>注：本公司按规定参加由政府机构设立的养老保险、失业保险计划，根据该等计划，本集团根据各地社保局规定的缴费比例</w:t>
      </w:r>
    </w:p>
    <w:p>
      <w:pPr>
        <w:pStyle w:val="BodyText"/>
        <w:spacing w:line="316" w:lineRule="auto" w:before="2"/>
        <w:ind w:right="0"/>
        <w:jc w:val="left"/>
      </w:pPr>
      <w:r>
        <w:rPr>
          <w:spacing w:val="-2"/>
        </w:rPr>
        <w:t>及缴费基数向该等计划缴存费用。除上述每月缴存费用外，本集团不再承担进一步支付义务。相应的支出于发生时计入当期</w:t>
      </w:r>
      <w:r>
        <w:rPr>
          <w:spacing w:val="-65"/>
        </w:rPr>
        <w:t> </w:t>
      </w:r>
      <w:r>
        <w:rPr>
          <w:spacing w:val="-65"/>
        </w:rPr>
      </w:r>
      <w:r>
        <w:rPr/>
        <w:t>损益或相关资产的成本。</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40、应交税费" w:id="337"/>
      <w:bookmarkEnd w:id="337"/>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74,281,620.78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139,622,208.47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24,606,291.55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68,220,486.59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51,685.58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13,938.42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8,179,698.50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9,918,449.63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19,514,285.71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9,142,857.14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3,461,119.31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4,242,246.09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2,313,674.71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2,821,013.64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436,013.44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601,185.50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3,520,332.91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325,243.82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58,157.08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67,793.63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40,268.61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40,268.61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136,463,148.18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235,015,691.54</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1、其他应付款" w:id="338"/>
      <w:bookmarkEnd w:id="338"/>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2,553,461.79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1,717,650.25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8,269,767.15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2,954,772.00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142,651,853.65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210,902,100.98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153,475,082.59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215,574,523.23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应付利息" w:id="339"/>
      <w:bookmarkEnd w:id="339"/>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2,553,461.79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1,717,650.25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2,553,461.79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1,717,650.25</w:t>
            </w:r>
          </w:p>
        </w:tc>
      </w:tr>
    </w:tbl>
    <w:p>
      <w:pPr>
        <w:pStyle w:val="BodyText"/>
        <w:spacing w:line="357" w:lineRule="auto" w:before="49"/>
        <w:ind w:right="8054"/>
        <w:jc w:val="left"/>
      </w:pPr>
      <w:r>
        <w:rPr/>
        <w:t>重要的已逾期未支付的利息情况： 其他说明：</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bookmarkStart w:name="（2）应付股利" w:id="340"/>
      <w:bookmarkEnd w:id="340"/>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8,269,767.15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2,954,772.00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8,269,767.15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2,954,772.00</w:t>
            </w:r>
          </w:p>
        </w:tc>
      </w:tr>
    </w:tbl>
    <w:p>
      <w:pPr>
        <w:pStyle w:val="BodyText"/>
        <w:spacing w:line="240" w:lineRule="auto" w:before="49"/>
        <w:ind w:right="1133"/>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其他应付款" w:id="341"/>
      <w:bookmarkEnd w:id="341"/>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按款项性质列示其他应付款" w:id="342"/>
      <w:bookmarkEnd w:id="342"/>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135,079,306.10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202,889,298.84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3,218,821.64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1,304,560.59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844,582.10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1,898,831.69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479,143.81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1,806,409.86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142,651,853.65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210,902,100.98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账龄超过1年的重要其他应付款" w:id="343"/>
      <w:bookmarkEnd w:id="343"/>
      <w:r>
        <w:rPr>
          <w:b w:val="0"/>
          <w:bCs w:val="0"/>
        </w:rPr>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浙江金卡实业有限公司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7,291,149.40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7,291,149.40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2、持有待售负债" w:id="344"/>
      <w:bookmarkEnd w:id="344"/>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3、一年内到期的非流动负债" w:id="345"/>
      <w:bookmarkEnd w:id="345"/>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44、其他流动负债" w:id="346"/>
      <w:bookmarkEnd w:id="346"/>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45、长期借款" w:id="347"/>
      <w:bookmarkEnd w:id="347"/>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6、应付债券" w:id="348"/>
      <w:bookmarkEnd w:id="348"/>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47、租赁负债" w:id="349"/>
      <w:bookmarkEnd w:id="349"/>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48、长期应付款" w:id="350"/>
      <w:bookmarkEnd w:id="350"/>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49、长期应付职工薪酬" w:id="351"/>
      <w:bookmarkEnd w:id="351"/>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50、预计负债" w:id="352"/>
      <w:bookmarkEnd w:id="352"/>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51、递延收益" w:id="353"/>
      <w:bookmarkEnd w:id="353"/>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未通过验收</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840,000.00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1,660,000.00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涉及政府补助的项目：</w:t>
      </w:r>
    </w:p>
    <w:p>
      <w:pPr>
        <w:pStyle w:val="BodyText"/>
        <w:spacing w:line="240" w:lineRule="auto" w:before="115"/>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52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突发事件应 急保障新技 术新方法及 装备研究和 应用</w:t>
            </w:r>
            <w:r>
              <w:rPr>
                <w:rFonts w:ascii="Times New Roman" w:hAnsi="Times New Roman" w:cs="Times New Roman" w:eastAsia="Times New Roman" w:hint="default"/>
                <w:sz w:val="18"/>
                <w:szCs w:val="18"/>
              </w:rPr>
              <w:t>-</w:t>
            </w:r>
            <w:r>
              <w:rPr>
                <w:rFonts w:ascii="宋体" w:hAnsi="宋体" w:cs="宋体" w:eastAsia="宋体" w:hint="default"/>
                <w:sz w:val="18"/>
                <w:szCs w:val="18"/>
              </w:rPr>
              <w:t>大数 据背景下新 型突发事件 应急保障系 统、装备研 发与应用示 范（注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89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人工智能技 术在特定领 域的应用研 究与示范</w:t>
            </w:r>
            <w:r>
              <w:rPr>
                <w:rFonts w:ascii="Times New Roman" w:hAnsi="Times New Roman" w:cs="Times New Roman" w:eastAsia="Times New Roman" w:hint="default"/>
                <w:sz w:val="18"/>
                <w:szCs w:val="18"/>
              </w:rPr>
              <w:t>- </w:t>
            </w:r>
            <w:r>
              <w:rPr>
                <w:rFonts w:ascii="宋体" w:hAnsi="宋体" w:cs="宋体" w:eastAsia="宋体" w:hint="default"/>
                <w:sz w:val="18"/>
                <w:szCs w:val="18"/>
              </w:rPr>
              <w:t>人工智能技 术在城市交 通智能管控 领域的示范</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9"/>
              <w:jc w:val="right"/>
              <w:rPr>
                <w:rFonts w:ascii="Times New Roman" w:hAnsi="Times New Roman" w:cs="Times New Roman" w:eastAsia="Times New Roman" w:hint="default"/>
                <w:sz w:val="18"/>
                <w:szCs w:val="18"/>
              </w:rPr>
            </w:pPr>
            <w:r>
              <w:rPr>
                <w:rFonts w:ascii="Times New Roman"/>
                <w:spacing w:val="-1"/>
                <w:sz w:val="18"/>
              </w:rPr>
              <w:t>840,000.00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165" w:right="0"/>
              <w:jc w:val="left"/>
              <w:rPr>
                <w:rFonts w:ascii="Times New Roman" w:hAnsi="Times New Roman" w:cs="Times New Roman" w:eastAsia="Times New Roman" w:hint="default"/>
                <w:sz w:val="18"/>
                <w:szCs w:val="18"/>
              </w:rPr>
            </w:pPr>
            <w:r>
              <w:rPr>
                <w:rFonts w:ascii="Times New Roman"/>
                <w:sz w:val="18"/>
              </w:rPr>
              <w:t>840,000.00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2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突发事件应 急保障新技 术新方法及 装备研究和 应用</w:t>
            </w:r>
            <w:r>
              <w:rPr>
                <w:rFonts w:ascii="Times New Roman" w:hAnsi="Times New Roman" w:cs="Times New Roman" w:eastAsia="Times New Roman" w:hint="default"/>
                <w:sz w:val="18"/>
                <w:szCs w:val="18"/>
              </w:rPr>
              <w:t>-</w:t>
            </w:r>
            <w:r>
              <w:rPr>
                <w:rFonts w:ascii="宋体" w:hAnsi="宋体" w:cs="宋体" w:eastAsia="宋体" w:hint="default"/>
                <w:sz w:val="18"/>
                <w:szCs w:val="18"/>
              </w:rPr>
              <w:t>大数 据背景下新 型突发事件 应急保障系 统、装备研 发与应用示 范（注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智能政务开 放创新服务 平台开发及</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165" w:right="0"/>
              <w:jc w:val="left"/>
              <w:rPr>
                <w:rFonts w:ascii="Times New Roman" w:hAnsi="Times New Roman" w:cs="Times New Roman" w:eastAsia="Times New Roman" w:hint="default"/>
                <w:sz w:val="18"/>
                <w:szCs w:val="18"/>
              </w:rPr>
            </w:pPr>
            <w:r>
              <w:rPr>
                <w:rFonts w:ascii="Times New Roman"/>
                <w:sz w:val="18"/>
              </w:rPr>
              <w:t>540,000.00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540,000.00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67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应用示范</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49"/>
        <w:ind w:right="1133"/>
        <w:jc w:val="left"/>
      </w:pPr>
      <w:r>
        <w:rPr/>
        <w:t>其他说明： </w:t>
      </w:r>
      <w:r>
        <w:rPr>
          <w:spacing w:val="7"/>
        </w:rPr>
        <w:t>注</w:t>
      </w:r>
      <w:r>
        <w:rPr>
          <w:rFonts w:ascii="宋体" w:hAnsi="宋体" w:cs="宋体" w:eastAsia="宋体" w:hint="default"/>
          <w:spacing w:val="7"/>
        </w:rPr>
        <w:t>1</w:t>
      </w:r>
      <w:r>
        <w:rPr>
          <w:spacing w:val="7"/>
        </w:rPr>
        <w:t>：根据浙江省科学技术厅发布的编号为</w:t>
      </w:r>
      <w:r>
        <w:rPr>
          <w:rFonts w:ascii="宋体" w:hAnsi="宋体" w:cs="宋体" w:eastAsia="宋体" w:hint="default"/>
          <w:spacing w:val="7"/>
        </w:rPr>
        <w:t>2018C03042</w:t>
      </w:r>
      <w:r>
        <w:rPr>
          <w:spacing w:val="7"/>
        </w:rPr>
        <w:t>的浙江省科技计划项目合同书，公司于</w:t>
      </w:r>
      <w:r>
        <w:rPr>
          <w:rFonts w:ascii="宋体" w:hAnsi="宋体" w:cs="宋体" w:eastAsia="宋体" w:hint="default"/>
          <w:spacing w:val="7"/>
        </w:rPr>
        <w:t>2018</w:t>
      </w:r>
      <w:r>
        <w:rPr>
          <w:spacing w:val="7"/>
        </w:rPr>
        <w:t>年</w:t>
      </w:r>
      <w:r>
        <w:rPr>
          <w:rFonts w:ascii="宋体" w:hAnsi="宋体" w:cs="宋体" w:eastAsia="宋体" w:hint="default"/>
          <w:spacing w:val="7"/>
        </w:rPr>
        <w:t>3</w:t>
      </w:r>
      <w:r>
        <w:rPr>
          <w:spacing w:val="7"/>
        </w:rPr>
        <w:t>月收到政府补助</w:t>
      </w:r>
      <w:r>
        <w:rPr>
          <w:spacing w:val="-62"/>
        </w:rPr>
        <w:t> </w:t>
      </w:r>
      <w:r>
        <w:rPr>
          <w:rFonts w:ascii="宋体" w:hAnsi="宋体" w:cs="宋体" w:eastAsia="宋体" w:hint="default"/>
        </w:rPr>
        <w:t>960,000.00</w:t>
      </w:r>
      <w:r>
        <w:rPr/>
        <w:t>元，属于与收益相关的政府补助，本年末研发项目尚未验收，暂列示于递延收益。</w:t>
      </w:r>
    </w:p>
    <w:p>
      <w:pPr>
        <w:pStyle w:val="BodyText"/>
        <w:spacing w:line="316" w:lineRule="auto" w:before="2"/>
        <w:ind w:right="0"/>
        <w:jc w:val="left"/>
      </w:pPr>
      <w:r>
        <w:rPr>
          <w:spacing w:val="7"/>
        </w:rPr>
        <w:t>注</w:t>
      </w:r>
      <w:r>
        <w:rPr>
          <w:rFonts w:ascii="宋体" w:hAnsi="宋体" w:cs="宋体" w:eastAsia="宋体" w:hint="default"/>
          <w:spacing w:val="7"/>
        </w:rPr>
        <w:t>2</w:t>
      </w:r>
      <w:r>
        <w:rPr>
          <w:spacing w:val="7"/>
        </w:rPr>
        <w:t>：根据浙江省科学技术厅发布的编号为</w:t>
      </w:r>
      <w:r>
        <w:rPr>
          <w:rFonts w:ascii="宋体" w:hAnsi="宋体" w:cs="宋体" w:eastAsia="宋体" w:hint="default"/>
          <w:spacing w:val="7"/>
        </w:rPr>
        <w:t>2018C01007</w:t>
      </w:r>
      <w:r>
        <w:rPr>
          <w:spacing w:val="7"/>
        </w:rPr>
        <w:t>的浙江省科技计划项目合同书，公司于</w:t>
      </w:r>
      <w:r>
        <w:rPr>
          <w:rFonts w:ascii="宋体" w:hAnsi="宋体" w:cs="宋体" w:eastAsia="宋体" w:hint="default"/>
          <w:spacing w:val="7"/>
        </w:rPr>
        <w:t>2018</w:t>
      </w:r>
      <w:r>
        <w:rPr>
          <w:spacing w:val="7"/>
        </w:rPr>
        <w:t>年</w:t>
      </w:r>
      <w:r>
        <w:rPr>
          <w:rFonts w:ascii="宋体" w:hAnsi="宋体" w:cs="宋体" w:eastAsia="宋体" w:hint="default"/>
          <w:spacing w:val="7"/>
        </w:rPr>
        <w:t>3</w:t>
      </w:r>
      <w:r>
        <w:rPr>
          <w:spacing w:val="7"/>
        </w:rPr>
        <w:t>月收到政府补助</w:t>
      </w:r>
      <w:r>
        <w:rPr>
          <w:spacing w:val="-62"/>
        </w:rPr>
        <w:t> </w:t>
      </w:r>
      <w:r>
        <w:rPr>
          <w:rFonts w:ascii="宋体" w:hAnsi="宋体" w:cs="宋体" w:eastAsia="宋体" w:hint="default"/>
        </w:rPr>
        <w:t>840,000.00</w:t>
      </w:r>
      <w:r>
        <w:rPr/>
        <w:t>元，属于与收益相关的政府补助，年末研发项目已验收，计入其他收益。 注</w:t>
      </w:r>
      <w:r>
        <w:rPr>
          <w:rFonts w:ascii="宋体" w:hAnsi="宋体" w:cs="宋体" w:eastAsia="宋体" w:hint="default"/>
        </w:rPr>
        <w:t>3</w:t>
      </w:r>
      <w:r>
        <w:rPr/>
        <w:t>：根据浙江省科学技术厅发布的编号为</w:t>
      </w:r>
      <w:r>
        <w:rPr>
          <w:rFonts w:ascii="宋体" w:hAnsi="宋体" w:cs="宋体" w:eastAsia="宋体" w:hint="default"/>
        </w:rPr>
        <w:t>2018C03042</w:t>
      </w:r>
      <w:r>
        <w:rPr/>
        <w:t>的浙江省科技计划项目合同书，公司全资子公司浙江银江研究院有限</w:t>
      </w:r>
      <w:r>
        <w:rPr>
          <w:spacing w:val="-85"/>
        </w:rPr>
        <w:t> </w:t>
      </w:r>
      <w:r>
        <w:rPr>
          <w:spacing w:val="-85"/>
        </w:rPr>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月收到政府补助</w:t>
      </w:r>
      <w:r>
        <w:rPr>
          <w:rFonts w:ascii="宋体" w:hAnsi="宋体" w:cs="宋体" w:eastAsia="宋体" w:hint="default"/>
          <w:spacing w:val="-2"/>
        </w:rPr>
        <w:t>160,000.00</w:t>
      </w:r>
      <w:r>
        <w:rPr>
          <w:spacing w:val="-2"/>
        </w:rPr>
        <w:t>元，属于与收益相关的政府补助，本年末研发项目尚未验收，暂列示于递延收益。</w:t>
      </w:r>
      <w:r>
        <w:rPr>
          <w:spacing w:val="-55"/>
        </w:rPr>
        <w:t> </w:t>
      </w:r>
      <w:r>
        <w:rPr>
          <w:spacing w:val="-55"/>
        </w:rPr>
      </w:r>
      <w:r>
        <w:rPr>
          <w:spacing w:val="-2"/>
        </w:rPr>
        <w:t>注</w:t>
      </w:r>
      <w:r>
        <w:rPr>
          <w:rFonts w:ascii="宋体" w:hAnsi="宋体" w:cs="宋体" w:eastAsia="宋体" w:hint="default"/>
          <w:spacing w:val="-2"/>
        </w:rPr>
        <w:t>4</w:t>
      </w:r>
      <w:r>
        <w:rPr>
          <w:spacing w:val="-2"/>
        </w:rPr>
        <w:t>：根据浙江省科技厅</w:t>
      </w:r>
      <w:r>
        <w:rPr>
          <w:rFonts w:ascii="宋体" w:hAnsi="宋体" w:cs="宋体" w:eastAsia="宋体" w:hint="default"/>
          <w:spacing w:val="-2"/>
        </w:rPr>
        <w:t>2019</w:t>
      </w:r>
      <w:r>
        <w:rPr>
          <w:spacing w:val="-2"/>
        </w:rPr>
        <w:t>年发布的编号为</w:t>
      </w:r>
      <w:r>
        <w:rPr>
          <w:rFonts w:ascii="宋体" w:hAnsi="宋体" w:cs="宋体" w:eastAsia="宋体" w:hint="default"/>
          <w:spacing w:val="-2"/>
        </w:rPr>
        <w:t>2019C01004</w:t>
      </w:r>
      <w:r>
        <w:rPr>
          <w:spacing w:val="-2"/>
        </w:rPr>
        <w:t>的浙江省重点研发计划项目子课题合同书，公司于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月收到政</w:t>
      </w:r>
      <w:r>
        <w:rPr>
          <w:spacing w:val="-56"/>
        </w:rPr>
        <w:t> </w:t>
      </w:r>
      <w:r>
        <w:rPr>
          <w:spacing w:val="-56"/>
        </w:rPr>
      </w:r>
      <w:r>
        <w:rPr/>
        <w:t>府补助</w:t>
      </w:r>
      <w:r>
        <w:rPr>
          <w:rFonts w:ascii="宋体" w:hAnsi="宋体" w:cs="宋体" w:eastAsia="宋体" w:hint="default"/>
        </w:rPr>
        <w:t>540,000.00</w:t>
      </w:r>
      <w:r>
        <w:rPr/>
        <w:t>元，属于与收益相关的政府补助，年末研发项目尚未验收，计入递延收益。</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52、其他非流动负债" w:id="354"/>
      <w:bookmarkEnd w:id="354"/>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53、股本" w:id="355"/>
      <w:bookmarkEnd w:id="355"/>
      <w:r>
        <w:rPr>
          <w:b w:val="0"/>
          <w:bCs w:val="0"/>
        </w:rPr>
      </w:r>
      <w:r>
        <w:rPr>
          <w:rFonts w:ascii="Times New Roman" w:hAnsi="Times New Roman" w:cs="Times New Roman" w:eastAsia="Times New Roman" w:hint="default"/>
        </w:rPr>
        <w:t>53</w:t>
      </w:r>
      <w:r>
        <w:rPr/>
        <w:t>、股本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655,789,086.00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655,789,086.00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4、其他权益工具" w:id="356"/>
      <w:bookmarkEnd w:id="356"/>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55、资本公积" w:id="357"/>
      <w:bookmarkEnd w:id="357"/>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1,566,809,540.84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1,566,809,540.84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25,320,095.57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6,564,048.50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31,884,144.07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1,592,129,636.41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6,564,048.50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1,598,693,684.91</w:t>
            </w:r>
          </w:p>
        </w:tc>
      </w:tr>
    </w:tbl>
    <w:p>
      <w:pPr>
        <w:pStyle w:val="BodyText"/>
        <w:spacing w:line="360" w:lineRule="auto" w:before="49"/>
        <w:ind w:right="2654"/>
        <w:jc w:val="left"/>
      </w:pPr>
      <w:r>
        <w:rPr/>
        <w:t>其他说明，包括本期增减变动情况、变动原因说明： 注：本年资本公积变动系公司第三次股权激励本期分摊激励费用使其他资本公积增加</w:t>
      </w:r>
      <w:r>
        <w:rPr>
          <w:rFonts w:ascii="宋体" w:hAnsi="宋体" w:cs="宋体" w:eastAsia="宋体" w:hint="default"/>
        </w:rPr>
        <w:t>6,564,048.50</w:t>
      </w:r>
      <w:r>
        <w:rPr/>
        <w:t>元。</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bookmarkStart w:name="56、库存股" w:id="358"/>
      <w:bookmarkEnd w:id="358"/>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57、其他综合收益" w:id="359"/>
      <w:bookmarkEnd w:id="359"/>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852"/>
        <w:gridCol w:w="727"/>
      </w:tblGrid>
      <w:tr>
        <w:trPr>
          <w:trHeight w:val="402" w:hRule="exact"/>
        </w:trPr>
        <w:tc>
          <w:tcPr>
            <w:tcW w:w="25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62" w:hRule="exact"/>
        </w:trPr>
        <w:tc>
          <w:tcPr>
            <w:tcW w:w="2555"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本期所得</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7"/>
                <w:sz w:val="18"/>
                <w:szCs w:val="18"/>
              </w:rPr>
              <w:t>：</w:t>
            </w:r>
            <w:r>
              <w:rPr>
                <w:rFonts w:ascii="宋体" w:hAnsi="宋体" w:cs="宋体" w:eastAsia="宋体" w:hint="default"/>
                <w:sz w:val="18"/>
                <w:szCs w:val="18"/>
              </w:rPr>
              <w:t>前期计入</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减：前期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减：所得</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72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56"/>
        <w:gridCol w:w="975"/>
        <w:gridCol w:w="852"/>
        <w:gridCol w:w="1052"/>
        <w:gridCol w:w="852"/>
        <w:gridCol w:w="852"/>
        <w:gridCol w:w="853"/>
        <w:gridCol w:w="852"/>
        <w:gridCol w:w="727"/>
      </w:tblGrid>
      <w:tr>
        <w:trPr>
          <w:trHeight w:val="358" w:hRule="exact"/>
        </w:trPr>
        <w:tc>
          <w:tcPr>
            <w:tcW w:w="2556"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
              <w:ind w:left="331" w:right="59" w:hanging="269"/>
              <w:jc w:val="left"/>
              <w:rPr>
                <w:rFonts w:ascii="宋体" w:hAnsi="宋体" w:cs="宋体" w:eastAsia="宋体" w:hint="default"/>
                <w:sz w:val="18"/>
                <w:szCs w:val="18"/>
              </w:rPr>
            </w:pPr>
            <w:r>
              <w:rPr>
                <w:rFonts w:ascii="宋体" w:hAnsi="宋体" w:cs="宋体" w:eastAsia="宋体" w:hint="default"/>
                <w:sz w:val="18"/>
                <w:szCs w:val="18"/>
              </w:rPr>
              <w:t>税前发生 额</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
              <w:ind w:left="69" w:right="70"/>
              <w:jc w:val="center"/>
              <w:rPr>
                <w:rFonts w:ascii="宋体" w:hAnsi="宋体" w:cs="宋体" w:eastAsia="宋体" w:hint="default"/>
                <w:sz w:val="18"/>
                <w:szCs w:val="18"/>
              </w:rPr>
            </w:pPr>
            <w:r>
              <w:rPr>
                <w:rFonts w:ascii="宋体" w:hAnsi="宋体" w:cs="宋体" w:eastAsia="宋体" w:hint="default"/>
                <w:sz w:val="18"/>
                <w:szCs w:val="18"/>
              </w:rPr>
              <w:t>其他综合收 益当期转入 损益</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
              <w:ind w:left="62" w:right="59"/>
              <w:jc w:val="both"/>
              <w:rPr>
                <w:rFonts w:ascii="宋体" w:hAnsi="宋体" w:cs="宋体" w:eastAsia="宋体" w:hint="default"/>
                <w:sz w:val="18"/>
                <w:szCs w:val="18"/>
              </w:rPr>
            </w:pPr>
            <w:r>
              <w:rPr>
                <w:rFonts w:ascii="宋体" w:hAnsi="宋体" w:cs="宋体" w:eastAsia="宋体" w:hint="default"/>
                <w:sz w:val="18"/>
                <w:szCs w:val="18"/>
              </w:rPr>
              <w:t>计入其他 综合收益 当期转入 留存收益</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151" w:right="0"/>
              <w:jc w:val="left"/>
              <w:rPr>
                <w:rFonts w:ascii="宋体" w:hAnsi="宋体" w:cs="宋体" w:eastAsia="宋体" w:hint="default"/>
                <w:sz w:val="18"/>
                <w:szCs w:val="18"/>
              </w:rPr>
            </w:pPr>
            <w:r>
              <w:rPr>
                <w:rFonts w:ascii="宋体" w:hAnsi="宋体" w:cs="宋体" w:eastAsia="宋体" w:hint="default"/>
                <w:sz w:val="18"/>
                <w:szCs w:val="18"/>
              </w:rPr>
              <w:t>税费用</w:t>
            </w:r>
          </w:p>
        </w:tc>
        <w:tc>
          <w:tcPr>
            <w:tcW w:w="85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62" w:right="0"/>
              <w:jc w:val="left"/>
              <w:rPr>
                <w:rFonts w:ascii="宋体" w:hAnsi="宋体" w:cs="宋体" w:eastAsia="宋体" w:hint="default"/>
                <w:sz w:val="18"/>
                <w:szCs w:val="18"/>
              </w:rPr>
            </w:pPr>
            <w:r>
              <w:rPr>
                <w:rFonts w:ascii="宋体" w:hAnsi="宋体" w:cs="宋体" w:eastAsia="宋体" w:hint="default"/>
                <w:sz w:val="18"/>
                <w:szCs w:val="18"/>
              </w:rPr>
              <w:t>于母公司</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
              <w:ind w:left="331" w:right="59" w:hanging="269"/>
              <w:jc w:val="left"/>
              <w:rPr>
                <w:rFonts w:ascii="宋体" w:hAnsi="宋体" w:cs="宋体" w:eastAsia="宋体" w:hint="default"/>
                <w:sz w:val="18"/>
                <w:szCs w:val="18"/>
              </w:rPr>
            </w:pPr>
            <w:r>
              <w:rPr>
                <w:rFonts w:ascii="宋体" w:hAnsi="宋体" w:cs="宋体" w:eastAsia="宋体" w:hint="default"/>
                <w:sz w:val="18"/>
                <w:szCs w:val="18"/>
              </w:rPr>
              <w:t>于少数股 东</w:t>
            </w:r>
          </w:p>
        </w:tc>
        <w:tc>
          <w:tcPr>
            <w:tcW w:w="727" w:type="dxa"/>
            <w:vMerge w:val="restart"/>
            <w:tcBorders>
              <w:top w:val="single" w:sz="4" w:space="0" w:color="000000"/>
              <w:left w:val="single" w:sz="4" w:space="0" w:color="000000"/>
              <w:right w:val="single" w:sz="4" w:space="0" w:color="000000"/>
            </w:tcBorders>
            <w:shd w:val="clear" w:color="auto" w:fill="D2D2D2"/>
          </w:tcPr>
          <w:p>
            <w:pPr/>
          </w:p>
        </w:tc>
      </w:tr>
      <w:tr>
        <w:trPr>
          <w:trHeight w:val="312"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312"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317" w:hRule="exact"/>
        </w:trPr>
        <w:tc>
          <w:tcPr>
            <w:tcW w:w="2556"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52,091,148.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-87,121,21</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2.35</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-21,962,76</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4.09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-13,068,18</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1.85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-52,090,26</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6.41</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881.60</w:t>
            </w:r>
          </w:p>
        </w:tc>
      </w:tr>
      <w:tr>
        <w:trPr>
          <w:trHeight w:val="715"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0" w:firstLine="540"/>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52,091,148.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-87,121,21</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2.35</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-21,962,76</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4.09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-13,068,18</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1.85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-52,090,26</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6.41</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881.60</w:t>
            </w:r>
          </w:p>
        </w:tc>
      </w:tr>
      <w:tr>
        <w:trPr>
          <w:trHeight w:val="161" w:hRule="exact"/>
        </w:trPr>
        <w:tc>
          <w:tcPr>
            <w:tcW w:w="25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52,091,148.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-87,121,21</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2.35</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-21,962,76</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4.09</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-13,068,18</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1.85</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-52,090,26</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6.41</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881.60</w:t>
            </w:r>
          </w:p>
        </w:tc>
      </w:tr>
      <w:tr>
        <w:trPr>
          <w:trHeight w:val="391"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bookmarkStart w:name="58、专项储备" w:id="360"/>
      <w:bookmarkEnd w:id="360"/>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59、盈余公积" w:id="361"/>
      <w:bookmarkEnd w:id="361"/>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122,224,842.91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17,818,798.11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2,194,776.41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137,848,864.61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122,224,842.91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17,818,798.11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2,194,776.41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137,848,864.61</w:t>
            </w:r>
          </w:p>
        </w:tc>
      </w:tr>
    </w:tbl>
    <w:p>
      <w:pPr>
        <w:pStyle w:val="BodyText"/>
        <w:spacing w:line="338" w:lineRule="auto" w:before="49"/>
        <w:ind w:right="1124"/>
        <w:jc w:val="left"/>
      </w:pPr>
      <w:r>
        <w:rPr/>
        <w:t>盈余公积说明，包括本期增减变动情况、变动原因说明： 注</w:t>
      </w:r>
      <w:r>
        <w:rPr>
          <w:rFonts w:ascii="宋体" w:hAnsi="宋体" w:cs="宋体" w:eastAsia="宋体" w:hint="default"/>
        </w:rPr>
        <w:t>1</w:t>
      </w:r>
      <w:r>
        <w:rPr/>
        <w:t>：根据《公司法》、公司章程的规定，本公司按本公司单体净利润的</w:t>
      </w:r>
      <w:r>
        <w:rPr>
          <w:rFonts w:ascii="宋体" w:hAnsi="宋体" w:cs="宋体" w:eastAsia="宋体" w:hint="default"/>
        </w:rPr>
        <w:t>10%</w:t>
      </w:r>
      <w:r>
        <w:rPr/>
        <w:t>提取法定盈余公积</w:t>
      </w:r>
      <w:r>
        <w:rPr>
          <w:rFonts w:ascii="宋体" w:hAnsi="宋体" w:cs="宋体" w:eastAsia="宋体" w:hint="default"/>
        </w:rPr>
        <w:t>17,818,798.11</w:t>
      </w:r>
      <w:r>
        <w:rPr/>
        <w:t>元。法定盈余</w:t>
      </w:r>
      <w:r>
        <w:rPr>
          <w:spacing w:val="-83"/>
        </w:rPr>
        <w:t> </w:t>
      </w:r>
      <w:r>
        <w:rPr/>
        <w:t>公积累计额达到本公司注册资本</w:t>
      </w:r>
      <w:r>
        <w:rPr>
          <w:rFonts w:ascii="宋体" w:hAnsi="宋体" w:cs="宋体" w:eastAsia="宋体" w:hint="default"/>
        </w:rPr>
        <w:t>50%</w:t>
      </w:r>
      <w:r>
        <w:rPr/>
        <w:t>以上的，不再提取。</w:t>
      </w:r>
    </w:p>
    <w:p>
      <w:pPr>
        <w:pStyle w:val="BodyText"/>
        <w:spacing w:line="316" w:lineRule="auto" w:before="2"/>
        <w:ind w:right="1131"/>
        <w:jc w:val="both"/>
      </w:pPr>
      <w:r>
        <w:rPr/>
        <w:t>注</w:t>
      </w:r>
      <w:r>
        <w:rPr>
          <w:rFonts w:ascii="宋体" w:hAnsi="宋体" w:cs="宋体" w:eastAsia="宋体" w:hint="default"/>
        </w:rPr>
        <w:t>2</w:t>
      </w:r>
      <w:r>
        <w:rPr/>
        <w:t>：本公司处置其他权益工具将前期计入其他综合收益的税后净额转入当期留存收益，因为处置权益工具时其公允价值低</w:t>
      </w:r>
      <w:r>
        <w:rPr>
          <w:spacing w:val="-84"/>
        </w:rPr>
        <w:t> </w:t>
      </w:r>
      <w:r>
        <w:rPr>
          <w:spacing w:val="-84"/>
        </w:rPr>
      </w:r>
      <w:r>
        <w:rPr/>
        <w:t>于取得该权益工具的成本金额，故本年减少留存收益</w:t>
      </w:r>
      <w:r>
        <w:rPr>
          <w:rFonts w:ascii="宋体" w:hAnsi="宋体" w:cs="宋体" w:eastAsia="宋体" w:hint="default"/>
        </w:rPr>
        <w:t>21,962,764.09</w:t>
      </w:r>
      <w:r>
        <w:rPr/>
        <w:t>元，其中减少法定盈余公积</w:t>
      </w:r>
      <w:r>
        <w:rPr>
          <w:rFonts w:ascii="宋体" w:hAnsi="宋体" w:cs="宋体" w:eastAsia="宋体" w:hint="default"/>
        </w:rPr>
        <w:t>2,194,776.41</w:t>
      </w:r>
      <w:r>
        <w:rPr/>
        <w:t>元，减少未分 配利润</w:t>
      </w:r>
      <w:r>
        <w:rPr>
          <w:rFonts w:ascii="宋体" w:hAnsi="宋体" w:cs="宋体" w:eastAsia="宋体" w:hint="default"/>
        </w:rPr>
        <w:t>19,767,987.68</w:t>
      </w:r>
      <w:r>
        <w:rPr/>
        <w:t>元。</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60、未分配利润" w:id="362"/>
      <w:bookmarkEnd w:id="362"/>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48"/>
        <w:gridCol w:w="2690"/>
        <w:gridCol w:w="2919"/>
      </w:tblGrid>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6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810,019,862.40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825,668,583.07</w:t>
            </w:r>
          </w:p>
        </w:tc>
      </w:tr>
      <w:tr>
        <w:trPr>
          <w:trHeight w:val="404"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6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810,019,862.40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825,668,583.07</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6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148,813,913.73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26,444,095.70</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6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17,818,798.11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10,565,369.72</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6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19,673,672.58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31,527,446.65</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加：前期计入其他综合收益当期转入未分配利润</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-19,767,987.68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901,573,317.76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810,019,862.40</w:t>
            </w:r>
          </w:p>
        </w:tc>
      </w:tr>
    </w:tbl>
    <w:p>
      <w:pPr>
        <w:pStyle w:val="BodyText"/>
        <w:spacing w:line="240" w:lineRule="auto" w:before="49"/>
        <w:ind w:right="1133"/>
        <w:jc w:val="left"/>
      </w:pPr>
      <w:r>
        <w:rPr/>
        <w:t>调整期初未分配利润明细：</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4"/>
        <w:ind w:right="1133"/>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1"/>
        <w:ind w:right="1133"/>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right="1133"/>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1133"/>
        <w:jc w:val="left"/>
      </w:pPr>
      <w:r>
        <w:rPr>
          <w:rFonts w:ascii="Times New Roman" w:hAnsi="Times New Roman" w:cs="Times New Roman" w:eastAsia="Times New Roman" w:hint="default"/>
        </w:rPr>
        <w:t>5)</w:t>
      </w:r>
      <w:r>
        <w:rPr/>
        <w:t>、其他调整合计影响期初未分配利润元。</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61、营业收入和营业成本" w:id="363"/>
      <w:bookmarkEnd w:id="363"/>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2,066,428,216.15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1,586,462,705.67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2,402,907,332.72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1,821,633,652.22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13,076,218.56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10,078,721.61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10,370,474.03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4,937,089.04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2,079,504,434.71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1,596,541,427.28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2,413,277,806.75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1,826,570,741.26</w:t>
            </w:r>
          </w:p>
        </w:tc>
      </w:tr>
    </w:tbl>
    <w:p>
      <w:pPr>
        <w:pStyle w:val="BodyText"/>
        <w:spacing w:line="240" w:lineRule="auto" w:before="49"/>
        <w:ind w:right="1133"/>
        <w:jc w:val="left"/>
      </w:pPr>
      <w:r>
        <w:rPr/>
        <w:t>是否已执行新收入准则</w:t>
      </w:r>
    </w:p>
    <w:p>
      <w:pPr>
        <w:pStyle w:val="BodyText"/>
        <w:spacing w:line="340" w:lineRule="auto" w:before="115"/>
        <w:ind w:right="10034"/>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 其他说明</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62、税金及附加" w:id="364"/>
      <w:bookmarkEnd w:id="364"/>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85,127.74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5,450,427.41</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37,099.81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2,375,197.10</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4,318,978.94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2,176,559.11</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795,840.11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1,245,044.36</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22,722.94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1,563,529.45</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其他地方税种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3,383,062.24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3,236,825.20</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8,642,831.78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16,047,582.63</w:t>
            </w:r>
          </w:p>
        </w:tc>
      </w:tr>
    </w:tbl>
    <w:p>
      <w:pPr>
        <w:pStyle w:val="BodyText"/>
        <w:spacing w:line="357" w:lineRule="auto" w:before="49"/>
        <w:ind w:right="6614"/>
        <w:jc w:val="left"/>
      </w:pPr>
      <w:r>
        <w:rPr/>
        <w:t>其他说明： 注：各项税金及附加的计缴标准详见附注五、税项。</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bookmarkStart w:name="63、销售费用" w:id="365"/>
      <w:bookmarkEnd w:id="365"/>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12,474,862.80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20,134,937.01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14,482,168.81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9,131,770.15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广告及业务宣传费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1,561,870.62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1,446,780.38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338,622.77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2,760,642.69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5,910,669.08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8,037,676.43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2,459,912.90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2,737,173.89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5,659,289.64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6,107,667.20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581,904.06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1,056,282.22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283,054.94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382,403.11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300,385.31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498,135.90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1,787,006.95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3,935,559.09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45,839,747.88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56,229,028.07</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4、管理费用" w:id="366"/>
      <w:bookmarkEnd w:id="366"/>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61,612,041.83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67,022,545.05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5,890,411.45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8,405,213.45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31,096,729.63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24,461,597.28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11,717,881.31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12,114,631.67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5,398,993.50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6,081,203.72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508,423.52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821,432.82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3,930,783.69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4,854,807.89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2,406,132.40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2,626,283.50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2,364,311.16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2,678,416.55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10,243,135.97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7,581,067.32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6,564,048.50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16,989,302.00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3,736,122.84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7,206,430.48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145,469,015.80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160,842,931.73</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65、研发费用" w:id="367"/>
      <w:bookmarkEnd w:id="367"/>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25,806,020.37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26,384,766.15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247,689.41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1,373,217.00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2,031,546.69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2,857,149.53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462,702.13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425,670.08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293,967.94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430,969.81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53,101.94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121,098.80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56,773.16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146,120.77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212,612.73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607,635.98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631,443.88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52,782,061.95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36,124,581.23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研发材料费用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6,427,832.09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11,183,450.07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知识产权费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233,459.75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655,262.51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合作开发费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117,811.58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2,350,620.17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966,784.80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662,452.03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90,176,735.40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83,470,067.15</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6、财务费用" w:id="368"/>
      <w:bookmarkEnd w:id="368"/>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77,614,112.82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62,331,951.92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9,273,368.94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11,194,318.98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-59,861.05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853,598.96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1,148,424.72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69,192,904.39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52,226,196.61</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67、其他收益" w:id="369"/>
      <w:bookmarkEnd w:id="369"/>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与企业日常经营活动相关的政府补助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与企业日常经营活动相关的税收优惠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1,007,135.26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8、投资收益" w:id="370"/>
      <w:bookmarkEnd w:id="370"/>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806"/>
        <w:gridCol w:w="2987"/>
        <w:gridCol w:w="2765"/>
      </w:tblGrid>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14,740,268.22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-22,614,988.49</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3,756,019.88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63,600,575.02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9,891.94</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其他权益工具投资在持有期间取得的股利收入</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1,940,128.74</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586,615.92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51,624,340.00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20,446,308.78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93,196,542.45</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9、净敞口套期收益" w:id="371"/>
      <w:bookmarkEnd w:id="371"/>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70、公允价值变动收益" w:id="372"/>
      <w:bookmarkEnd w:id="372"/>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71、信用减值损失" w:id="373"/>
      <w:bookmarkEnd w:id="373"/>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18,424,095.15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-7,757,087.76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10,667,007.39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72、资产减值损失" w:id="374"/>
      <w:bookmarkEnd w:id="374"/>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953" w:space="6967"/>
            <w:col w:w="201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-232,489,502.54</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-4,239,935.05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-36,350,177.83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-4,239,935.05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-268,839,680.37</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73、资产处置收益" w:id="375"/>
      <w:bookmarkEnd w:id="375"/>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5,022,159.13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2,010.00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-6,706.21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74、营业外收入" w:id="376"/>
      <w:bookmarkEnd w:id="376"/>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9,391,979.20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2,639,458.73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9,391,979.20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政府奖励收入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75,202.51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108,369.07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75,202.51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罚款及赔偿利得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53,545.00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53,545.00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79,486.61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48,561.64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79,486.61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9,600,213.32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2,811,389.44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9,600,213.32</w:t>
            </w:r>
          </w:p>
        </w:tc>
      </w:tr>
    </w:tbl>
    <w:p>
      <w:pPr>
        <w:pStyle w:val="BodyText"/>
        <w:spacing w:line="240" w:lineRule="auto" w:before="49"/>
        <w:ind w:right="1133"/>
        <w:jc w:val="left"/>
      </w:pPr>
      <w:r>
        <w:rPr/>
        <w:t>计入当期损益的政府补助：</w:t>
      </w:r>
    </w:p>
    <w:p>
      <w:pPr>
        <w:pStyle w:val="BodyText"/>
        <w:spacing w:line="240" w:lineRule="auto" w:before="115"/>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软件产品退 税（注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43,076.92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杭财行</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48</w:t>
            </w:r>
          </w:p>
          <w:p>
            <w:pPr>
              <w:pStyle w:val="TableParagraph"/>
              <w:spacing w:line="316" w:lineRule="auto" w:before="63"/>
              <w:ind w:left="24" w:right="-5"/>
              <w:jc w:val="left"/>
              <w:rPr>
                <w:rFonts w:ascii="宋体" w:hAnsi="宋体" w:cs="宋体" w:eastAsia="宋体" w:hint="default"/>
                <w:sz w:val="18"/>
                <w:szCs w:val="18"/>
              </w:rPr>
            </w:pPr>
            <w:r>
              <w:rPr>
                <w:rFonts w:ascii="宋体" w:hAnsi="宋体" w:cs="宋体" w:eastAsia="宋体" w:hint="default"/>
                <w:sz w:val="18"/>
                <w:szCs w:val="18"/>
              </w:rPr>
              <w:t>号科研工作 站建站和博 士研究人员 补贴（注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left"/>
              <w:rPr>
                <w:rFonts w:ascii="宋体" w:hAnsi="宋体" w:cs="宋体" w:eastAsia="宋体" w:hint="default"/>
                <w:sz w:val="18"/>
                <w:szCs w:val="18"/>
              </w:rPr>
            </w:pPr>
            <w:r>
              <w:rPr>
                <w:rFonts w:ascii="宋体" w:hAnsi="宋体" w:cs="宋体" w:eastAsia="宋体" w:hint="default"/>
                <w:sz w:val="18"/>
                <w:szCs w:val="18"/>
              </w:rPr>
              <w:t>残疾人用工 补助（注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软件产品退 税（注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263,838.34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杭科协</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r>
          </w:p>
          <w:p>
            <w:pPr>
              <w:pStyle w:val="TableParagraph"/>
              <w:spacing w:line="316" w:lineRule="auto" w:before="63"/>
              <w:ind w:left="24" w:right="-5"/>
              <w:jc w:val="left"/>
              <w:rPr>
                <w:rFonts w:ascii="宋体" w:hAnsi="宋体" w:cs="宋体" w:eastAsia="宋体" w:hint="default"/>
                <w:sz w:val="18"/>
                <w:szCs w:val="18"/>
              </w:rPr>
            </w:pPr>
            <w:r>
              <w:rPr>
                <w:rFonts w:ascii="宋体" w:hAnsi="宋体" w:cs="宋体" w:eastAsia="宋体" w:hint="default"/>
                <w:sz w:val="18"/>
                <w:szCs w:val="18"/>
              </w:rPr>
              <w:t>号重点学术 项目（注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2"/>
                <w:sz w:val="18"/>
                <w:szCs w:val="18"/>
              </w:rPr>
              <w:t>人才激励（注</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208,348.00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3"/>
              <w:jc w:val="both"/>
              <w:rPr>
                <w:rFonts w:ascii="宋体" w:hAnsi="宋体" w:cs="宋体" w:eastAsia="宋体" w:hint="default"/>
                <w:sz w:val="18"/>
                <w:szCs w:val="18"/>
              </w:rPr>
            </w:pPr>
            <w:r>
              <w:rPr>
                <w:rFonts w:ascii="宋体" w:hAnsi="宋体" w:cs="宋体" w:eastAsia="宋体" w:hint="default"/>
                <w:sz w:val="18"/>
                <w:szCs w:val="18"/>
              </w:rPr>
              <w:t>浙江省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年全创改革 新型产学研 合作项目奖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10.18pt;margin-top:184.819977pt;width:52.7pt;height:28pt;mso-position-horizontal-relative:page;mso-position-vertical-relative:page;z-index:-1185448" coordorigin="2204,3696" coordsize="1054,560">
            <v:group style="position:absolute;left:2216;top:3708;width:2;height:392" coordorigin="2216,3708" coordsize="2,392">
              <v:shape style="position:absolute;left:2216;top:3708;width:2;height:392" coordorigin="2216,3708" coordsize="0,392" path="m2216,3708l2216,4100e" filled="false" stroked="true" strokeweight="1.2pt" strokecolor="#ffffff">
                <v:path arrowok="t"/>
              </v:shape>
            </v:group>
            <v:group style="position:absolute;left:2204;top:4100;width:1054;height:156" coordorigin="2204,4100" coordsize="1054,156">
              <v:shape style="position:absolute;left:2204;top:4100;width:1054;height:156" coordorigin="2204,4100" coordsize="1054,156" path="m2204,4256l3257,4256,3257,4100,2204,4100,2204,4256xe" filled="true" fillcolor="#ffffff" stroked="false">
                <v:path arrowok="t"/>
                <v:fill type="solid"/>
              </v:shape>
            </v:group>
            <v:group style="position:absolute;left:2228;top:3708;width:1006;height:392" coordorigin="2228,3708" coordsize="1006,392">
              <v:shape style="position:absolute;left:2228;top:3708;width:1006;height:392" coordorigin="2228,3708" coordsize="1006,392" path="m2228,4100l3233,4100,3233,3708,2228,3708,2228,4100xe" filled="true" fillcolor="#ffffff" stroked="false">
                <v:path arrowok="t"/>
                <v:fill type="solid"/>
              </v:shape>
            </v:group>
            <w10:wrap type="none"/>
          </v:group>
        </w:pict>
      </w:r>
      <w:r>
        <w:rPr/>
        <w:pict>
          <v:group style="position:absolute;margin-left:110.18pt;margin-top:220.459976pt;width:52.7pt;height:28.1pt;mso-position-horizontal-relative:page;mso-position-vertical-relative:page;z-index:-1185424" coordorigin="2204,4409" coordsize="1054,562">
            <v:group style="position:absolute;left:2216;top:4421;width:2;height:394" coordorigin="2216,4421" coordsize="2,394">
              <v:shape style="position:absolute;left:2216;top:4421;width:2;height:394" coordorigin="2216,4421" coordsize="0,394" path="m2216,4421l2216,4815e" filled="false" stroked="true" strokeweight="1.2pt" strokecolor="#ffffff">
                <v:path arrowok="t"/>
              </v:shape>
            </v:group>
            <v:group style="position:absolute;left:2204;top:4815;width:1054;height:156" coordorigin="2204,4815" coordsize="1054,156">
              <v:shape style="position:absolute;left:2204;top:4815;width:1054;height:156" coordorigin="2204,4815" coordsize="1054,156" path="m2204,4971l3257,4971,3257,4815,2204,4815,2204,4971xe" filled="true" fillcolor="#ffffff" stroked="false">
                <v:path arrowok="t"/>
                <v:fill type="solid"/>
              </v:shape>
            </v:group>
            <v:group style="position:absolute;left:2228;top:4421;width:1006;height:394" coordorigin="2228,4421" coordsize="1006,394">
              <v:shape style="position:absolute;left:2228;top:4421;width:1006;height:394" coordorigin="2228,4421" coordsize="1006,394" path="m2228,4815l3233,4815,3233,4421,2228,4421,2228,481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6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励资金（注</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2"/>
                <w:sz w:val="18"/>
                <w:szCs w:val="18"/>
              </w:rPr>
              <w:t>专项资助（注</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专利资助费</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发明专利维 </w:t>
            </w:r>
            <w:r>
              <w:rPr>
                <w:rFonts w:ascii="宋体" w:hAnsi="宋体" w:cs="宋体" w:eastAsia="宋体" w:hint="default"/>
                <w:spacing w:val="-7"/>
                <w:sz w:val="18"/>
                <w:szCs w:val="18"/>
              </w:rPr>
              <w:t>持费（注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left"/>
              <w:rPr>
                <w:rFonts w:ascii="Times New Roman" w:hAnsi="Times New Roman" w:cs="Times New Roman" w:eastAsia="Times New Roman" w:hint="default"/>
                <w:sz w:val="18"/>
                <w:szCs w:val="18"/>
              </w:rPr>
            </w:pPr>
            <w:r>
              <w:rPr>
                <w:rFonts w:ascii="宋体" w:hAnsi="宋体" w:cs="宋体" w:eastAsia="宋体" w:hint="default"/>
                <w:sz w:val="18"/>
                <w:szCs w:val="18"/>
              </w:rPr>
              <w:t>滨江区专利 </w:t>
            </w:r>
            <w:r>
              <w:rPr>
                <w:rFonts w:ascii="宋体" w:hAnsi="宋体" w:cs="宋体" w:eastAsia="宋体" w:hint="default"/>
                <w:spacing w:val="-5"/>
                <w:sz w:val="18"/>
                <w:szCs w:val="18"/>
              </w:rPr>
              <w:t>补贴（注</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区人社发</w:t>
            </w:r>
          </w:p>
          <w:p>
            <w:pPr>
              <w:pStyle w:val="TableParagraph"/>
              <w:spacing w:line="240" w:lineRule="auto" w:before="77"/>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38</w:t>
            </w:r>
          </w:p>
          <w:p>
            <w:pPr>
              <w:pStyle w:val="TableParagraph"/>
              <w:spacing w:line="312" w:lineRule="auto" w:before="63"/>
              <w:ind w:left="24" w:right="36"/>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企业博士后 科研工作资 助（注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杭科高</w:t>
            </w:r>
          </w:p>
          <w:p>
            <w:pPr>
              <w:pStyle w:val="TableParagraph"/>
              <w:spacing w:line="240" w:lineRule="auto" w:before="76"/>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110</w:t>
            </w:r>
          </w:p>
          <w:p>
            <w:pPr>
              <w:pStyle w:val="TableParagraph"/>
              <w:spacing w:line="316" w:lineRule="auto" w:before="63"/>
              <w:ind w:left="24" w:right="130"/>
              <w:jc w:val="both"/>
              <w:rPr>
                <w:rFonts w:ascii="宋体" w:hAnsi="宋体" w:cs="宋体" w:eastAsia="宋体" w:hint="default"/>
                <w:sz w:val="18"/>
                <w:szCs w:val="18"/>
              </w:rPr>
            </w:pPr>
            <w:r>
              <w:rPr>
                <w:rFonts w:ascii="宋体" w:hAnsi="宋体" w:cs="宋体" w:eastAsia="宋体" w:hint="default"/>
                <w:sz w:val="18"/>
                <w:szCs w:val="18"/>
              </w:rPr>
              <w:t>号第一批市 重大科技创 新项目结转</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2"/>
                <w:sz w:val="18"/>
                <w:szCs w:val="18"/>
              </w:rPr>
              <w:t>财政补贴（注</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批面上 </w:t>
            </w:r>
            <w:r>
              <w:rPr>
                <w:rFonts w:ascii="宋体" w:hAnsi="宋体" w:cs="宋体" w:eastAsia="宋体" w:hint="default"/>
                <w:spacing w:val="-12"/>
                <w:sz w:val="18"/>
                <w:szCs w:val="18"/>
              </w:rPr>
              <w:t>资助经费（注</w:t>
            </w:r>
            <w:r>
              <w:rPr>
                <w:rFonts w:ascii="宋体" w:hAnsi="宋体" w:cs="宋体" w:eastAsia="宋体" w:hint="default"/>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软件产品退 税（注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392,030.44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决策咨询项 目补助（注 </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区科技</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23</w:t>
            </w:r>
          </w:p>
          <w:p>
            <w:pPr>
              <w:pStyle w:val="TableParagraph"/>
              <w:spacing w:line="316"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号高新技术 </w:t>
            </w:r>
            <w:r>
              <w:rPr>
                <w:rFonts w:ascii="宋体" w:hAnsi="宋体" w:cs="宋体" w:eastAsia="宋体" w:hint="default"/>
                <w:spacing w:val="-12"/>
                <w:sz w:val="18"/>
                <w:szCs w:val="18"/>
              </w:rPr>
              <w:t>企业奖励（注</w:t>
            </w:r>
            <w:r>
              <w:rPr>
                <w:rFonts w:ascii="宋体" w:hAnsi="宋体" w:cs="宋体" w:eastAsia="宋体" w:hint="default"/>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区科技</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p>
          <w:p>
            <w:pPr>
              <w:pStyle w:val="TableParagraph"/>
              <w:spacing w:line="316" w:lineRule="auto" w:before="62"/>
              <w:ind w:left="24" w:right="130"/>
              <w:jc w:val="left"/>
              <w:rPr>
                <w:rFonts w:ascii="宋体" w:hAnsi="宋体" w:cs="宋体" w:eastAsia="宋体" w:hint="default"/>
                <w:sz w:val="18"/>
                <w:szCs w:val="18"/>
              </w:rPr>
            </w:pPr>
            <w:r>
              <w:rPr>
                <w:rFonts w:ascii="宋体" w:hAnsi="宋体" w:cs="宋体" w:eastAsia="宋体" w:hint="default"/>
                <w:sz w:val="18"/>
                <w:szCs w:val="18"/>
              </w:rPr>
              <w:t>科技中介服 务奖励（注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04.18pt;margin-top:595.389954pt;width:58.7pt;height:23.4pt;mso-position-horizontal-relative:page;mso-position-vertical-relative:page;z-index:-1185376" type="#_x0000_t202" filled="false" stroked="false">
            <v:textbox inset="0,0,0,0">
              <w:txbxContent>
                <w:p>
                  <w:pPr>
                    <w:pStyle w:val="BodyText"/>
                    <w:spacing w:line="240" w:lineRule="auto" w:before="123"/>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36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专利资助费</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2"/>
                <w:sz w:val="18"/>
                <w:szCs w:val="18"/>
              </w:rPr>
              <w:t>专利资助（注</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软件销售增 值税即征即 退（注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308,189.56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年国家 自主创新示 </w:t>
            </w:r>
            <w:r>
              <w:rPr>
                <w:rFonts w:ascii="宋体" w:hAnsi="宋体" w:cs="宋体" w:eastAsia="宋体" w:hint="default"/>
                <w:spacing w:val="-12"/>
                <w:sz w:val="18"/>
                <w:szCs w:val="18"/>
              </w:rPr>
              <w:t>范区扶植（注</w:t>
            </w:r>
            <w:r>
              <w:rPr>
                <w:rFonts w:ascii="宋体" w:hAnsi="宋体" w:cs="宋体" w:eastAsia="宋体" w:hint="default"/>
                <w:sz w:val="18"/>
                <w:szCs w:val="18"/>
              </w:rPr>
              <w:t> </w:t>
            </w:r>
            <w:r>
              <w:rPr>
                <w:rFonts w:ascii="Times New Roman" w:hAnsi="Times New Roman" w:cs="Times New Roman" w:eastAsia="Times New Roman" w:hint="default"/>
                <w:sz w:val="18"/>
                <w:szCs w:val="18"/>
              </w:rPr>
              <w:t>23</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27,600.00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三次 创业</w:t>
            </w:r>
            <w:r>
              <w:rPr>
                <w:rFonts w:ascii="Times New Roman" w:hAnsi="Times New Roman" w:cs="Times New Roman" w:eastAsia="Times New Roman" w:hint="default"/>
                <w:sz w:val="18"/>
                <w:szCs w:val="18"/>
              </w:rPr>
              <w:t>"</w:t>
            </w:r>
            <w:r>
              <w:rPr>
                <w:rFonts w:ascii="宋体" w:hAnsi="宋体" w:cs="宋体" w:eastAsia="宋体" w:hint="default"/>
                <w:sz w:val="18"/>
                <w:szCs w:val="18"/>
              </w:rPr>
              <w:t>系列优 惠政策（注 </w:t>
            </w:r>
            <w:r>
              <w:rPr>
                <w:rFonts w:ascii="Times New Roman" w:hAnsi="Times New Roman" w:cs="Times New Roman" w:eastAsia="Times New Roman" w:hint="default"/>
                <w:sz w:val="18"/>
                <w:szCs w:val="18"/>
              </w:rPr>
              <w:t>24</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技术创新项 目补助（注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失业保险稳 岗补贴（注 </w:t>
            </w:r>
            <w:r>
              <w:rPr>
                <w:rFonts w:ascii="Times New Roman" w:hAnsi="Times New Roman" w:cs="Times New Roman" w:eastAsia="Times New Roman" w:hint="default"/>
                <w:sz w:val="18"/>
                <w:szCs w:val="18"/>
              </w:rPr>
              <w:t>26</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7,085.00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年度科技计 划奖励（注 </w:t>
            </w:r>
            <w:r>
              <w:rPr>
                <w:rFonts w:ascii="Times New Roman" w:hAnsi="Times New Roman" w:cs="Times New Roman" w:eastAsia="Times New Roman" w:hint="default"/>
                <w:sz w:val="18"/>
                <w:szCs w:val="18"/>
              </w:rPr>
              <w:t>27</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年度科技计 划奖励（注 </w:t>
            </w:r>
            <w:r>
              <w:rPr>
                <w:rFonts w:ascii="Times New Roman" w:hAnsi="Times New Roman" w:cs="Times New Roman" w:eastAsia="Times New Roman" w:hint="default"/>
                <w:sz w:val="18"/>
                <w:szCs w:val="18"/>
              </w:rPr>
              <w:t>28</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省级重点企 业研究院重 点研发项目 </w:t>
            </w:r>
            <w:r>
              <w:rPr>
                <w:rFonts w:ascii="宋体" w:hAnsi="宋体" w:cs="宋体" w:eastAsia="宋体" w:hint="default"/>
                <w:spacing w:val="-7"/>
                <w:sz w:val="18"/>
                <w:szCs w:val="18"/>
              </w:rPr>
              <w:t>经费（注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2"/>
                <w:sz w:val="18"/>
                <w:szCs w:val="18"/>
              </w:rPr>
              <w:t>研发补助（注</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2"/>
                <w:sz w:val="18"/>
                <w:szCs w:val="18"/>
              </w:rPr>
              <w:t>专利补助（注</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8,600.00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高新技术奖 励（注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32</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高新技术补 助（注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04.18pt;margin-top:308.449982pt;width:58.7pt;height:15.6pt;mso-position-horizontal-relative:page;mso-position-vertical-relative:page;z-index:-1185328" type="#_x0000_t202" filled="false" stroked="false">
            <v:textbox inset="0,0,0,0">
              <w:txbxContent>
                <w:p>
                  <w:pPr>
                    <w:pStyle w:val="BodyText"/>
                    <w:spacing w:line="203" w:lineRule="exact"/>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社保稳岗补 贴（注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8,721.40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厦门市思明</w:t>
            </w:r>
          </w:p>
        </w:tc>
        <w:tc>
          <w:tcPr>
            <w:tcW w:w="1063"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区就业管理</w:t>
            </w: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中心应届毕</w:t>
            </w: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10,324.80</w:t>
            </w: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pacing w:val="-12"/>
                <w:sz w:val="18"/>
                <w:szCs w:val="18"/>
              </w:rPr>
              <w:t>业生补贴（注</w:t>
            </w: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w:t>
            </w: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小微企业创</w:t>
            </w:r>
          </w:p>
        </w:tc>
        <w:tc>
          <w:tcPr>
            <w:tcW w:w="1063"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业创新基地</w:t>
            </w: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城市示范专</w:t>
            </w: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7"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项资金（注</w:t>
            </w: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宋体" w:hAnsi="宋体" w:cs="宋体" w:eastAsia="宋体" w:hint="default"/>
                <w:sz w:val="18"/>
                <w:szCs w:val="18"/>
              </w:rPr>
              <w:t>）</w:t>
            </w: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西湖区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7pt;height:15.6pt;mso-position-horizontal-relative:char;mso-position-vertical-relative:line" coordorigin="0,0" coordsize="1054,312">
                  <v:group style="position:absolute;left:0;top:0;width:1054;height:312" coordorigin="0,0" coordsize="1054,312">
                    <v:shape style="position:absolute;left:0;top:0;width:1054;height:312" coordorigin="0,0" coordsize="1054,312" path="m0,312l1054,312,1054,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年科技经费</w:t>
            </w: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82,700.00</w:t>
            </w: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4"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资助（注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37</w:t>
            </w: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人工智能技</w:t>
            </w:r>
          </w:p>
        </w:tc>
        <w:tc>
          <w:tcPr>
            <w:tcW w:w="1063"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术在特定领</w:t>
            </w: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30"/>
              <w:jc w:val="left"/>
              <w:rPr>
                <w:rFonts w:ascii="宋体" w:hAnsi="宋体" w:cs="宋体" w:eastAsia="宋体" w:hint="default"/>
                <w:sz w:val="18"/>
                <w:szCs w:val="18"/>
              </w:rPr>
            </w:pPr>
            <w:r>
              <w:rPr>
                <w:rFonts w:ascii="宋体" w:hAnsi="宋体" w:cs="宋体" w:eastAsia="宋体" w:hint="default"/>
                <w:sz w:val="18"/>
                <w:szCs w:val="18"/>
              </w:rPr>
              <w:t>域的应用研 究与示范研</w:t>
            </w: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840,000.00</w:t>
            </w: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发项目补助</w:t>
            </w: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38</w:t>
            </w:r>
            <w:r>
              <w:rPr>
                <w:rFonts w:ascii="宋体" w:hAnsi="宋体" w:cs="宋体" w:eastAsia="宋体" w:hint="default"/>
                <w:sz w:val="18"/>
                <w:szCs w:val="18"/>
              </w:rPr>
              <w:t>）</w:t>
            </w: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pStyle w:val="BodyText"/>
        <w:spacing w:line="338" w:lineRule="auto" w:before="49"/>
        <w:ind w:right="1124"/>
        <w:jc w:val="left"/>
      </w:pPr>
      <w:r>
        <w:rPr/>
        <w:t>其他说明： 注</w:t>
      </w:r>
      <w:r>
        <w:rPr>
          <w:rFonts w:ascii="宋体" w:hAnsi="宋体" w:cs="宋体" w:eastAsia="宋体" w:hint="default"/>
        </w:rPr>
        <w:t>1</w:t>
      </w:r>
      <w:r>
        <w:rPr/>
        <w:t>：根据国家税务总局杭州市滨江区税务局发布的税务事项通知书（杭滨税通【</w:t>
      </w:r>
      <w:r>
        <w:rPr>
          <w:rFonts w:ascii="宋体" w:hAnsi="宋体" w:cs="宋体" w:eastAsia="宋体" w:hint="default"/>
        </w:rPr>
        <w:t>2018</w:t>
      </w:r>
      <w:r>
        <w:rPr/>
        <w:t>】</w:t>
      </w:r>
      <w:r>
        <w:rPr>
          <w:rFonts w:ascii="宋体" w:hAnsi="宋体" w:cs="宋体" w:eastAsia="宋体" w:hint="default"/>
        </w:rPr>
        <w:t>21945</w:t>
      </w:r>
      <w:r>
        <w:rPr/>
        <w:t>号），公司于</w:t>
      </w:r>
      <w:r>
        <w:rPr>
          <w:rFonts w:ascii="宋体" w:hAnsi="宋体" w:cs="宋体" w:eastAsia="宋体" w:hint="default"/>
        </w:rPr>
        <w:t>2019</w:t>
      </w:r>
      <w:r>
        <w:rPr/>
        <w:t>年</w:t>
      </w:r>
      <w:r>
        <w:rPr>
          <w:rFonts w:ascii="宋体" w:hAnsi="宋体" w:cs="宋体" w:eastAsia="宋体" w:hint="default"/>
        </w:rPr>
        <w:t>1</w:t>
      </w:r>
      <w:r>
        <w:rPr/>
        <w:t>月收到</w:t>
      </w:r>
      <w:r>
        <w:rPr>
          <w:spacing w:val="-85"/>
        </w:rPr>
        <w:t> </w:t>
      </w:r>
      <w:r>
        <w:rPr/>
        <w:t>软件产品退税</w:t>
      </w:r>
      <w:r>
        <w:rPr>
          <w:rFonts w:ascii="宋体" w:hAnsi="宋体" w:cs="宋体" w:eastAsia="宋体" w:hint="default"/>
        </w:rPr>
        <w:t>43,076.92</w:t>
      </w:r>
      <w:r>
        <w:rPr/>
        <w:t>元，计入其他收益。</w:t>
      </w:r>
    </w:p>
    <w:p>
      <w:pPr>
        <w:pStyle w:val="BodyText"/>
        <w:spacing w:line="316" w:lineRule="auto" w:before="2"/>
        <w:ind w:right="1124"/>
        <w:jc w:val="left"/>
      </w:pPr>
      <w:r>
        <w:rPr/>
        <w:t>注</w:t>
      </w:r>
      <w:r>
        <w:rPr>
          <w:rFonts w:ascii="宋体" w:hAnsi="宋体" w:cs="宋体" w:eastAsia="宋体" w:hint="default"/>
        </w:rPr>
        <w:t>2</w:t>
      </w:r>
      <w:r>
        <w:rPr/>
        <w:t>：根据杭州市财政局、杭州市人力资源和社会保障局发布的《关于核拨杭州市博士后科研工作站建站资助和博士后研究</w:t>
      </w:r>
      <w:r>
        <w:rPr>
          <w:spacing w:val="-84"/>
        </w:rPr>
        <w:t> </w:t>
      </w:r>
      <w:r>
        <w:rPr>
          <w:spacing w:val="-84"/>
        </w:rPr>
      </w:r>
      <w:r>
        <w:rPr>
          <w:spacing w:val="-2"/>
        </w:rPr>
        <w:t>人员一次性科研补助经费的通知》（杭财行〔</w:t>
      </w:r>
      <w:r>
        <w:rPr>
          <w:rFonts w:ascii="宋体" w:hAnsi="宋体" w:cs="宋体" w:eastAsia="宋体" w:hint="default"/>
          <w:spacing w:val="-2"/>
        </w:rPr>
        <w:t>2018</w:t>
      </w:r>
      <w:r>
        <w:rPr>
          <w:spacing w:val="-2"/>
        </w:rPr>
        <w:t>〕</w:t>
      </w:r>
      <w:r>
        <w:rPr>
          <w:rFonts w:ascii="宋体" w:hAnsi="宋体" w:cs="宋体" w:eastAsia="宋体" w:hint="default"/>
          <w:spacing w:val="-2"/>
        </w:rPr>
        <w:t>48</w:t>
      </w:r>
      <w:r>
        <w:rPr>
          <w:spacing w:val="-2"/>
        </w:rPr>
        <w:t>号），公司于</w:t>
      </w:r>
      <w:r>
        <w:rPr>
          <w:rFonts w:ascii="宋体" w:hAnsi="宋体" w:cs="宋体" w:eastAsia="宋体" w:hint="default"/>
          <w:spacing w:val="-2"/>
        </w:rPr>
        <w:t>2019</w:t>
      </w:r>
      <w:r>
        <w:rPr>
          <w:spacing w:val="-2"/>
        </w:rPr>
        <w:t>年</w:t>
      </w:r>
      <w:r>
        <w:rPr>
          <w:rFonts w:ascii="宋体" w:hAnsi="宋体" w:cs="宋体" w:eastAsia="宋体" w:hint="default"/>
          <w:spacing w:val="-2"/>
        </w:rPr>
        <w:t>2</w:t>
      </w:r>
      <w:r>
        <w:rPr>
          <w:spacing w:val="-2"/>
        </w:rPr>
        <w:t>月收到博士研究人员补贴</w:t>
      </w:r>
      <w:r>
        <w:rPr>
          <w:rFonts w:ascii="宋体" w:hAnsi="宋体" w:cs="宋体" w:eastAsia="宋体" w:hint="default"/>
          <w:spacing w:val="-2"/>
        </w:rPr>
        <w:t>50,000.00</w:t>
      </w:r>
      <w:r>
        <w:rPr>
          <w:spacing w:val="-2"/>
        </w:rPr>
        <w:t>元，计入营</w:t>
      </w:r>
      <w:r>
        <w:rPr>
          <w:spacing w:val="-49"/>
        </w:rPr>
        <w:t> </w:t>
      </w:r>
      <w:r>
        <w:rPr>
          <w:spacing w:val="-49"/>
        </w:rPr>
      </w:r>
      <w:r>
        <w:rPr/>
        <w:t>业外收入。 </w:t>
      </w:r>
      <w:r>
        <w:rPr>
          <w:spacing w:val="-2"/>
        </w:rPr>
        <w:t>注</w:t>
      </w:r>
      <w:r>
        <w:rPr>
          <w:rFonts w:ascii="宋体" w:hAnsi="宋体" w:cs="宋体" w:eastAsia="宋体" w:hint="default"/>
          <w:spacing w:val="-2"/>
        </w:rPr>
        <w:t>3</w:t>
      </w:r>
      <w:r>
        <w:rPr>
          <w:spacing w:val="-2"/>
        </w:rPr>
        <w:t>：根据杭州市人民政府发布的《杭州市人民政府关于支持大众创业促进就业的意见》（杭政函〔</w:t>
      </w:r>
      <w:r>
        <w:rPr>
          <w:rFonts w:ascii="宋体" w:hAnsi="宋体" w:cs="宋体" w:eastAsia="宋体" w:hint="default"/>
          <w:spacing w:val="-2"/>
        </w:rPr>
        <w:t>2015</w:t>
      </w:r>
      <w:r>
        <w:rPr>
          <w:spacing w:val="-2"/>
        </w:rPr>
        <w:t>〕</w:t>
      </w:r>
      <w:r>
        <w:rPr>
          <w:rFonts w:ascii="宋体" w:hAnsi="宋体" w:cs="宋体" w:eastAsia="宋体" w:hint="default"/>
          <w:spacing w:val="-2"/>
        </w:rPr>
        <w:t>174</w:t>
      </w:r>
      <w:r>
        <w:rPr>
          <w:spacing w:val="-2"/>
        </w:rPr>
        <w:t>号），公司于</w:t>
      </w:r>
      <w:r>
        <w:rPr>
          <w:spacing w:val="-63"/>
        </w:rPr>
        <w:t> </w:t>
      </w:r>
      <w:r>
        <w:rPr>
          <w:spacing w:val="-63"/>
        </w:rPr>
      </w:r>
      <w:r>
        <w:rPr>
          <w:rFonts w:ascii="宋体" w:hAnsi="宋体" w:cs="宋体" w:eastAsia="宋体" w:hint="default"/>
        </w:rPr>
        <w:t>2019</w:t>
      </w:r>
      <w:r>
        <w:rPr/>
        <w:t>年</w:t>
      </w:r>
      <w:r>
        <w:rPr>
          <w:rFonts w:ascii="宋体" w:hAnsi="宋体" w:cs="宋体" w:eastAsia="宋体" w:hint="default"/>
        </w:rPr>
        <w:t>2</w:t>
      </w:r>
      <w:r>
        <w:rPr/>
        <w:t>月收到残疾人用工补助</w:t>
      </w:r>
      <w:r>
        <w:rPr>
          <w:rFonts w:ascii="宋体" w:hAnsi="宋体" w:cs="宋体" w:eastAsia="宋体" w:hint="default"/>
        </w:rPr>
        <w:t>33,600.00</w:t>
      </w:r>
      <w:r>
        <w:rPr/>
        <w:t>元，计入营业外收入。 注</w:t>
      </w:r>
      <w:r>
        <w:rPr>
          <w:rFonts w:ascii="宋体" w:hAnsi="宋体" w:cs="宋体" w:eastAsia="宋体" w:hint="default"/>
        </w:rPr>
        <w:t>4</w:t>
      </w:r>
      <w:r>
        <w:rPr/>
        <w:t>：根据国家税务总局杭州市滨江区税务局发布的税务事项通知书（杭滨税通【</w:t>
      </w:r>
      <w:r>
        <w:rPr>
          <w:rFonts w:ascii="宋体" w:hAnsi="宋体" w:cs="宋体" w:eastAsia="宋体" w:hint="default"/>
        </w:rPr>
        <w:t>2019</w:t>
      </w:r>
      <w:r>
        <w:rPr/>
        <w:t>】</w:t>
      </w:r>
      <w:r>
        <w:rPr>
          <w:rFonts w:ascii="宋体" w:hAnsi="宋体" w:cs="宋体" w:eastAsia="宋体" w:hint="default"/>
        </w:rPr>
        <w:t>13214</w:t>
      </w:r>
      <w:r>
        <w:rPr/>
        <w:t>号），公司于</w:t>
      </w:r>
      <w:r>
        <w:rPr>
          <w:rFonts w:ascii="宋体" w:hAnsi="宋体" w:cs="宋体" w:eastAsia="宋体" w:hint="default"/>
        </w:rPr>
        <w:t>2019</w:t>
      </w:r>
      <w:r>
        <w:rPr/>
        <w:t>年</w:t>
      </w:r>
      <w:r>
        <w:rPr>
          <w:rFonts w:ascii="宋体" w:hAnsi="宋体" w:cs="宋体" w:eastAsia="宋体" w:hint="default"/>
        </w:rPr>
        <w:t>4</w:t>
      </w:r>
      <w:r>
        <w:rPr/>
        <w:t>月收到</w:t>
      </w:r>
      <w:r>
        <w:rPr>
          <w:spacing w:val="-85"/>
        </w:rPr>
        <w:t> </w:t>
      </w:r>
      <w:r>
        <w:rPr/>
        <w:t>软件产品退税</w:t>
      </w:r>
      <w:r>
        <w:rPr>
          <w:rFonts w:ascii="宋体" w:hAnsi="宋体" w:cs="宋体" w:eastAsia="宋体" w:hint="default"/>
        </w:rPr>
        <w:t>263,838.34</w:t>
      </w:r>
      <w:r>
        <w:rPr/>
        <w:t>元，计入其他收益。 注</w:t>
      </w:r>
      <w:r>
        <w:rPr>
          <w:rFonts w:ascii="宋体" w:hAnsi="宋体" w:cs="宋体" w:eastAsia="宋体" w:hint="default"/>
        </w:rPr>
        <w:t>5</w:t>
      </w:r>
      <w:r>
        <w:rPr/>
        <w:t>：根据杭州市科学技术协会发布的《杭州市科协关于实施</w:t>
      </w:r>
      <w:r>
        <w:rPr>
          <w:rFonts w:ascii="宋体" w:hAnsi="宋体" w:cs="宋体" w:eastAsia="宋体" w:hint="default"/>
        </w:rPr>
        <w:t>2019</w:t>
      </w:r>
      <w:r>
        <w:rPr/>
        <w:t>年重点学术学会活动项目计划的通知》（杭科协〔</w:t>
      </w:r>
      <w:r>
        <w:rPr>
          <w:rFonts w:ascii="宋体" w:hAnsi="宋体" w:cs="宋体" w:eastAsia="宋体" w:hint="default"/>
        </w:rPr>
        <w:t>2019</w:t>
      </w:r>
      <w:r>
        <w:rPr/>
        <w:t>〕</w:t>
      </w:r>
      <w:r>
        <w:rPr>
          <w:spacing w:val="-83"/>
        </w:rPr>
        <w:t> </w:t>
      </w:r>
      <w:r>
        <w:rPr>
          <w:rFonts w:ascii="宋体" w:hAnsi="宋体" w:cs="宋体" w:eastAsia="宋体" w:hint="default"/>
        </w:rPr>
        <w:t>11</w:t>
      </w:r>
      <w:r>
        <w:rPr/>
        <w:t>号），公司于</w:t>
      </w:r>
      <w:r>
        <w:rPr>
          <w:rFonts w:ascii="宋体" w:hAnsi="宋体" w:cs="宋体" w:eastAsia="宋体" w:hint="default"/>
        </w:rPr>
        <w:t>2019</w:t>
      </w:r>
      <w:r>
        <w:rPr/>
        <w:t>年</w:t>
      </w:r>
      <w:r>
        <w:rPr>
          <w:rFonts w:ascii="宋体" w:hAnsi="宋体" w:cs="宋体" w:eastAsia="宋体" w:hint="default"/>
        </w:rPr>
        <w:t>6</w:t>
      </w:r>
      <w:r>
        <w:rPr/>
        <w:t>月收到学术活动经费</w:t>
      </w:r>
      <w:r>
        <w:rPr>
          <w:rFonts w:ascii="宋体" w:hAnsi="宋体" w:cs="宋体" w:eastAsia="宋体" w:hint="default"/>
        </w:rPr>
        <w:t>15,000.00</w:t>
      </w:r>
      <w:r>
        <w:rPr/>
        <w:t>元，计入营业外收入。 注</w:t>
      </w:r>
      <w:r>
        <w:rPr>
          <w:rFonts w:ascii="宋体" w:hAnsi="宋体" w:cs="宋体" w:eastAsia="宋体" w:hint="default"/>
        </w:rPr>
        <w:t>6</w:t>
      </w:r>
      <w:r>
        <w:rPr/>
        <w:t>：根据中共杭州高新区（滨江）党委人才工作领导小组办公室、杭州高新技术产业开发区（滨江）科技局、杭州高新技</w:t>
      </w:r>
      <w:r>
        <w:rPr>
          <w:spacing w:val="-84"/>
        </w:rPr>
        <w:t> </w:t>
      </w:r>
      <w:r>
        <w:rPr>
          <w:spacing w:val="-84"/>
        </w:rPr>
      </w:r>
      <w:r>
        <w:rPr/>
        <w:t>术产业开发区（滨江）财政局发布的《关于下达</w:t>
      </w:r>
      <w:r>
        <w:rPr>
          <w:rFonts w:ascii="宋体" w:hAnsi="宋体" w:cs="宋体" w:eastAsia="宋体" w:hint="default"/>
        </w:rPr>
        <w:t>2018</w:t>
      </w:r>
      <w:r>
        <w:rPr/>
        <w:t>年度人才激励专项资金的通知》（区财【</w:t>
      </w:r>
      <w:r>
        <w:rPr>
          <w:rFonts w:ascii="宋体" w:hAnsi="宋体" w:cs="宋体" w:eastAsia="宋体" w:hint="default"/>
        </w:rPr>
        <w:t>2019</w:t>
      </w:r>
      <w:r>
        <w:rPr/>
        <w:t>】</w:t>
      </w:r>
      <w:r>
        <w:rPr>
          <w:rFonts w:ascii="宋体" w:hAnsi="宋体" w:cs="宋体" w:eastAsia="宋体" w:hint="default"/>
        </w:rPr>
        <w:t>75</w:t>
      </w:r>
      <w:r>
        <w:rPr/>
        <w:t>号），公司于</w:t>
      </w:r>
      <w:r>
        <w:rPr>
          <w:rFonts w:ascii="宋体" w:hAnsi="宋体" w:cs="宋体" w:eastAsia="宋体" w:hint="default"/>
        </w:rPr>
        <w:t>2019</w:t>
      </w:r>
      <w:r>
        <w:rPr>
          <w:rFonts w:ascii="宋体" w:hAnsi="宋体" w:cs="宋体" w:eastAsia="宋体" w:hint="default"/>
          <w:spacing w:val="-7"/>
        </w:rPr>
        <w:t> </w:t>
      </w:r>
      <w:r>
        <w:rPr>
          <w:rFonts w:ascii="宋体" w:hAnsi="宋体" w:cs="宋体" w:eastAsia="宋体" w:hint="default"/>
          <w:spacing w:val="-7"/>
        </w:rPr>
      </w:r>
      <w:r>
        <w:rPr/>
        <w:t>年</w:t>
      </w:r>
      <w:r>
        <w:rPr>
          <w:rFonts w:ascii="宋体" w:hAnsi="宋体" w:cs="宋体" w:eastAsia="宋体" w:hint="default"/>
        </w:rPr>
        <w:t>7</w:t>
      </w:r>
      <w:r>
        <w:rPr/>
        <w:t>月收到人才激励资金</w:t>
      </w:r>
      <w:r>
        <w:rPr>
          <w:rFonts w:ascii="宋体" w:hAnsi="宋体" w:cs="宋体" w:eastAsia="宋体" w:hint="default"/>
        </w:rPr>
        <w:t>208,348.00</w:t>
      </w:r>
      <w:r>
        <w:rPr/>
        <w:t>元，计入营业外收入。 注</w:t>
      </w:r>
      <w:r>
        <w:rPr>
          <w:rFonts w:ascii="宋体" w:hAnsi="宋体" w:cs="宋体" w:eastAsia="宋体" w:hint="default"/>
        </w:rPr>
        <w:t>7</w:t>
      </w:r>
      <w:r>
        <w:rPr/>
        <w:t>：根据杭州高新技术产业开发区科学技术局、杭州市滨江区科学技术局、杭州高新技术产业开发区财政局、杭州市滨江</w:t>
      </w:r>
      <w:r>
        <w:rPr>
          <w:spacing w:val="-84"/>
        </w:rPr>
        <w:t> </w:t>
      </w:r>
      <w:r>
        <w:rPr>
          <w:spacing w:val="-84"/>
        </w:rPr>
      </w:r>
      <w:r>
        <w:rPr>
          <w:spacing w:val="-2"/>
        </w:rPr>
        <w:t>区财政局发布的《关于下达浙江省</w:t>
      </w:r>
      <w:r>
        <w:rPr>
          <w:rFonts w:ascii="宋体" w:hAnsi="宋体" w:cs="宋体" w:eastAsia="宋体" w:hint="default"/>
          <w:spacing w:val="-2"/>
        </w:rPr>
        <w:t>2019</w:t>
      </w:r>
      <w:r>
        <w:rPr>
          <w:spacing w:val="-2"/>
        </w:rPr>
        <w:t>年全创改革新型产学研合作项目奖励资金的通知》（区科技【</w:t>
      </w:r>
      <w:r>
        <w:rPr>
          <w:rFonts w:ascii="宋体" w:hAnsi="宋体" w:cs="宋体" w:eastAsia="宋体" w:hint="default"/>
          <w:spacing w:val="-2"/>
        </w:rPr>
        <w:t>2019</w:t>
      </w:r>
      <w:r>
        <w:rPr>
          <w:spacing w:val="-2"/>
        </w:rPr>
        <w:t>】</w:t>
      </w:r>
      <w:r>
        <w:rPr>
          <w:rFonts w:ascii="宋体" w:hAnsi="宋体" w:cs="宋体" w:eastAsia="宋体" w:hint="default"/>
          <w:spacing w:val="-2"/>
        </w:rPr>
        <w:t>31</w:t>
      </w:r>
      <w:r>
        <w:rPr>
          <w:spacing w:val="-2"/>
        </w:rPr>
        <w:t>号），公司于</w:t>
      </w:r>
      <w:r>
        <w:rPr>
          <w:spacing w:val="-61"/>
        </w:rPr>
        <w:t> </w:t>
      </w:r>
      <w:r>
        <w:rPr>
          <w:spacing w:val="-61"/>
        </w:rPr>
      </w:r>
      <w:r>
        <w:rPr>
          <w:rFonts w:ascii="宋体" w:hAnsi="宋体" w:cs="宋体" w:eastAsia="宋体" w:hint="default"/>
        </w:rPr>
        <w:t>2019</w:t>
      </w:r>
      <w:r>
        <w:rPr/>
        <w:t>年</w:t>
      </w:r>
      <w:r>
        <w:rPr>
          <w:rFonts w:ascii="宋体" w:hAnsi="宋体" w:cs="宋体" w:eastAsia="宋体" w:hint="default"/>
        </w:rPr>
        <w:t>7</w:t>
      </w:r>
      <w:r>
        <w:rPr/>
        <w:t>月收到科研奖励资金</w:t>
      </w:r>
      <w:r>
        <w:rPr>
          <w:rFonts w:ascii="宋体" w:hAnsi="宋体" w:cs="宋体" w:eastAsia="宋体" w:hint="default"/>
        </w:rPr>
        <w:t>60,000.00</w:t>
      </w:r>
      <w:r>
        <w:rPr/>
        <w:t>元，计入营业外收入。 注</w:t>
      </w:r>
      <w:r>
        <w:rPr>
          <w:rFonts w:ascii="宋体" w:hAnsi="宋体" w:cs="宋体" w:eastAsia="宋体" w:hint="default"/>
        </w:rPr>
        <w:t>8</w:t>
      </w:r>
      <w:r>
        <w:rPr/>
        <w:t>：根据杭州高新技术产业开发区（滨江）市场监督管理局、杭州高新技术产业开发区（滨江）财政局发布的《关于转拨</w:t>
      </w:r>
      <w:r>
        <w:rPr>
          <w:spacing w:val="-84"/>
        </w:rPr>
        <w:t> </w:t>
      </w:r>
      <w:r>
        <w:rPr>
          <w:spacing w:val="-84"/>
        </w:rPr>
      </w:r>
      <w:r>
        <w:rPr/>
        <w:t>浙江省</w:t>
      </w:r>
      <w:r>
        <w:rPr>
          <w:rFonts w:ascii="宋体" w:hAnsi="宋体" w:cs="宋体" w:eastAsia="宋体" w:hint="default"/>
        </w:rPr>
        <w:t>2019</w:t>
      </w:r>
      <w:r>
        <w:rPr/>
        <w:t>年度市场监督管理专项资助的通知》（杭高新市监【</w:t>
      </w:r>
      <w:r>
        <w:rPr>
          <w:rFonts w:ascii="宋体" w:hAnsi="宋体" w:cs="宋体" w:eastAsia="宋体" w:hint="default"/>
        </w:rPr>
        <w:t>2019</w:t>
      </w:r>
      <w:r>
        <w:rPr/>
        <w:t>】</w:t>
      </w:r>
      <w:r>
        <w:rPr>
          <w:rFonts w:ascii="宋体" w:hAnsi="宋体" w:cs="宋体" w:eastAsia="宋体" w:hint="default"/>
        </w:rPr>
        <w:t>23</w:t>
      </w:r>
      <w:r>
        <w:rPr/>
        <w:t>号），公司于</w:t>
      </w:r>
      <w:r>
        <w:rPr>
          <w:rFonts w:ascii="宋体" w:hAnsi="宋体" w:cs="宋体" w:eastAsia="宋体" w:hint="default"/>
        </w:rPr>
        <w:t>2019</w:t>
      </w:r>
      <w:r>
        <w:rPr/>
        <w:t>年</w:t>
      </w:r>
      <w:r>
        <w:rPr>
          <w:rFonts w:ascii="宋体" w:hAnsi="宋体" w:cs="宋体" w:eastAsia="宋体" w:hint="default"/>
        </w:rPr>
        <w:t>7</w:t>
      </w:r>
      <w:r>
        <w:rPr/>
        <w:t>月收到专项资助</w:t>
      </w:r>
      <w:r>
        <w:rPr>
          <w:rFonts w:ascii="宋体" w:hAnsi="宋体" w:cs="宋体" w:eastAsia="宋体" w:hint="default"/>
        </w:rPr>
        <w:t>100,000.00 </w:t>
      </w:r>
      <w:r>
        <w:rPr/>
        <w:t>元，计入营业外收入。 注</w:t>
      </w:r>
      <w:r>
        <w:rPr>
          <w:rFonts w:ascii="宋体" w:hAnsi="宋体" w:cs="宋体" w:eastAsia="宋体" w:hint="default"/>
        </w:rPr>
        <w:t>9</w:t>
      </w:r>
      <w:r>
        <w:rPr/>
        <w:t>：根据杭州高新技术产业开发区（滨江）市场监督管理局、杭州高新技术产业开发区（滨江）财政局发布的《关于转拨</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034"/>
        <w:jc w:val="left"/>
      </w:pPr>
      <w:r>
        <w:rPr>
          <w:spacing w:val="-2"/>
        </w:rPr>
        <w:t>浙江省</w:t>
      </w:r>
      <w:r>
        <w:rPr>
          <w:rFonts w:ascii="宋体" w:hAnsi="宋体" w:cs="宋体" w:eastAsia="宋体" w:hint="default"/>
          <w:spacing w:val="-2"/>
        </w:rPr>
        <w:t>2016</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月国内发明专利授权补助的通知》（杭高新市监【</w:t>
      </w:r>
      <w:r>
        <w:rPr>
          <w:rFonts w:ascii="宋体" w:hAnsi="宋体" w:cs="宋体" w:eastAsia="宋体" w:hint="default"/>
          <w:spacing w:val="-2"/>
        </w:rPr>
        <w:t>2019</w:t>
      </w:r>
      <w:r>
        <w:rPr>
          <w:spacing w:val="-2"/>
        </w:rPr>
        <w:t>】</w:t>
      </w:r>
      <w:r>
        <w:rPr>
          <w:rFonts w:ascii="宋体" w:hAnsi="宋体" w:cs="宋体" w:eastAsia="宋体" w:hint="default"/>
          <w:spacing w:val="-2"/>
        </w:rPr>
        <w:t>21</w:t>
      </w:r>
      <w:r>
        <w:rPr>
          <w:spacing w:val="-2"/>
        </w:rPr>
        <w:t>号），公司于</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月收到专利资助</w:t>
      </w:r>
      <w:r>
        <w:rPr>
          <w:spacing w:val="-47"/>
        </w:rPr>
        <w:t> </w:t>
      </w:r>
      <w:r>
        <w:rPr/>
        <w:t>费</w:t>
      </w:r>
      <w:r>
        <w:rPr>
          <w:rFonts w:ascii="宋体" w:hAnsi="宋体" w:cs="宋体" w:eastAsia="宋体" w:hint="default"/>
        </w:rPr>
        <w:t>51,000.00</w:t>
      </w:r>
      <w:r>
        <w:rPr/>
        <w:t>元，计入营业外收入。 </w:t>
      </w:r>
      <w:r>
        <w:rPr>
          <w:spacing w:val="-2"/>
        </w:rPr>
        <w:t>注</w:t>
      </w:r>
      <w:r>
        <w:rPr>
          <w:rFonts w:ascii="宋体" w:hAnsi="宋体" w:cs="宋体" w:eastAsia="宋体" w:hint="default"/>
          <w:spacing w:val="-2"/>
        </w:rPr>
        <w:t>10</w:t>
      </w:r>
      <w:r>
        <w:rPr>
          <w:spacing w:val="-2"/>
        </w:rPr>
        <w:t>：根据杭州高新技术产业开发区（滨江）市场监督管理局、杭州高新技术产业开发区（滨江）财政局发布的《关于转拨</w:t>
      </w:r>
      <w:r>
        <w:rPr>
          <w:spacing w:val="-72"/>
        </w:rPr>
        <w:t> </w:t>
      </w:r>
      <w:r>
        <w:rPr>
          <w:spacing w:val="-72"/>
        </w:rPr>
      </w:r>
      <w:r>
        <w:rPr/>
        <w:t>浙江省</w:t>
      </w:r>
      <w:r>
        <w:rPr>
          <w:rFonts w:ascii="宋体" w:hAnsi="宋体" w:cs="宋体" w:eastAsia="宋体" w:hint="default"/>
        </w:rPr>
        <w:t>2018</w:t>
      </w:r>
      <w:r>
        <w:rPr/>
        <w:t>年发明专利维持费的通知》（杭高新市监【</w:t>
      </w:r>
      <w:r>
        <w:rPr>
          <w:rFonts w:ascii="宋体" w:hAnsi="宋体" w:cs="宋体" w:eastAsia="宋体" w:hint="default"/>
        </w:rPr>
        <w:t>2019</w:t>
      </w:r>
      <w:r>
        <w:rPr/>
        <w:t>】</w:t>
      </w:r>
      <w:r>
        <w:rPr>
          <w:rFonts w:ascii="宋体" w:hAnsi="宋体" w:cs="宋体" w:eastAsia="宋体" w:hint="default"/>
        </w:rPr>
        <w:t>22</w:t>
      </w:r>
      <w:r>
        <w:rPr/>
        <w:t>号），公司于</w:t>
      </w:r>
      <w:r>
        <w:rPr>
          <w:rFonts w:ascii="宋体" w:hAnsi="宋体" w:cs="宋体" w:eastAsia="宋体" w:hint="default"/>
        </w:rPr>
        <w:t>2019</w:t>
      </w:r>
      <w:r>
        <w:rPr/>
        <w:t>年</w:t>
      </w:r>
      <w:r>
        <w:rPr>
          <w:rFonts w:ascii="宋体" w:hAnsi="宋体" w:cs="宋体" w:eastAsia="宋体" w:hint="default"/>
        </w:rPr>
        <w:t>7</w:t>
      </w:r>
      <w:r>
        <w:rPr/>
        <w:t>月收到专利资助费</w:t>
      </w:r>
      <w:r>
        <w:rPr>
          <w:rFonts w:ascii="宋体" w:hAnsi="宋体" w:cs="宋体" w:eastAsia="宋体" w:hint="default"/>
        </w:rPr>
        <w:t>2,000.00</w:t>
      </w:r>
      <w:r>
        <w:rPr/>
        <w:t>元，计入 营业外收入。 </w:t>
      </w:r>
      <w:r>
        <w:rPr>
          <w:spacing w:val="-2"/>
        </w:rPr>
        <w:t>注</w:t>
      </w:r>
      <w:r>
        <w:rPr>
          <w:rFonts w:ascii="宋体" w:hAnsi="宋体" w:cs="宋体" w:eastAsia="宋体" w:hint="default"/>
          <w:spacing w:val="-2"/>
        </w:rPr>
        <w:t>11</w:t>
      </w:r>
      <w:r>
        <w:rPr>
          <w:spacing w:val="-2"/>
        </w:rPr>
        <w:t>：根据杭州高新技术产业开发区（滨江）市场监督管理局、杭州高新技术产业开发区（滨江）财政局发布的《关于下达</w:t>
      </w:r>
      <w:r>
        <w:rPr>
          <w:spacing w:val="-71"/>
        </w:rPr>
        <w:t> </w:t>
      </w:r>
      <w:r>
        <w:rPr>
          <w:spacing w:val="-71"/>
        </w:rPr>
      </w:r>
      <w:r>
        <w:rPr/>
        <w:t>杭州高新区（滨江）</w:t>
      </w:r>
      <w:r>
        <w:rPr>
          <w:rFonts w:ascii="宋体" w:hAnsi="宋体" w:cs="宋体" w:eastAsia="宋体" w:hint="default"/>
        </w:rPr>
        <w:t>2019</w:t>
      </w:r>
      <w:r>
        <w:rPr/>
        <w:t>年第二季度国内授权专利资助经费的通知》（杭高新市监【</w:t>
      </w:r>
      <w:r>
        <w:rPr>
          <w:rFonts w:ascii="宋体" w:hAnsi="宋体" w:cs="宋体" w:eastAsia="宋体" w:hint="default"/>
        </w:rPr>
        <w:t>2019</w:t>
      </w:r>
      <w:r>
        <w:rPr/>
        <w:t>】</w:t>
      </w:r>
      <w:r>
        <w:rPr>
          <w:rFonts w:ascii="宋体" w:hAnsi="宋体" w:cs="宋体" w:eastAsia="宋体" w:hint="default"/>
        </w:rPr>
        <w:t>33</w:t>
      </w:r>
      <w:r>
        <w:rPr/>
        <w:t>号），公司于</w:t>
      </w:r>
      <w:r>
        <w:rPr>
          <w:rFonts w:ascii="宋体" w:hAnsi="宋体" w:cs="宋体" w:eastAsia="宋体" w:hint="default"/>
        </w:rPr>
        <w:t>2019</w:t>
      </w:r>
      <w:r>
        <w:rPr/>
        <w:t>年</w:t>
      </w:r>
      <w:r>
        <w:rPr>
          <w:rFonts w:ascii="宋体" w:hAnsi="宋体" w:cs="宋体" w:eastAsia="宋体" w:hint="default"/>
        </w:rPr>
        <w:t>9</w:t>
      </w:r>
      <w:r>
        <w:rPr/>
        <w:t>月收到</w:t>
      </w:r>
      <w:r>
        <w:rPr>
          <w:spacing w:val="-87"/>
        </w:rPr>
        <w:t> </w:t>
      </w:r>
      <w:r>
        <w:rPr>
          <w:spacing w:val="-87"/>
        </w:rPr>
      </w:r>
      <w:r>
        <w:rPr/>
        <w:t>专利补贴</w:t>
      </w:r>
      <w:r>
        <w:rPr>
          <w:rFonts w:ascii="宋体" w:hAnsi="宋体" w:cs="宋体" w:eastAsia="宋体" w:hint="default"/>
        </w:rPr>
        <w:t>60,000.00</w:t>
      </w:r>
      <w:r>
        <w:rPr/>
        <w:t>元，计入营业外收入。 </w:t>
      </w:r>
      <w:r>
        <w:rPr>
          <w:spacing w:val="-2"/>
        </w:rPr>
        <w:t>注</w:t>
      </w:r>
      <w:r>
        <w:rPr>
          <w:rFonts w:ascii="宋体" w:hAnsi="宋体" w:cs="宋体" w:eastAsia="宋体" w:hint="default"/>
          <w:spacing w:val="-2"/>
        </w:rPr>
        <w:t>12</w:t>
      </w:r>
      <w:r>
        <w:rPr>
          <w:spacing w:val="-2"/>
        </w:rPr>
        <w:t>：根据杭州高新技术产业开发区人力资源和社会保障局、杭州市滨江区人力资源和社会保障局、杭州高新技术产业开发</w:t>
      </w:r>
      <w:r>
        <w:rPr>
          <w:spacing w:val="-62"/>
        </w:rPr>
        <w:t> </w:t>
      </w:r>
      <w:r>
        <w:rPr>
          <w:spacing w:val="-62"/>
        </w:rPr>
      </w:r>
      <w:r>
        <w:rPr/>
        <w:t>区财政局、杭州市滨江区财政局发布的《关于核拨</w:t>
      </w:r>
      <w:r>
        <w:rPr>
          <w:rFonts w:ascii="宋体" w:hAnsi="宋体" w:cs="宋体" w:eastAsia="宋体" w:hint="default"/>
        </w:rPr>
        <w:t>2018</w:t>
      </w:r>
      <w:r>
        <w:rPr/>
        <w:t>年度企业博士后科研工作资助资金的通知》（区人社发【</w:t>
      </w:r>
      <w:r>
        <w:rPr>
          <w:rFonts w:ascii="宋体" w:hAnsi="宋体" w:cs="宋体" w:eastAsia="宋体" w:hint="default"/>
        </w:rPr>
        <w:t>2019</w:t>
      </w:r>
      <w:r>
        <w:rPr/>
        <w:t>】</w:t>
      </w:r>
      <w:r>
        <w:rPr>
          <w:rFonts w:ascii="宋体" w:hAnsi="宋体" w:cs="宋体" w:eastAsia="宋体" w:hint="default"/>
        </w:rPr>
        <w:t>38</w:t>
      </w:r>
      <w:r>
        <w:rPr>
          <w:rFonts w:ascii="宋体" w:hAnsi="宋体" w:cs="宋体" w:eastAsia="宋体" w:hint="default"/>
          <w:spacing w:val="-8"/>
        </w:rPr>
        <w:t> </w:t>
      </w:r>
      <w:r>
        <w:rPr/>
        <w:t>号），公司于</w:t>
      </w:r>
      <w:r>
        <w:rPr>
          <w:rFonts w:ascii="宋体" w:hAnsi="宋体" w:cs="宋体" w:eastAsia="宋体" w:hint="default"/>
        </w:rPr>
        <w:t>2019</w:t>
      </w:r>
      <w:r>
        <w:rPr/>
        <w:t>年</w:t>
      </w:r>
      <w:r>
        <w:rPr>
          <w:rFonts w:ascii="宋体" w:hAnsi="宋体" w:cs="宋体" w:eastAsia="宋体" w:hint="default"/>
        </w:rPr>
        <w:t>11</w:t>
      </w:r>
      <w:r>
        <w:rPr/>
        <w:t>月收到博士后科研资助资金</w:t>
      </w:r>
      <w:r>
        <w:rPr>
          <w:rFonts w:ascii="宋体" w:hAnsi="宋体" w:cs="宋体" w:eastAsia="宋体" w:hint="default"/>
        </w:rPr>
        <w:t>200,000.00</w:t>
      </w:r>
      <w:r>
        <w:rPr/>
        <w:t>元，计入营业外收入。 </w:t>
      </w:r>
      <w:r>
        <w:rPr>
          <w:spacing w:val="-2"/>
        </w:rPr>
        <w:t>注</w:t>
      </w:r>
      <w:r>
        <w:rPr>
          <w:rFonts w:ascii="宋体" w:hAnsi="宋体" w:cs="宋体" w:eastAsia="宋体" w:hint="default"/>
          <w:spacing w:val="-2"/>
        </w:rPr>
        <w:t>13</w:t>
      </w:r>
      <w:r>
        <w:rPr>
          <w:spacing w:val="-2"/>
        </w:rPr>
        <w:t>：根据杭州市科学技术局发布的《关于下达</w:t>
      </w:r>
      <w:r>
        <w:rPr>
          <w:rFonts w:ascii="宋体" w:hAnsi="宋体" w:cs="宋体" w:eastAsia="宋体" w:hint="default"/>
          <w:spacing w:val="-2"/>
        </w:rPr>
        <w:t>2019</w:t>
      </w:r>
      <w:r>
        <w:rPr>
          <w:spacing w:val="-2"/>
        </w:rPr>
        <w:t>年第一批杭州市重大科技创新结转项目（工业）、重大科技创新后补助</w:t>
      </w:r>
      <w:r>
        <w:rPr>
          <w:spacing w:val="-63"/>
        </w:rPr>
        <w:t> </w:t>
      </w:r>
      <w:r>
        <w:rPr>
          <w:spacing w:val="-63"/>
        </w:rPr>
      </w:r>
      <w:r>
        <w:rPr/>
        <w:t>项目（工业、农社）资助经费的通知》（杭科高【</w:t>
      </w:r>
      <w:r>
        <w:rPr>
          <w:rFonts w:ascii="宋体" w:hAnsi="宋体" w:cs="宋体" w:eastAsia="宋体" w:hint="default"/>
        </w:rPr>
        <w:t>2019</w:t>
      </w:r>
      <w:r>
        <w:rPr/>
        <w:t>】</w:t>
      </w:r>
      <w:r>
        <w:rPr>
          <w:rFonts w:ascii="宋体" w:hAnsi="宋体" w:cs="宋体" w:eastAsia="宋体" w:hint="default"/>
        </w:rPr>
        <w:t>110</w:t>
      </w:r>
      <w:r>
        <w:rPr/>
        <w:t>号），公司于</w:t>
      </w:r>
      <w:r>
        <w:rPr>
          <w:rFonts w:ascii="宋体" w:hAnsi="宋体" w:cs="宋体" w:eastAsia="宋体" w:hint="default"/>
        </w:rPr>
        <w:t>2019</w:t>
      </w:r>
      <w:r>
        <w:rPr/>
        <w:t>年</w:t>
      </w:r>
      <w:r>
        <w:rPr>
          <w:rFonts w:ascii="宋体" w:hAnsi="宋体" w:cs="宋体" w:eastAsia="宋体" w:hint="default"/>
        </w:rPr>
        <w:t>11</w:t>
      </w:r>
      <w:r>
        <w:rPr/>
        <w:t>月收到资助经费</w:t>
      </w:r>
      <w:r>
        <w:rPr>
          <w:rFonts w:ascii="宋体" w:hAnsi="宋体" w:cs="宋体" w:eastAsia="宋体" w:hint="default"/>
        </w:rPr>
        <w:t>3,000,000.00</w:t>
      </w:r>
      <w:r>
        <w:rPr/>
        <w:t>元，计入 营业外收入。 </w:t>
      </w:r>
      <w:r>
        <w:rPr>
          <w:spacing w:val="-2"/>
        </w:rPr>
        <w:t>注</w:t>
      </w:r>
      <w:r>
        <w:rPr>
          <w:rFonts w:ascii="宋体" w:hAnsi="宋体" w:cs="宋体" w:eastAsia="宋体" w:hint="default"/>
          <w:spacing w:val="-2"/>
        </w:rPr>
        <w:t>14</w:t>
      </w:r>
      <w:r>
        <w:rPr>
          <w:spacing w:val="-2"/>
        </w:rPr>
        <w:t>：根据杭州高新技术产业开发区科学技术局、杭州市滨江区科学技术局、杭州高新技术产业开发区财政局、杭州市滨江</w:t>
      </w:r>
      <w:r>
        <w:rPr>
          <w:spacing w:val="-63"/>
        </w:rPr>
        <w:t> </w:t>
      </w:r>
      <w:r>
        <w:rPr>
          <w:spacing w:val="-63"/>
        </w:rPr>
      </w:r>
      <w:r>
        <w:rPr/>
        <w:t>区财政局发布的《关于下达</w:t>
      </w:r>
      <w:r>
        <w:rPr>
          <w:rFonts w:ascii="宋体" w:hAnsi="宋体" w:cs="宋体" w:eastAsia="宋体" w:hint="default"/>
        </w:rPr>
        <w:t>2019</w:t>
      </w:r>
      <w:r>
        <w:rPr/>
        <w:t>年第一批杭州市重大科技创新结转项目、重大科技创新后补助项目经费区配套资助的通知》</w:t>
      </w:r>
    </w:p>
    <w:p>
      <w:pPr>
        <w:pStyle w:val="BodyText"/>
        <w:spacing w:line="316" w:lineRule="auto" w:before="19"/>
        <w:ind w:right="1040"/>
        <w:jc w:val="left"/>
      </w:pPr>
      <w:r>
        <w:rPr/>
        <w:t>（区科技【</w:t>
      </w:r>
      <w:r>
        <w:rPr>
          <w:rFonts w:ascii="宋体" w:hAnsi="宋体" w:cs="宋体" w:eastAsia="宋体" w:hint="default"/>
        </w:rPr>
        <w:t>2019</w:t>
      </w:r>
      <w:r>
        <w:rPr/>
        <w:t>】</w:t>
      </w:r>
      <w:r>
        <w:rPr>
          <w:rFonts w:ascii="宋体" w:hAnsi="宋体" w:cs="宋体" w:eastAsia="宋体" w:hint="default"/>
        </w:rPr>
        <w:t>54</w:t>
      </w:r>
      <w:r>
        <w:rPr/>
        <w:t>号），公司于</w:t>
      </w:r>
      <w:r>
        <w:rPr>
          <w:rFonts w:ascii="宋体" w:hAnsi="宋体" w:cs="宋体" w:eastAsia="宋体" w:hint="default"/>
        </w:rPr>
        <w:t>2019</w:t>
      </w:r>
      <w:r>
        <w:rPr/>
        <w:t>年</w:t>
      </w:r>
      <w:r>
        <w:rPr>
          <w:rFonts w:ascii="宋体" w:hAnsi="宋体" w:cs="宋体" w:eastAsia="宋体" w:hint="default"/>
        </w:rPr>
        <w:t>11</w:t>
      </w:r>
      <w:r>
        <w:rPr/>
        <w:t>月收到财政补助</w:t>
      </w:r>
      <w:r>
        <w:rPr>
          <w:rFonts w:ascii="宋体" w:hAnsi="宋体" w:cs="宋体" w:eastAsia="宋体" w:hint="default"/>
        </w:rPr>
        <w:t>3,000,000.00</w:t>
      </w:r>
      <w:r>
        <w:rPr/>
        <w:t>元，计入营业外收入。 </w:t>
      </w:r>
      <w:r>
        <w:rPr>
          <w:spacing w:val="-2"/>
        </w:rPr>
        <w:t>注</w:t>
      </w:r>
      <w:r>
        <w:rPr>
          <w:rFonts w:ascii="宋体" w:hAnsi="宋体" w:cs="宋体" w:eastAsia="宋体" w:hint="default"/>
          <w:spacing w:val="-2"/>
        </w:rPr>
        <w:t>15</w:t>
      </w:r>
      <w:r>
        <w:rPr>
          <w:spacing w:val="-2"/>
        </w:rPr>
        <w:t>：根据中国博士后科学基金会发布的《关于公布中国博士后科学基金第</w:t>
      </w:r>
      <w:r>
        <w:rPr>
          <w:rFonts w:ascii="宋体" w:hAnsi="宋体" w:cs="宋体" w:eastAsia="宋体" w:hint="default"/>
          <w:spacing w:val="-2"/>
        </w:rPr>
        <w:t>66</w:t>
      </w:r>
      <w:r>
        <w:rPr>
          <w:spacing w:val="-2"/>
        </w:rPr>
        <w:t>批面上资助获资助人员名单的通知》（中博基</w:t>
      </w:r>
      <w:r>
        <w:rPr>
          <w:spacing w:val="-60"/>
        </w:rPr>
        <w:t> </w:t>
      </w:r>
      <w:r>
        <w:rPr>
          <w:spacing w:val="-60"/>
        </w:rPr>
      </w:r>
      <w:r>
        <w:rPr/>
        <w:t>字【</w:t>
      </w:r>
      <w:r>
        <w:rPr>
          <w:rFonts w:ascii="宋体" w:hAnsi="宋体" w:cs="宋体" w:eastAsia="宋体" w:hint="default"/>
        </w:rPr>
        <w:t>2019</w:t>
      </w:r>
      <w:r>
        <w:rPr/>
        <w:t>】</w:t>
      </w:r>
      <w:r>
        <w:rPr>
          <w:rFonts w:ascii="宋体" w:hAnsi="宋体" w:cs="宋体" w:eastAsia="宋体" w:hint="default"/>
        </w:rPr>
        <w:t>10</w:t>
      </w:r>
      <w:r>
        <w:rPr/>
        <w:t>号），公司于</w:t>
      </w:r>
      <w:r>
        <w:rPr>
          <w:rFonts w:ascii="宋体" w:hAnsi="宋体" w:cs="宋体" w:eastAsia="宋体" w:hint="default"/>
        </w:rPr>
        <w:t>2019</w:t>
      </w:r>
      <w:r>
        <w:rPr/>
        <w:t>年</w:t>
      </w:r>
      <w:r>
        <w:rPr>
          <w:rFonts w:ascii="宋体" w:hAnsi="宋体" w:cs="宋体" w:eastAsia="宋体" w:hint="default"/>
        </w:rPr>
        <w:t>11</w:t>
      </w:r>
      <w:r>
        <w:rPr/>
        <w:t>月收到资助经费</w:t>
      </w:r>
      <w:r>
        <w:rPr>
          <w:rFonts w:ascii="宋体" w:hAnsi="宋体" w:cs="宋体" w:eastAsia="宋体" w:hint="default"/>
        </w:rPr>
        <w:t>120,000.00</w:t>
      </w:r>
      <w:r>
        <w:rPr/>
        <w:t>元</w:t>
      </w:r>
      <w:r>
        <w:rPr>
          <w:rFonts w:ascii="宋体" w:hAnsi="宋体" w:cs="宋体" w:eastAsia="宋体" w:hint="default"/>
        </w:rPr>
        <w:t>,</w:t>
      </w:r>
      <w:r>
        <w:rPr/>
        <w:t>计入营业外收入。 注</w:t>
      </w:r>
      <w:r>
        <w:rPr>
          <w:rFonts w:ascii="宋体" w:hAnsi="宋体" w:cs="宋体" w:eastAsia="宋体" w:hint="default"/>
        </w:rPr>
        <w:t>16</w:t>
      </w:r>
      <w:r>
        <w:rPr/>
        <w:t>：根据国家税务总局杭州市滨江区税务局发布的税务事项通知书（杭滨税税通【</w:t>
      </w:r>
      <w:r>
        <w:rPr>
          <w:rFonts w:ascii="宋体" w:hAnsi="宋体" w:cs="宋体" w:eastAsia="宋体" w:hint="default"/>
        </w:rPr>
        <w:t>2019</w:t>
      </w:r>
      <w:r>
        <w:rPr/>
        <w:t>】</w:t>
      </w:r>
      <w:r>
        <w:rPr>
          <w:rFonts w:ascii="宋体" w:hAnsi="宋体" w:cs="宋体" w:eastAsia="宋体" w:hint="default"/>
        </w:rPr>
        <w:t>89008</w:t>
      </w:r>
      <w:r>
        <w:rPr/>
        <w:t>号），公司于</w:t>
      </w:r>
      <w:r>
        <w:rPr>
          <w:rFonts w:ascii="宋体" w:hAnsi="宋体" w:cs="宋体" w:eastAsia="宋体" w:hint="default"/>
        </w:rPr>
        <w:t>2019</w:t>
      </w:r>
      <w:r>
        <w:rPr/>
        <w:t>年</w:t>
      </w:r>
      <w:r>
        <w:rPr>
          <w:rFonts w:ascii="宋体" w:hAnsi="宋体" w:cs="宋体" w:eastAsia="宋体" w:hint="default"/>
        </w:rPr>
        <w:t>12</w:t>
      </w:r>
      <w:r>
        <w:rPr/>
        <w:t>月 收到软件产品退税</w:t>
      </w:r>
      <w:r>
        <w:rPr>
          <w:rFonts w:ascii="宋体" w:hAnsi="宋体" w:cs="宋体" w:eastAsia="宋体" w:hint="default"/>
        </w:rPr>
        <w:t>392,030.44</w:t>
      </w:r>
      <w:r>
        <w:rPr/>
        <w:t>元，计入其他收益。 注</w:t>
      </w:r>
      <w:r>
        <w:rPr>
          <w:rFonts w:ascii="宋体" w:hAnsi="宋体" w:cs="宋体" w:eastAsia="宋体" w:hint="default"/>
        </w:rPr>
        <w:t>17</w:t>
      </w:r>
      <w:r>
        <w:rPr/>
        <w:t>：根据杭州市科学技术协会发布的《杭州市科协关于实施</w:t>
      </w:r>
      <w:r>
        <w:rPr>
          <w:rFonts w:ascii="宋体" w:hAnsi="宋体" w:cs="宋体" w:eastAsia="宋体" w:hint="default"/>
        </w:rPr>
        <w:t>2019</w:t>
      </w:r>
      <w:r>
        <w:rPr/>
        <w:t>年重点学术学会活动项目计划的通知》（杭科协【</w:t>
      </w:r>
      <w:r>
        <w:rPr>
          <w:rFonts w:ascii="宋体" w:hAnsi="宋体" w:cs="宋体" w:eastAsia="宋体" w:hint="default"/>
        </w:rPr>
        <w:t>2019</w:t>
      </w:r>
      <w:r>
        <w:rPr/>
        <w:t>】 </w:t>
      </w:r>
      <w:r>
        <w:rPr>
          <w:rFonts w:ascii="宋体" w:hAnsi="宋体" w:cs="宋体" w:eastAsia="宋体" w:hint="default"/>
          <w:spacing w:val="-6"/>
        </w:rPr>
        <w:t>11</w:t>
      </w:r>
      <w:r>
        <w:rPr>
          <w:spacing w:val="-6"/>
        </w:rPr>
        <w:t>号）及《</w:t>
      </w:r>
      <w:r>
        <w:rPr>
          <w:rFonts w:ascii="宋体" w:hAnsi="宋体" w:cs="宋体" w:eastAsia="宋体" w:hint="default"/>
          <w:spacing w:val="-6"/>
        </w:rPr>
        <w:t>2019</w:t>
      </w:r>
      <w:r>
        <w:rPr>
          <w:spacing w:val="-6"/>
        </w:rPr>
        <w:t>年杭州市科学技术协会决策咨询项目评优专家评审结果》，公司于</w:t>
      </w:r>
      <w:r>
        <w:rPr>
          <w:rFonts w:ascii="宋体" w:hAnsi="宋体" w:cs="宋体" w:eastAsia="宋体" w:hint="default"/>
          <w:spacing w:val="-6"/>
        </w:rPr>
        <w:t>2019</w:t>
      </w:r>
      <w:r>
        <w:rPr>
          <w:spacing w:val="-6"/>
        </w:rPr>
        <w:t>年</w:t>
      </w:r>
      <w:r>
        <w:rPr>
          <w:rFonts w:ascii="宋体" w:hAnsi="宋体" w:cs="宋体" w:eastAsia="宋体" w:hint="default"/>
          <w:spacing w:val="-6"/>
        </w:rPr>
        <w:t>12</w:t>
      </w:r>
      <w:r>
        <w:rPr>
          <w:spacing w:val="-6"/>
        </w:rPr>
        <w:t>月收到决策咨询项目补助</w:t>
      </w:r>
      <w:r>
        <w:rPr>
          <w:rFonts w:ascii="宋体" w:hAnsi="宋体" w:cs="宋体" w:eastAsia="宋体" w:hint="default"/>
          <w:spacing w:val="-6"/>
        </w:rPr>
        <w:t>38,000.00</w:t>
      </w:r>
      <w:r>
        <w:rPr>
          <w:rFonts w:ascii="宋体" w:hAnsi="宋体" w:cs="宋体" w:eastAsia="宋体" w:hint="default"/>
          <w:spacing w:val="-52"/>
        </w:rPr>
        <w:t> </w:t>
      </w:r>
      <w:r>
        <w:rPr>
          <w:rFonts w:ascii="宋体" w:hAnsi="宋体" w:cs="宋体" w:eastAsia="宋体" w:hint="default"/>
          <w:spacing w:val="-52"/>
        </w:rPr>
      </w:r>
      <w:r>
        <w:rPr/>
        <w:t>元，计入营业外收入。 </w:t>
      </w:r>
      <w:r>
        <w:rPr>
          <w:spacing w:val="-2"/>
        </w:rPr>
        <w:t>注</w:t>
      </w:r>
      <w:r>
        <w:rPr>
          <w:rFonts w:ascii="宋体" w:hAnsi="宋体" w:cs="宋体" w:eastAsia="宋体" w:hint="default"/>
          <w:spacing w:val="-2"/>
        </w:rPr>
        <w:t>18</w:t>
      </w:r>
      <w:r>
        <w:rPr>
          <w:spacing w:val="-2"/>
        </w:rPr>
        <w:t>：根据杭州高新技术产业开发区科学技术局、杭州市滨江区科学技术局、杭州高新技术产业开发区财政局、杭州市滨江</w:t>
      </w:r>
      <w:r>
        <w:rPr>
          <w:spacing w:val="-63"/>
        </w:rPr>
        <w:t> </w:t>
      </w:r>
      <w:r>
        <w:rPr>
          <w:spacing w:val="-63"/>
        </w:rPr>
      </w:r>
      <w:r>
        <w:rPr>
          <w:spacing w:val="-3"/>
        </w:rPr>
        <w:t>区财政局发布的《关于下达杭州高新区（滨江）</w:t>
      </w:r>
      <w:r>
        <w:rPr>
          <w:rFonts w:ascii="宋体" w:hAnsi="宋体" w:cs="宋体" w:eastAsia="宋体" w:hint="default"/>
          <w:spacing w:val="-3"/>
        </w:rPr>
        <w:t>2018</w:t>
      </w:r>
      <w:r>
        <w:rPr>
          <w:spacing w:val="-3"/>
        </w:rPr>
        <w:t>年度认定或新引进国家高新技术企业奖励资金的通知》（区科技【</w:t>
      </w:r>
      <w:r>
        <w:rPr>
          <w:rFonts w:ascii="宋体" w:hAnsi="宋体" w:cs="宋体" w:eastAsia="宋体" w:hint="default"/>
          <w:spacing w:val="-3"/>
        </w:rPr>
        <w:t>2019</w:t>
      </w:r>
      <w:r>
        <w:rPr>
          <w:spacing w:val="-3"/>
        </w:rPr>
        <w:t>】</w:t>
      </w:r>
      <w:r>
        <w:rPr>
          <w:spacing w:val="-87"/>
        </w:rPr>
        <w:t> </w:t>
      </w:r>
      <w:r>
        <w:rPr>
          <w:rFonts w:ascii="宋体" w:hAnsi="宋体" w:cs="宋体" w:eastAsia="宋体" w:hint="default"/>
        </w:rPr>
        <w:t>23</w:t>
      </w:r>
      <w:r>
        <w:rPr/>
        <w:t>号），子公司浙江银江研究院有限公司于</w:t>
      </w:r>
      <w:r>
        <w:rPr>
          <w:rFonts w:ascii="宋体" w:hAnsi="宋体" w:cs="宋体" w:eastAsia="宋体" w:hint="default"/>
        </w:rPr>
        <w:t>2019</w:t>
      </w:r>
      <w:r>
        <w:rPr/>
        <w:t>年</w:t>
      </w:r>
      <w:r>
        <w:rPr>
          <w:rFonts w:ascii="宋体" w:hAnsi="宋体" w:cs="宋体" w:eastAsia="宋体" w:hint="default"/>
        </w:rPr>
        <w:t>7</w:t>
      </w:r>
      <w:r>
        <w:rPr/>
        <w:t>月收到高新技术奖励资金</w:t>
      </w:r>
      <w:r>
        <w:rPr>
          <w:rFonts w:ascii="宋体" w:hAnsi="宋体" w:cs="宋体" w:eastAsia="宋体" w:hint="default"/>
        </w:rPr>
        <w:t>100,000.00</w:t>
      </w:r>
      <w:r>
        <w:rPr/>
        <w:t>元，计入营业外收入。 </w:t>
      </w:r>
      <w:r>
        <w:rPr>
          <w:spacing w:val="-2"/>
        </w:rPr>
        <w:t>注</w:t>
      </w:r>
      <w:r>
        <w:rPr>
          <w:rFonts w:ascii="宋体" w:hAnsi="宋体" w:cs="宋体" w:eastAsia="宋体" w:hint="default"/>
          <w:spacing w:val="-2"/>
        </w:rPr>
        <w:t>19</w:t>
      </w:r>
      <w:r>
        <w:rPr>
          <w:spacing w:val="-2"/>
        </w:rPr>
        <w:t>：根据杭州高新技术产业开发区科学技术局、杭州市滨江区科学技术局、杭州高新技术产业开发区财政局、杭州市滨江</w:t>
      </w:r>
      <w:r>
        <w:rPr>
          <w:spacing w:val="-63"/>
        </w:rPr>
        <w:t> </w:t>
      </w:r>
      <w:r>
        <w:rPr>
          <w:spacing w:val="-63"/>
        </w:rPr>
      </w:r>
      <w:r>
        <w:rPr/>
        <w:t>区财政局发布的《关于下达杭州高新区（滨江）</w:t>
      </w:r>
      <w:r>
        <w:rPr>
          <w:rFonts w:ascii="宋体" w:hAnsi="宋体" w:cs="宋体" w:eastAsia="宋体" w:hint="default"/>
        </w:rPr>
        <w:t>2018</w:t>
      </w:r>
      <w:r>
        <w:rPr/>
        <w:t>年度科技中介服务国高企奖励资金的通知》（区科技【</w:t>
      </w:r>
      <w:r>
        <w:rPr>
          <w:rFonts w:ascii="宋体" w:hAnsi="宋体" w:cs="宋体" w:eastAsia="宋体" w:hint="default"/>
        </w:rPr>
        <w:t>2019</w:t>
      </w:r>
      <w:r>
        <w:rPr/>
        <w:t>】</w:t>
      </w:r>
      <w:r>
        <w:rPr>
          <w:rFonts w:ascii="宋体" w:hAnsi="宋体" w:cs="宋体" w:eastAsia="宋体" w:hint="default"/>
        </w:rPr>
        <w:t>40</w:t>
      </w:r>
      <w:r>
        <w:rPr/>
        <w:t>号）， 子公司浙江银江研究院有限公司于</w:t>
      </w:r>
      <w:r>
        <w:rPr>
          <w:rFonts w:ascii="宋体" w:hAnsi="宋体" w:cs="宋体" w:eastAsia="宋体" w:hint="default"/>
        </w:rPr>
        <w:t>2019</w:t>
      </w:r>
      <w:r>
        <w:rPr/>
        <w:t>年</w:t>
      </w:r>
      <w:r>
        <w:rPr>
          <w:rFonts w:ascii="宋体" w:hAnsi="宋体" w:cs="宋体" w:eastAsia="宋体" w:hint="default"/>
        </w:rPr>
        <w:t>7</w:t>
      </w:r>
      <w:r>
        <w:rPr/>
        <w:t>月收到科技中介服务国高企奖励资金</w:t>
      </w:r>
      <w:r>
        <w:rPr>
          <w:rFonts w:ascii="宋体" w:hAnsi="宋体" w:cs="宋体" w:eastAsia="宋体" w:hint="default"/>
        </w:rPr>
        <w:t>10,000.00</w:t>
      </w:r>
      <w:r>
        <w:rPr/>
        <w:t>元，计入营业外收入。 </w:t>
      </w:r>
      <w:r>
        <w:rPr>
          <w:spacing w:val="-2"/>
        </w:rPr>
        <w:t>注</w:t>
      </w:r>
      <w:r>
        <w:rPr>
          <w:rFonts w:ascii="宋体" w:hAnsi="宋体" w:cs="宋体" w:eastAsia="宋体" w:hint="default"/>
          <w:spacing w:val="-2"/>
        </w:rPr>
        <w:t>20</w:t>
      </w:r>
      <w:r>
        <w:rPr>
          <w:spacing w:val="-2"/>
        </w:rPr>
        <w:t>：根据杭州高新技术产业开发区（滨江）市场监督管理局、杭州高新技术产业开发区（滨江）财政局发布的《关于转拨</w:t>
      </w:r>
      <w:r>
        <w:rPr>
          <w:spacing w:val="-72"/>
        </w:rPr>
        <w:t> </w:t>
      </w:r>
      <w:r>
        <w:rPr>
          <w:spacing w:val="-72"/>
        </w:rPr>
      </w:r>
      <w:r>
        <w:rPr/>
        <w:t>浙江省</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-2017</w:t>
      </w:r>
      <w:r>
        <w:rPr/>
        <w:t>年</w:t>
      </w:r>
      <w:r>
        <w:rPr>
          <w:rFonts w:ascii="宋体" w:hAnsi="宋体" w:cs="宋体" w:eastAsia="宋体" w:hint="default"/>
        </w:rPr>
        <w:t>6</w:t>
      </w:r>
      <w:r>
        <w:rPr/>
        <w:t>月国内发明专利授权补助的通知》（杭高新市监【</w:t>
      </w:r>
      <w:r>
        <w:rPr>
          <w:rFonts w:ascii="宋体" w:hAnsi="宋体" w:cs="宋体" w:eastAsia="宋体" w:hint="default"/>
        </w:rPr>
        <w:t>2019</w:t>
      </w:r>
      <w:r>
        <w:rPr/>
        <w:t>】</w:t>
      </w:r>
      <w:r>
        <w:rPr>
          <w:rFonts w:ascii="宋体" w:hAnsi="宋体" w:cs="宋体" w:eastAsia="宋体" w:hint="default"/>
        </w:rPr>
        <w:t>21</w:t>
      </w:r>
      <w:r>
        <w:rPr/>
        <w:t>号），子公司浙江银江研究院有限公 司于</w:t>
      </w:r>
      <w:r>
        <w:rPr>
          <w:rFonts w:ascii="宋体" w:hAnsi="宋体" w:cs="宋体" w:eastAsia="宋体" w:hint="default"/>
        </w:rPr>
        <w:t>2019</w:t>
      </w:r>
      <w:r>
        <w:rPr/>
        <w:t>年</w:t>
      </w:r>
      <w:r>
        <w:rPr>
          <w:rFonts w:ascii="宋体" w:hAnsi="宋体" w:cs="宋体" w:eastAsia="宋体" w:hint="default"/>
        </w:rPr>
        <w:t>7</w:t>
      </w:r>
      <w:r>
        <w:rPr/>
        <w:t>月收到专利授权补助</w:t>
      </w:r>
      <w:r>
        <w:rPr>
          <w:rFonts w:ascii="宋体" w:hAnsi="宋体" w:cs="宋体" w:eastAsia="宋体" w:hint="default"/>
        </w:rPr>
        <w:t>6,000.00</w:t>
      </w:r>
      <w:r>
        <w:rPr/>
        <w:t>元，计入营业外收入。 </w:t>
      </w:r>
      <w:r>
        <w:rPr>
          <w:spacing w:val="-2"/>
        </w:rPr>
        <w:t>注</w:t>
      </w:r>
      <w:r>
        <w:rPr>
          <w:rFonts w:ascii="宋体" w:hAnsi="宋体" w:cs="宋体" w:eastAsia="宋体" w:hint="default"/>
          <w:spacing w:val="-2"/>
        </w:rPr>
        <w:t>21</w:t>
      </w:r>
      <w:r>
        <w:rPr>
          <w:spacing w:val="-2"/>
        </w:rPr>
        <w:t>：根据杭州高新技术产业开发区（滨江）市场监督管理局、杭州高新技术产业开发区（滨江）财政局发布的《关于下达</w:t>
      </w:r>
      <w:r>
        <w:rPr>
          <w:spacing w:val="-72"/>
        </w:rPr>
        <w:t> </w:t>
      </w:r>
      <w:r>
        <w:rPr>
          <w:spacing w:val="-72"/>
        </w:rPr>
      </w:r>
      <w:r>
        <w:rPr>
          <w:spacing w:val="-2"/>
        </w:rPr>
        <w:t>杭州高新区（滨江）</w:t>
      </w:r>
      <w:r>
        <w:rPr>
          <w:rFonts w:ascii="宋体" w:hAnsi="宋体" w:cs="宋体" w:eastAsia="宋体" w:hint="default"/>
          <w:spacing w:val="-2"/>
        </w:rPr>
        <w:t>2019</w:t>
      </w:r>
      <w:r>
        <w:rPr>
          <w:spacing w:val="-2"/>
        </w:rPr>
        <w:t>第二季度国内授权专利资助经费的通知》（杭高新市监【</w:t>
      </w:r>
      <w:r>
        <w:rPr>
          <w:rFonts w:ascii="宋体" w:hAnsi="宋体" w:cs="宋体" w:eastAsia="宋体" w:hint="default"/>
          <w:spacing w:val="-2"/>
        </w:rPr>
        <w:t>2019</w:t>
      </w:r>
      <w:r>
        <w:rPr>
          <w:spacing w:val="-2"/>
        </w:rPr>
        <w:t>】</w:t>
      </w:r>
      <w:r>
        <w:rPr>
          <w:rFonts w:ascii="宋体" w:hAnsi="宋体" w:cs="宋体" w:eastAsia="宋体" w:hint="default"/>
          <w:spacing w:val="-2"/>
        </w:rPr>
        <w:t>33</w:t>
      </w:r>
      <w:r>
        <w:rPr>
          <w:spacing w:val="-2"/>
        </w:rPr>
        <w:t>号），子公司浙江银江研究院有</w:t>
      </w:r>
      <w:r>
        <w:rPr>
          <w:spacing w:val="-62"/>
        </w:rPr>
        <w:t> </w:t>
      </w:r>
      <w:r>
        <w:rPr>
          <w:spacing w:val="-62"/>
        </w:rPr>
      </w:r>
      <w:r>
        <w:rPr/>
        <w:t>限公司于</w:t>
      </w:r>
      <w:r>
        <w:rPr>
          <w:rFonts w:ascii="宋体" w:hAnsi="宋体" w:cs="宋体" w:eastAsia="宋体" w:hint="default"/>
        </w:rPr>
        <w:t>2019</w:t>
      </w:r>
      <w:r>
        <w:rPr/>
        <w:t>年</w:t>
      </w:r>
      <w:r>
        <w:rPr>
          <w:rFonts w:ascii="宋体" w:hAnsi="宋体" w:cs="宋体" w:eastAsia="宋体" w:hint="default"/>
        </w:rPr>
        <w:t>9</w:t>
      </w:r>
      <w:r>
        <w:rPr/>
        <w:t>月收到专利资助经费</w:t>
      </w:r>
      <w:r>
        <w:rPr>
          <w:rFonts w:ascii="宋体" w:hAnsi="宋体" w:cs="宋体" w:eastAsia="宋体" w:hint="default"/>
        </w:rPr>
        <w:t>30,000.00</w:t>
      </w:r>
      <w:r>
        <w:rPr/>
        <w:t>元，计入营业外收入。 </w:t>
      </w:r>
      <w:r>
        <w:rPr>
          <w:spacing w:val="-5"/>
        </w:rPr>
        <w:t>注</w:t>
      </w:r>
      <w:r>
        <w:rPr>
          <w:rFonts w:ascii="宋体" w:hAnsi="宋体" w:cs="宋体" w:eastAsia="宋体" w:hint="default"/>
          <w:spacing w:val="-5"/>
        </w:rPr>
        <w:t>22</w:t>
      </w:r>
      <w:r>
        <w:rPr>
          <w:spacing w:val="-5"/>
        </w:rPr>
        <w:t>：根据财政部、国家税务总局发布的《财政部、国家税务总局关于软件产品增值税政策的通知》（财税【</w:t>
      </w:r>
      <w:r>
        <w:rPr>
          <w:rFonts w:ascii="宋体" w:hAnsi="宋体" w:cs="宋体" w:eastAsia="宋体" w:hint="default"/>
          <w:spacing w:val="-5"/>
        </w:rPr>
        <w:t>2011</w:t>
      </w:r>
      <w:r>
        <w:rPr>
          <w:spacing w:val="-5"/>
        </w:rPr>
        <w:t>】</w:t>
      </w:r>
      <w:r>
        <w:rPr>
          <w:rFonts w:ascii="宋体" w:hAnsi="宋体" w:cs="宋体" w:eastAsia="宋体" w:hint="default"/>
          <w:spacing w:val="-5"/>
        </w:rPr>
        <w:t>100</w:t>
      </w:r>
      <w:r>
        <w:rPr>
          <w:spacing w:val="-5"/>
        </w:rPr>
        <w:t>号），</w:t>
      </w:r>
      <w:r>
        <w:rPr>
          <w:spacing w:val="-57"/>
        </w:rPr>
        <w:t> </w:t>
      </w:r>
      <w:r>
        <w:rPr>
          <w:spacing w:val="-57"/>
        </w:rPr>
      </w:r>
      <w:r>
        <w:rPr/>
        <w:t>子公司浙江银江研究院有限公司于</w:t>
      </w:r>
      <w:r>
        <w:rPr>
          <w:rFonts w:ascii="宋体" w:hAnsi="宋体" w:cs="宋体" w:eastAsia="宋体" w:hint="default"/>
        </w:rPr>
        <w:t>2019</w:t>
      </w:r>
      <w:r>
        <w:rPr/>
        <w:t>年</w:t>
      </w:r>
      <w:r>
        <w:rPr>
          <w:rFonts w:ascii="宋体" w:hAnsi="宋体" w:cs="宋体" w:eastAsia="宋体" w:hint="default"/>
        </w:rPr>
        <w:t>11</w:t>
      </w:r>
      <w:r>
        <w:rPr/>
        <w:t>月收到软件销售增值税即征即退</w:t>
      </w:r>
      <w:r>
        <w:rPr>
          <w:rFonts w:ascii="宋体" w:hAnsi="宋体" w:cs="宋体" w:eastAsia="宋体" w:hint="default"/>
        </w:rPr>
        <w:t>308,189.56</w:t>
      </w:r>
      <w:r>
        <w:rPr/>
        <w:t>元，计入其他收益。 </w:t>
      </w:r>
      <w:r>
        <w:rPr>
          <w:spacing w:val="-2"/>
        </w:rPr>
        <w:t>注</w:t>
      </w:r>
      <w:r>
        <w:rPr>
          <w:rFonts w:ascii="宋体" w:hAnsi="宋体" w:cs="宋体" w:eastAsia="宋体" w:hint="default"/>
          <w:spacing w:val="-2"/>
        </w:rPr>
        <w:t>23</w:t>
      </w:r>
      <w:r>
        <w:rPr>
          <w:spacing w:val="-2"/>
        </w:rPr>
        <w:t>：根据西安市高新区工信局（信息服务中心）发布的《关于</w:t>
      </w:r>
      <w:r>
        <w:rPr>
          <w:rFonts w:ascii="宋体" w:hAnsi="宋体" w:cs="宋体" w:eastAsia="宋体" w:hint="default"/>
          <w:spacing w:val="-2"/>
        </w:rPr>
        <w:t>2017</w:t>
      </w:r>
      <w:r>
        <w:rPr>
          <w:spacing w:val="-2"/>
        </w:rPr>
        <w:t>年度“第三次”系列优惠政策（下半年），促投资增长</w:t>
      </w:r>
      <w:r>
        <w:rPr>
          <w:spacing w:val="-65"/>
        </w:rPr>
        <w:t> </w:t>
      </w:r>
      <w:r>
        <w:rPr>
          <w:spacing w:val="-65"/>
        </w:rPr>
      </w:r>
      <w:r>
        <w:rPr/>
        <w:t>技改类项目奖励政策、重点扶植建设建设项目政策拨付资金的通知》，子公司西安银江智慧城市技术有限公司于</w:t>
      </w:r>
      <w:r>
        <w:rPr>
          <w:rFonts w:ascii="宋体" w:hAnsi="宋体" w:cs="宋体" w:eastAsia="宋体" w:hint="default"/>
        </w:rPr>
        <w:t>2019</w:t>
      </w:r>
      <w:r>
        <w:rPr/>
        <w:t>年</w:t>
      </w:r>
      <w:r>
        <w:rPr>
          <w:rFonts w:ascii="宋体" w:hAnsi="宋体" w:cs="宋体" w:eastAsia="宋体" w:hint="default"/>
        </w:rPr>
        <w:t>2</w:t>
      </w:r>
      <w:r>
        <w:rPr/>
        <w:t>月</w:t>
      </w:r>
      <w:r>
        <w:rPr>
          <w:spacing w:val="-84"/>
        </w:rPr>
        <w:t> </w:t>
      </w:r>
      <w:r>
        <w:rPr/>
        <w:t>收到扶植资金</w:t>
      </w:r>
      <w:r>
        <w:rPr>
          <w:rFonts w:ascii="宋体" w:hAnsi="宋体" w:cs="宋体" w:eastAsia="宋体" w:hint="default"/>
        </w:rPr>
        <w:t>27,600.00</w:t>
      </w:r>
      <w:r>
        <w:rPr/>
        <w:t>元，计入营业外收入。 </w:t>
      </w:r>
      <w:r>
        <w:rPr>
          <w:spacing w:val="-2"/>
        </w:rPr>
        <w:t>注</w:t>
      </w:r>
      <w:r>
        <w:rPr>
          <w:rFonts w:ascii="宋体" w:hAnsi="宋体" w:cs="宋体" w:eastAsia="宋体" w:hint="default"/>
          <w:spacing w:val="-2"/>
        </w:rPr>
        <w:t>24</w:t>
      </w:r>
      <w:r>
        <w:rPr>
          <w:spacing w:val="-2"/>
        </w:rPr>
        <w:t>：根据西安市高新区工信局（信用服务中心）发布的《关于</w:t>
      </w:r>
      <w:r>
        <w:rPr>
          <w:rFonts w:ascii="宋体" w:hAnsi="宋体" w:cs="宋体" w:eastAsia="宋体" w:hint="default"/>
          <w:spacing w:val="-2"/>
        </w:rPr>
        <w:t>2017</w:t>
      </w:r>
      <w:r>
        <w:rPr>
          <w:spacing w:val="-2"/>
        </w:rPr>
        <w:t>年度“三次创业”系列优惠政策拨付资金的通知（第二</w:t>
      </w:r>
      <w:r>
        <w:rPr>
          <w:spacing w:val="-68"/>
        </w:rPr>
        <w:t> </w:t>
      </w:r>
      <w:r>
        <w:rPr>
          <w:spacing w:val="-68"/>
        </w:rPr>
      </w:r>
      <w:r>
        <w:rPr/>
        <w:t>批）》，子公司西安银江智慧城市技术有限公司于</w:t>
      </w:r>
      <w:r>
        <w:rPr>
          <w:rFonts w:ascii="宋体" w:hAnsi="宋体" w:cs="宋体" w:eastAsia="宋体" w:hint="default"/>
        </w:rPr>
        <w:t>2019</w:t>
      </w:r>
      <w:r>
        <w:rPr/>
        <w:t>年</w:t>
      </w:r>
      <w:r>
        <w:rPr>
          <w:rFonts w:ascii="宋体" w:hAnsi="宋体" w:cs="宋体" w:eastAsia="宋体" w:hint="default"/>
        </w:rPr>
        <w:t>6</w:t>
      </w:r>
      <w:r>
        <w:rPr/>
        <w:t>月收到创业扶持资金</w:t>
      </w:r>
      <w:r>
        <w:rPr>
          <w:rFonts w:ascii="宋体" w:hAnsi="宋体" w:cs="宋体" w:eastAsia="宋体" w:hint="default"/>
        </w:rPr>
        <w:t>300,000.00</w:t>
      </w:r>
      <w:r>
        <w:rPr/>
        <w:t>元，计入营业外收入。 </w:t>
      </w:r>
      <w:r>
        <w:rPr>
          <w:spacing w:val="-2"/>
        </w:rPr>
        <w:t>注</w:t>
      </w:r>
      <w:r>
        <w:rPr>
          <w:rFonts w:ascii="宋体" w:hAnsi="宋体" w:cs="宋体" w:eastAsia="宋体" w:hint="default"/>
          <w:spacing w:val="-2"/>
        </w:rPr>
        <w:t>25</w:t>
      </w:r>
      <w:r>
        <w:rPr>
          <w:spacing w:val="-2"/>
        </w:rPr>
        <w:t>：根据陕西省科学技术厅发布的《技术创新项目经费</w:t>
      </w:r>
      <w:r>
        <w:rPr>
          <w:rFonts w:ascii="宋体" w:hAnsi="宋体" w:cs="宋体" w:eastAsia="宋体" w:hint="default"/>
          <w:spacing w:val="-2"/>
        </w:rPr>
        <w:t>BK2019-09</w:t>
      </w:r>
      <w:r>
        <w:rPr>
          <w:spacing w:val="-2"/>
        </w:rPr>
        <w:t>》（陕财办教【</w:t>
      </w:r>
      <w:r>
        <w:rPr>
          <w:rFonts w:ascii="宋体" w:hAnsi="宋体" w:cs="宋体" w:eastAsia="宋体" w:hint="default"/>
          <w:spacing w:val="-2"/>
        </w:rPr>
        <w:t>2019</w:t>
      </w:r>
      <w:r>
        <w:rPr>
          <w:spacing w:val="-2"/>
        </w:rPr>
        <w:t>】</w:t>
      </w:r>
      <w:r>
        <w:rPr>
          <w:rFonts w:ascii="宋体" w:hAnsi="宋体" w:cs="宋体" w:eastAsia="宋体" w:hint="default"/>
          <w:spacing w:val="-2"/>
        </w:rPr>
        <w:t>150</w:t>
      </w:r>
      <w:r>
        <w:rPr>
          <w:spacing w:val="-2"/>
        </w:rPr>
        <w:t>号），子公司西安银江智慧城</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034"/>
        <w:jc w:val="left"/>
      </w:pPr>
      <w:r>
        <w:rPr/>
        <w:t>市技术有限公司于</w:t>
      </w:r>
      <w:r>
        <w:rPr>
          <w:rFonts w:ascii="宋体" w:hAnsi="宋体" w:cs="宋体" w:eastAsia="宋体" w:hint="default"/>
        </w:rPr>
        <w:t>2019</w:t>
      </w:r>
      <w:r>
        <w:rPr/>
        <w:t>年</w:t>
      </w:r>
      <w:r>
        <w:rPr>
          <w:rFonts w:ascii="宋体" w:hAnsi="宋体" w:cs="宋体" w:eastAsia="宋体" w:hint="default"/>
        </w:rPr>
        <w:t>12</w:t>
      </w:r>
      <w:r>
        <w:rPr/>
        <w:t>月收到创新项目经费</w:t>
      </w:r>
      <w:r>
        <w:rPr>
          <w:rFonts w:ascii="宋体" w:hAnsi="宋体" w:cs="宋体" w:eastAsia="宋体" w:hint="default"/>
        </w:rPr>
        <w:t>50,000.00</w:t>
      </w:r>
      <w:r>
        <w:rPr/>
        <w:t>元，计入营业外收入。 </w:t>
      </w:r>
      <w:r>
        <w:rPr>
          <w:spacing w:val="-2"/>
        </w:rPr>
        <w:t>注</w:t>
      </w:r>
      <w:r>
        <w:rPr>
          <w:rFonts w:ascii="宋体" w:hAnsi="宋体" w:cs="宋体" w:eastAsia="宋体" w:hint="default"/>
          <w:spacing w:val="-2"/>
        </w:rPr>
        <w:t>26</w:t>
      </w:r>
      <w:r>
        <w:rPr>
          <w:spacing w:val="-2"/>
        </w:rPr>
        <w:t>：根据江西省财政厅、江西省人力资源和社会保障厅发布的《关于做好失业保险稳岗补贴工作的通知》</w:t>
      </w:r>
      <w:r>
        <w:rPr>
          <w:rFonts w:ascii="宋体" w:hAnsi="宋体" w:cs="宋体" w:eastAsia="宋体" w:hint="default"/>
          <w:spacing w:val="-2"/>
        </w:rPr>
        <w:t>(</w:t>
      </w:r>
      <w:r>
        <w:rPr>
          <w:spacing w:val="-2"/>
        </w:rPr>
        <w:t>赣人社【</w:t>
      </w:r>
      <w:r>
        <w:rPr>
          <w:rFonts w:ascii="宋体" w:hAnsi="宋体" w:cs="宋体" w:eastAsia="宋体" w:hint="default"/>
          <w:spacing w:val="-2"/>
        </w:rPr>
        <w:t>2017</w:t>
      </w:r>
      <w:r>
        <w:rPr>
          <w:spacing w:val="-2"/>
        </w:rPr>
        <w:t>】</w:t>
      </w:r>
      <w:r>
        <w:rPr>
          <w:spacing w:val="-58"/>
        </w:rPr>
        <w:t> </w:t>
      </w:r>
      <w:r>
        <w:rPr>
          <w:rFonts w:ascii="宋体" w:hAnsi="宋体" w:cs="宋体" w:eastAsia="宋体" w:hint="default"/>
        </w:rPr>
        <w:t>399</w:t>
      </w:r>
      <w:r>
        <w:rPr/>
        <w:t>号</w:t>
      </w:r>
      <w:r>
        <w:rPr>
          <w:rFonts w:ascii="宋体" w:hAnsi="宋体" w:cs="宋体" w:eastAsia="宋体" w:hint="default"/>
        </w:rPr>
        <w:t>)</w:t>
      </w:r>
      <w:r>
        <w:rPr/>
        <w:t>，子公司江西银江智慧城市信息技术有限公司于</w:t>
      </w:r>
      <w:r>
        <w:rPr>
          <w:rFonts w:ascii="宋体" w:hAnsi="宋体" w:cs="宋体" w:eastAsia="宋体" w:hint="default"/>
        </w:rPr>
        <w:t>2019</w:t>
      </w:r>
      <w:r>
        <w:rPr/>
        <w:t>年</w:t>
      </w:r>
      <w:r>
        <w:rPr>
          <w:rFonts w:ascii="宋体" w:hAnsi="宋体" w:cs="宋体" w:eastAsia="宋体" w:hint="default"/>
        </w:rPr>
        <w:t>9</w:t>
      </w:r>
      <w:r>
        <w:rPr/>
        <w:t>月收到稳岗补贴</w:t>
      </w:r>
      <w:r>
        <w:rPr>
          <w:rFonts w:ascii="宋体" w:hAnsi="宋体" w:cs="宋体" w:eastAsia="宋体" w:hint="default"/>
        </w:rPr>
        <w:t>7,085.00</w:t>
      </w:r>
      <w:r>
        <w:rPr/>
        <w:t>元，计入营业外收入。 </w:t>
      </w:r>
      <w:r>
        <w:rPr>
          <w:spacing w:val="-2"/>
        </w:rPr>
        <w:t>注</w:t>
      </w:r>
      <w:r>
        <w:rPr>
          <w:rFonts w:ascii="宋体" w:hAnsi="宋体" w:cs="宋体" w:eastAsia="宋体" w:hint="default"/>
          <w:spacing w:val="-2"/>
        </w:rPr>
        <w:t>27</w:t>
      </w:r>
      <w:r>
        <w:rPr>
          <w:spacing w:val="-2"/>
        </w:rPr>
        <w:t>：根据南昌市科学技术局、南昌市财政局发布的《年度科技计划项目申报通知》</w:t>
      </w:r>
      <w:r>
        <w:rPr>
          <w:rFonts w:ascii="宋体" w:hAnsi="宋体" w:cs="宋体" w:eastAsia="宋体" w:hint="default"/>
          <w:spacing w:val="-2"/>
        </w:rPr>
        <w:t>(</w:t>
      </w:r>
      <w:r>
        <w:rPr>
          <w:spacing w:val="-2"/>
        </w:rPr>
        <w:t>洪科字【</w:t>
      </w:r>
      <w:r>
        <w:rPr>
          <w:rFonts w:ascii="宋体" w:hAnsi="宋体" w:cs="宋体" w:eastAsia="宋体" w:hint="default"/>
          <w:spacing w:val="-2"/>
        </w:rPr>
        <w:t>2019</w:t>
      </w:r>
      <w:r>
        <w:rPr>
          <w:spacing w:val="-2"/>
        </w:rPr>
        <w:t>】</w:t>
      </w:r>
      <w:r>
        <w:rPr>
          <w:rFonts w:ascii="宋体" w:hAnsi="宋体" w:cs="宋体" w:eastAsia="宋体" w:hint="default"/>
          <w:spacing w:val="-2"/>
        </w:rPr>
        <w:t>103</w:t>
      </w:r>
      <w:r>
        <w:rPr>
          <w:spacing w:val="-2"/>
        </w:rPr>
        <w:t>号），子公司江西</w:t>
      </w:r>
      <w:r>
        <w:rPr>
          <w:spacing w:val="-62"/>
        </w:rPr>
        <w:t> </w:t>
      </w:r>
      <w:r>
        <w:rPr>
          <w:spacing w:val="-62"/>
        </w:rPr>
      </w:r>
      <w:r>
        <w:rPr/>
        <w:t>银江智慧城市信息技术有限公司于</w:t>
      </w:r>
      <w:r>
        <w:rPr>
          <w:rFonts w:ascii="宋体" w:hAnsi="宋体" w:cs="宋体" w:eastAsia="宋体" w:hint="default"/>
        </w:rPr>
        <w:t>2019</w:t>
      </w:r>
      <w:r>
        <w:rPr/>
        <w:t>年</w:t>
      </w:r>
      <w:r>
        <w:rPr>
          <w:rFonts w:ascii="宋体" w:hAnsi="宋体" w:cs="宋体" w:eastAsia="宋体" w:hint="default"/>
        </w:rPr>
        <w:t>10</w:t>
      </w:r>
      <w:r>
        <w:rPr/>
        <w:t>月收到科技奖励</w:t>
      </w:r>
      <w:r>
        <w:rPr>
          <w:rFonts w:ascii="宋体" w:hAnsi="宋体" w:cs="宋体" w:eastAsia="宋体" w:hint="default"/>
        </w:rPr>
        <w:t>100,000.00</w:t>
      </w:r>
      <w:r>
        <w:rPr/>
        <w:t>元，计入营业外收入。 注</w:t>
      </w:r>
      <w:r>
        <w:rPr>
          <w:rFonts w:ascii="宋体" w:hAnsi="宋体" w:cs="宋体" w:eastAsia="宋体" w:hint="default"/>
        </w:rPr>
        <w:t>28</w:t>
      </w:r>
      <w:r>
        <w:rPr/>
        <w:t>：根据东湖区教育科技体育局发布的《东湖区加快推进科技创新工作实施细则（试行）》（东府办发【</w:t>
      </w:r>
      <w:r>
        <w:rPr>
          <w:rFonts w:ascii="宋体" w:hAnsi="宋体" w:cs="宋体" w:eastAsia="宋体" w:hint="default"/>
        </w:rPr>
        <w:t>2019</w:t>
      </w:r>
      <w:r>
        <w:rPr/>
        <w:t>】</w:t>
      </w:r>
      <w:r>
        <w:rPr>
          <w:rFonts w:ascii="宋体" w:hAnsi="宋体" w:cs="宋体" w:eastAsia="宋体" w:hint="default"/>
        </w:rPr>
        <w:t>32</w:t>
      </w:r>
      <w:r>
        <w:rPr/>
        <w:t>号）， 子公司江西银江智慧城市信息技术有限公司于</w:t>
      </w:r>
      <w:r>
        <w:rPr>
          <w:rFonts w:ascii="宋体" w:hAnsi="宋体" w:cs="宋体" w:eastAsia="宋体" w:hint="default"/>
        </w:rPr>
        <w:t>2019</w:t>
      </w:r>
      <w:r>
        <w:rPr/>
        <w:t>年</w:t>
      </w:r>
      <w:r>
        <w:rPr>
          <w:rFonts w:ascii="宋体" w:hAnsi="宋体" w:cs="宋体" w:eastAsia="宋体" w:hint="default"/>
        </w:rPr>
        <w:t>11</w:t>
      </w:r>
      <w:r>
        <w:rPr/>
        <w:t>月收到科技奖励</w:t>
      </w:r>
      <w:r>
        <w:rPr>
          <w:rFonts w:ascii="宋体" w:hAnsi="宋体" w:cs="宋体" w:eastAsia="宋体" w:hint="default"/>
        </w:rPr>
        <w:t>100,000.00</w:t>
      </w:r>
      <w:r>
        <w:rPr/>
        <w:t>元，计入营业外收入。 </w:t>
      </w:r>
      <w:r>
        <w:rPr>
          <w:spacing w:val="-2"/>
        </w:rPr>
        <w:t>注</w:t>
      </w:r>
      <w:r>
        <w:rPr>
          <w:rFonts w:ascii="宋体" w:hAnsi="宋体" w:cs="宋体" w:eastAsia="宋体" w:hint="default"/>
          <w:spacing w:val="-2"/>
        </w:rPr>
        <w:t>29</w:t>
      </w:r>
      <w:r>
        <w:rPr>
          <w:spacing w:val="-2"/>
        </w:rPr>
        <w:t>：根据杭州高新技术产业开发区科学技术局、杭州市滨江区科学技术局、杭州高新技术产业开发区财政局、杭州市滨江</w:t>
      </w:r>
      <w:r>
        <w:rPr>
          <w:spacing w:val="-63"/>
        </w:rPr>
        <w:t> </w:t>
      </w:r>
      <w:r>
        <w:rPr>
          <w:spacing w:val="-63"/>
        </w:rPr>
      </w:r>
      <w:r>
        <w:rPr/>
        <w:t>区财政局发布的《关于下达省级重点企业研究院重点研发项目经费区配套资助经费的通知》</w:t>
      </w:r>
      <w:r>
        <w:rPr>
          <w:rFonts w:ascii="宋体" w:hAnsi="宋体" w:cs="宋体" w:eastAsia="宋体" w:hint="default"/>
        </w:rPr>
        <w:t>(</w:t>
      </w:r>
      <w:r>
        <w:rPr/>
        <w:t>区科技【</w:t>
      </w:r>
      <w:r>
        <w:rPr>
          <w:rFonts w:ascii="宋体" w:hAnsi="宋体" w:cs="宋体" w:eastAsia="宋体" w:hint="default"/>
        </w:rPr>
        <w:t>2019</w:t>
      </w:r>
      <w:r>
        <w:rPr/>
        <w:t>】</w:t>
      </w:r>
      <w:r>
        <w:rPr>
          <w:rFonts w:ascii="宋体" w:hAnsi="宋体" w:cs="宋体" w:eastAsia="宋体" w:hint="default"/>
        </w:rPr>
        <w:t>39</w:t>
      </w:r>
      <w:r>
        <w:rPr/>
        <w:t>号</w:t>
      </w:r>
      <w:r>
        <w:rPr>
          <w:rFonts w:ascii="宋体" w:hAnsi="宋体" w:cs="宋体" w:eastAsia="宋体" w:hint="default"/>
        </w:rPr>
        <w:t>),</w:t>
      </w:r>
      <w:r>
        <w:rPr/>
        <w:t>子公司</w:t>
      </w:r>
      <w:r>
        <w:rPr>
          <w:spacing w:val="-85"/>
        </w:rPr>
        <w:t> </w:t>
      </w:r>
      <w:r>
        <w:rPr>
          <w:spacing w:val="-85"/>
        </w:rPr>
      </w:r>
      <w:r>
        <w:rPr/>
        <w:t>杭州银江智慧健康集团有限公司于</w:t>
      </w:r>
      <w:r>
        <w:rPr>
          <w:rFonts w:ascii="宋体" w:hAnsi="宋体" w:cs="宋体" w:eastAsia="宋体" w:hint="default"/>
        </w:rPr>
        <w:t>2019</w:t>
      </w:r>
      <w:r>
        <w:rPr/>
        <w:t>年</w:t>
      </w:r>
      <w:r>
        <w:rPr>
          <w:rFonts w:ascii="宋体" w:hAnsi="宋体" w:cs="宋体" w:eastAsia="宋体" w:hint="default"/>
        </w:rPr>
        <w:t>8</w:t>
      </w:r>
      <w:r>
        <w:rPr/>
        <w:t>月收到专利资助经费</w:t>
      </w:r>
      <w:r>
        <w:rPr>
          <w:rFonts w:ascii="宋体" w:hAnsi="宋体" w:cs="宋体" w:eastAsia="宋体" w:hint="default"/>
        </w:rPr>
        <w:t>500,000.00</w:t>
      </w:r>
      <w:r>
        <w:rPr/>
        <w:t>元，计入营业外收入。 </w:t>
      </w:r>
      <w:r>
        <w:rPr>
          <w:spacing w:val="-5"/>
        </w:rPr>
        <w:t>注</w:t>
      </w:r>
      <w:r>
        <w:rPr>
          <w:rFonts w:ascii="宋体" w:hAnsi="宋体" w:cs="宋体" w:eastAsia="宋体" w:hint="default"/>
          <w:spacing w:val="-5"/>
        </w:rPr>
        <w:t>30</w:t>
      </w:r>
      <w:r>
        <w:rPr>
          <w:spacing w:val="-5"/>
        </w:rPr>
        <w:t>：根据杭州市科学技术局、杭州市财政局发布的《关于下达</w:t>
      </w:r>
      <w:r>
        <w:rPr>
          <w:rFonts w:ascii="宋体" w:hAnsi="宋体" w:cs="宋体" w:eastAsia="宋体" w:hint="default"/>
          <w:spacing w:val="-5"/>
        </w:rPr>
        <w:t>2019</w:t>
      </w:r>
      <w:r>
        <w:rPr>
          <w:spacing w:val="-5"/>
        </w:rPr>
        <w:t>年第二批中小微企业研发费用投入补助资金的通知》（杭</w:t>
      </w:r>
      <w:r>
        <w:rPr>
          <w:spacing w:val="-68"/>
        </w:rPr>
        <w:t> </w:t>
      </w:r>
      <w:r>
        <w:rPr>
          <w:spacing w:val="-68"/>
        </w:rPr>
      </w:r>
      <w:r>
        <w:rPr/>
        <w:t>科技（</w:t>
      </w:r>
      <w:r>
        <w:rPr>
          <w:rFonts w:ascii="宋体" w:hAnsi="宋体" w:cs="宋体" w:eastAsia="宋体" w:hint="default"/>
        </w:rPr>
        <w:t>2019</w:t>
      </w:r>
      <w:r>
        <w:rPr/>
        <w:t>）</w:t>
      </w:r>
      <w:r>
        <w:rPr>
          <w:rFonts w:ascii="宋体" w:hAnsi="宋体" w:cs="宋体" w:eastAsia="宋体" w:hint="default"/>
        </w:rPr>
        <w:t>155</w:t>
      </w:r>
      <w:r>
        <w:rPr/>
        <w:t>号），子公司健康宝互联网技术有限公司于</w:t>
      </w:r>
      <w:r>
        <w:rPr>
          <w:rFonts w:ascii="宋体" w:hAnsi="宋体" w:cs="宋体" w:eastAsia="宋体" w:hint="default"/>
        </w:rPr>
        <w:t>2019</w:t>
      </w:r>
      <w:r>
        <w:rPr/>
        <w:t>年</w:t>
      </w:r>
      <w:r>
        <w:rPr>
          <w:rFonts w:ascii="宋体" w:hAnsi="宋体" w:cs="宋体" w:eastAsia="宋体" w:hint="default"/>
        </w:rPr>
        <w:t>12</w:t>
      </w:r>
      <w:r>
        <w:rPr/>
        <w:t>月收到研发费用投入补助资金</w:t>
      </w:r>
      <w:r>
        <w:rPr>
          <w:rFonts w:ascii="宋体" w:hAnsi="宋体" w:cs="宋体" w:eastAsia="宋体" w:hint="default"/>
        </w:rPr>
        <w:t>213,000.00</w:t>
      </w:r>
      <w:r>
        <w:rPr/>
        <w:t>元，计入营</w:t>
      </w:r>
      <w:r>
        <w:rPr>
          <w:spacing w:val="-87"/>
        </w:rPr>
        <w:t> </w:t>
      </w:r>
      <w:r>
        <w:rPr/>
        <w:t>业外收入。 </w:t>
      </w:r>
      <w:r>
        <w:rPr>
          <w:spacing w:val="-2"/>
        </w:rPr>
        <w:t>注</w:t>
      </w:r>
      <w:r>
        <w:rPr>
          <w:rFonts w:ascii="宋体" w:hAnsi="宋体" w:cs="宋体" w:eastAsia="宋体" w:hint="default"/>
          <w:spacing w:val="-2"/>
        </w:rPr>
        <w:t>31</w:t>
      </w:r>
      <w:r>
        <w:rPr>
          <w:spacing w:val="-2"/>
        </w:rPr>
        <w:t>：根据杭州高新技术产业开发区科学技术局、杭州市滨江区科学技术局、杭州高新技术产业开发区财政局、杭州市滨江</w:t>
      </w:r>
      <w:r>
        <w:rPr>
          <w:spacing w:val="-63"/>
        </w:rPr>
        <w:t> </w:t>
      </w:r>
      <w:r>
        <w:rPr>
          <w:spacing w:val="-63"/>
        </w:rPr>
      </w:r>
      <w:r>
        <w:rPr>
          <w:spacing w:val="-5"/>
        </w:rPr>
        <w:t>区财政局发布的《关于转拨杭州市</w:t>
      </w:r>
      <w:r>
        <w:rPr>
          <w:rFonts w:ascii="宋体" w:hAnsi="宋体" w:cs="宋体" w:eastAsia="宋体" w:hint="default"/>
          <w:spacing w:val="-5"/>
        </w:rPr>
        <w:t>2018</w:t>
      </w:r>
      <w:r>
        <w:rPr>
          <w:spacing w:val="-5"/>
        </w:rPr>
        <w:t>年第二季度专利专项资助经费的通知》（区科技【</w:t>
      </w:r>
      <w:r>
        <w:rPr>
          <w:rFonts w:ascii="宋体" w:hAnsi="宋体" w:cs="宋体" w:eastAsia="宋体" w:hint="default"/>
          <w:spacing w:val="-5"/>
        </w:rPr>
        <w:t>2018</w:t>
      </w:r>
      <w:r>
        <w:rPr>
          <w:spacing w:val="-5"/>
        </w:rPr>
        <w:t>】</w:t>
      </w:r>
      <w:r>
        <w:rPr>
          <w:rFonts w:ascii="宋体" w:hAnsi="宋体" w:cs="宋体" w:eastAsia="宋体" w:hint="default"/>
          <w:spacing w:val="-5"/>
        </w:rPr>
        <w:t>57</w:t>
      </w:r>
      <w:r>
        <w:rPr>
          <w:spacing w:val="-5"/>
        </w:rPr>
        <w:t>号、区财【</w:t>
      </w:r>
      <w:r>
        <w:rPr>
          <w:rFonts w:ascii="宋体" w:hAnsi="宋体" w:cs="宋体" w:eastAsia="宋体" w:hint="default"/>
          <w:spacing w:val="-5"/>
        </w:rPr>
        <w:t>2018</w:t>
      </w:r>
      <w:r>
        <w:rPr>
          <w:spacing w:val="-5"/>
        </w:rPr>
        <w:t>】</w:t>
      </w:r>
      <w:r>
        <w:rPr>
          <w:rFonts w:ascii="宋体" w:hAnsi="宋体" w:cs="宋体" w:eastAsia="宋体" w:hint="default"/>
          <w:spacing w:val="-5"/>
        </w:rPr>
        <w:t>162</w:t>
      </w:r>
      <w:r>
        <w:rPr>
          <w:spacing w:val="-5"/>
        </w:rPr>
        <w:t>号），</w:t>
      </w:r>
      <w:r>
        <w:rPr>
          <w:spacing w:val="-39"/>
        </w:rPr>
        <w:t> </w:t>
      </w:r>
      <w:r>
        <w:rPr>
          <w:spacing w:val="-39"/>
        </w:rPr>
      </w:r>
      <w:r>
        <w:rPr/>
        <w:t>子公司健康宝互联网技术有限公司于</w:t>
      </w:r>
      <w:r>
        <w:rPr>
          <w:rFonts w:ascii="宋体" w:hAnsi="宋体" w:cs="宋体" w:eastAsia="宋体" w:hint="default"/>
        </w:rPr>
        <w:t>2019</w:t>
      </w:r>
      <w:r>
        <w:rPr/>
        <w:t>年</w:t>
      </w:r>
      <w:r>
        <w:rPr>
          <w:rFonts w:ascii="宋体" w:hAnsi="宋体" w:cs="宋体" w:eastAsia="宋体" w:hint="default"/>
        </w:rPr>
        <w:t>3</w:t>
      </w:r>
      <w:r>
        <w:rPr/>
        <w:t>月收到专利专项资助经费</w:t>
      </w:r>
      <w:r>
        <w:rPr>
          <w:rFonts w:ascii="宋体" w:hAnsi="宋体" w:cs="宋体" w:eastAsia="宋体" w:hint="default"/>
        </w:rPr>
        <w:t>8,600.00</w:t>
      </w:r>
      <w:r>
        <w:rPr/>
        <w:t>元，计入营业外收入。 </w:t>
      </w:r>
      <w:r>
        <w:rPr>
          <w:spacing w:val="-6"/>
        </w:rPr>
        <w:t>注</w:t>
      </w:r>
      <w:r>
        <w:rPr>
          <w:rFonts w:ascii="宋体" w:hAnsi="宋体" w:cs="宋体" w:eastAsia="宋体" w:hint="default"/>
          <w:spacing w:val="-6"/>
        </w:rPr>
        <w:t>32</w:t>
      </w:r>
      <w:r>
        <w:rPr>
          <w:spacing w:val="-6"/>
        </w:rPr>
        <w:t>：根据杭州市科学技术局发布的《关于下达</w:t>
      </w:r>
      <w:r>
        <w:rPr>
          <w:rFonts w:ascii="宋体" w:hAnsi="宋体" w:cs="宋体" w:eastAsia="宋体" w:hint="default"/>
          <w:spacing w:val="-6"/>
        </w:rPr>
        <w:t>2018</w:t>
      </w:r>
      <w:r>
        <w:rPr>
          <w:spacing w:val="-6"/>
        </w:rPr>
        <w:t>年国家重点扶持领域高新技术企业认定奖励计划的通知》（杭科高【</w:t>
      </w:r>
      <w:r>
        <w:rPr>
          <w:rFonts w:ascii="宋体" w:hAnsi="宋体" w:cs="宋体" w:eastAsia="宋体" w:hint="default"/>
          <w:spacing w:val="-6"/>
        </w:rPr>
        <w:t>2019</w:t>
      </w:r>
      <w:r>
        <w:rPr>
          <w:spacing w:val="-6"/>
        </w:rPr>
        <w:t>】</w:t>
      </w:r>
      <w:r>
        <w:rPr>
          <w:spacing w:val="-80"/>
        </w:rPr>
        <w:t> </w:t>
      </w:r>
      <w:r>
        <w:rPr>
          <w:rFonts w:ascii="宋体" w:hAnsi="宋体" w:cs="宋体" w:eastAsia="宋体" w:hint="default"/>
        </w:rPr>
        <w:t>75</w:t>
      </w:r>
      <w:r>
        <w:rPr/>
        <w:t>号），子公司健康宝互联网技术有限公司于</w:t>
      </w:r>
      <w:r>
        <w:rPr>
          <w:rFonts w:ascii="宋体" w:hAnsi="宋体" w:cs="宋体" w:eastAsia="宋体" w:hint="default"/>
        </w:rPr>
        <w:t>2019</w:t>
      </w:r>
      <w:r>
        <w:rPr/>
        <w:t>年</w:t>
      </w:r>
      <w:r>
        <w:rPr>
          <w:rFonts w:ascii="宋体" w:hAnsi="宋体" w:cs="宋体" w:eastAsia="宋体" w:hint="default"/>
        </w:rPr>
        <w:t>7</w:t>
      </w:r>
      <w:r>
        <w:rPr/>
        <w:t>月收到高新技术企业认定奖励</w:t>
      </w:r>
      <w:r>
        <w:rPr>
          <w:rFonts w:ascii="宋体" w:hAnsi="宋体" w:cs="宋体" w:eastAsia="宋体" w:hint="default"/>
        </w:rPr>
        <w:t>400,000.00</w:t>
      </w:r>
      <w:r>
        <w:rPr/>
        <w:t>元，计入营业外收入。 </w:t>
      </w:r>
      <w:r>
        <w:rPr>
          <w:spacing w:val="-2"/>
        </w:rPr>
        <w:t>注</w:t>
      </w:r>
      <w:r>
        <w:rPr>
          <w:rFonts w:ascii="宋体" w:hAnsi="宋体" w:cs="宋体" w:eastAsia="宋体" w:hint="default"/>
          <w:spacing w:val="-2"/>
        </w:rPr>
        <w:t>33</w:t>
      </w:r>
      <w:r>
        <w:rPr>
          <w:spacing w:val="-2"/>
        </w:rPr>
        <w:t>：根据杭州市科学技术委员会、杭州市财政局发布的《关于下达</w:t>
      </w:r>
      <w:r>
        <w:rPr>
          <w:rFonts w:ascii="宋体" w:hAnsi="宋体" w:cs="宋体" w:eastAsia="宋体" w:hint="default"/>
          <w:spacing w:val="-2"/>
        </w:rPr>
        <w:t>2018</w:t>
      </w:r>
      <w:r>
        <w:rPr>
          <w:spacing w:val="-2"/>
        </w:rPr>
        <w:t>年申报国家重点扶持领域高新技术企业补助资金的</w:t>
      </w:r>
      <w:r>
        <w:rPr>
          <w:spacing w:val="-63"/>
        </w:rPr>
        <w:t> </w:t>
      </w:r>
      <w:r>
        <w:rPr>
          <w:spacing w:val="-63"/>
        </w:rPr>
      </w:r>
      <w:r>
        <w:rPr>
          <w:spacing w:val="-2"/>
        </w:rPr>
        <w:t>通知》（杭科高【</w:t>
      </w:r>
      <w:r>
        <w:rPr>
          <w:rFonts w:ascii="宋体" w:hAnsi="宋体" w:cs="宋体" w:eastAsia="宋体" w:hint="default"/>
          <w:spacing w:val="-2"/>
        </w:rPr>
        <w:t>2018</w:t>
      </w:r>
      <w:r>
        <w:rPr>
          <w:spacing w:val="-2"/>
        </w:rPr>
        <w:t>】</w:t>
      </w:r>
      <w:r>
        <w:rPr>
          <w:rFonts w:ascii="宋体" w:hAnsi="宋体" w:cs="宋体" w:eastAsia="宋体" w:hint="default"/>
          <w:spacing w:val="-2"/>
        </w:rPr>
        <w:t>199</w:t>
      </w:r>
      <w:r>
        <w:rPr>
          <w:spacing w:val="-2"/>
        </w:rPr>
        <w:t>号、杭财教会【</w:t>
      </w:r>
      <w:r>
        <w:rPr>
          <w:rFonts w:ascii="宋体" w:hAnsi="宋体" w:cs="宋体" w:eastAsia="宋体" w:hint="default"/>
          <w:spacing w:val="-2"/>
        </w:rPr>
        <w:t>2018</w:t>
      </w:r>
      <w:r>
        <w:rPr>
          <w:spacing w:val="-2"/>
        </w:rPr>
        <w:t>】</w:t>
      </w:r>
      <w:r>
        <w:rPr>
          <w:rFonts w:ascii="宋体" w:hAnsi="宋体" w:cs="宋体" w:eastAsia="宋体" w:hint="default"/>
          <w:spacing w:val="-2"/>
        </w:rPr>
        <w:t>289</w:t>
      </w:r>
      <w:r>
        <w:rPr>
          <w:spacing w:val="-2"/>
        </w:rPr>
        <w:t>号），子公司健康宝互联网技术有限公司分别于</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2019</w:t>
      </w:r>
      <w:r>
        <w:rPr>
          <w:spacing w:val="-2"/>
        </w:rPr>
        <w:t>年</w:t>
      </w:r>
      <w:r>
        <w:rPr>
          <w:rFonts w:ascii="宋体" w:hAnsi="宋体" w:cs="宋体" w:eastAsia="宋体" w:hint="default"/>
          <w:spacing w:val="-2"/>
        </w:rPr>
        <w:t>3</w:t>
      </w:r>
      <w:r>
        <w:rPr>
          <w:rFonts w:ascii="宋体" w:hAnsi="宋体" w:cs="宋体" w:eastAsia="宋体" w:hint="default"/>
          <w:spacing w:val="-57"/>
        </w:rPr>
        <w:t> </w:t>
      </w:r>
      <w:r>
        <w:rPr/>
        <w:t>月收到高新技术企业补助资金共</w:t>
      </w:r>
      <w:r>
        <w:rPr>
          <w:rFonts w:ascii="宋体" w:hAnsi="宋体" w:cs="宋体" w:eastAsia="宋体" w:hint="default"/>
        </w:rPr>
        <w:t>200,000.00</w:t>
      </w:r>
      <w:r>
        <w:rPr/>
        <w:t>元</w:t>
      </w:r>
      <w:r>
        <w:rPr>
          <w:rFonts w:ascii="宋体" w:hAnsi="宋体" w:cs="宋体" w:eastAsia="宋体" w:hint="default"/>
        </w:rPr>
        <w:t>,</w:t>
      </w:r>
      <w:r>
        <w:rPr/>
        <w:t>计入营业外收入。 </w:t>
      </w:r>
      <w:r>
        <w:rPr>
          <w:spacing w:val="-2"/>
        </w:rPr>
        <w:t>注</w:t>
      </w:r>
      <w:r>
        <w:rPr>
          <w:rFonts w:ascii="宋体" w:hAnsi="宋体" w:cs="宋体" w:eastAsia="宋体" w:hint="default"/>
          <w:spacing w:val="-2"/>
        </w:rPr>
        <w:t>34</w:t>
      </w:r>
      <w:r>
        <w:rPr>
          <w:spacing w:val="-2"/>
        </w:rPr>
        <w:t>：根据厦门市人力资源和社会保障局发布的《厦门市人力资源和社会保障局厦门市财政局关于做好失业保险支持企业稳</w:t>
      </w:r>
      <w:r>
        <w:rPr>
          <w:spacing w:val="-63"/>
        </w:rPr>
        <w:t> </w:t>
      </w:r>
      <w:r>
        <w:rPr>
          <w:spacing w:val="-63"/>
        </w:rPr>
      </w:r>
      <w:r>
        <w:rPr/>
        <w:t>定岗位工作有关问题的通知》，公司于</w:t>
      </w:r>
      <w:r>
        <w:rPr>
          <w:rFonts w:ascii="宋体" w:hAnsi="宋体" w:cs="宋体" w:eastAsia="宋体" w:hint="default"/>
        </w:rPr>
        <w:t>2019</w:t>
      </w:r>
      <w:r>
        <w:rPr/>
        <w:t>年</w:t>
      </w:r>
      <w:r>
        <w:rPr>
          <w:rFonts w:ascii="宋体" w:hAnsi="宋体" w:cs="宋体" w:eastAsia="宋体" w:hint="default"/>
        </w:rPr>
        <w:t>5</w:t>
      </w:r>
      <w:r>
        <w:rPr/>
        <w:t>月收到社保补贴</w:t>
      </w:r>
      <w:r>
        <w:rPr>
          <w:rFonts w:ascii="宋体" w:hAnsi="宋体" w:cs="宋体" w:eastAsia="宋体" w:hint="default"/>
        </w:rPr>
        <w:t>8,721.40</w:t>
      </w:r>
      <w:r>
        <w:rPr/>
        <w:t>元，计入营业外收入。 注</w:t>
      </w:r>
      <w:r>
        <w:rPr>
          <w:rFonts w:ascii="宋体" w:hAnsi="宋体" w:cs="宋体" w:eastAsia="宋体" w:hint="default"/>
        </w:rPr>
        <w:t>35</w:t>
      </w:r>
      <w:r>
        <w:rPr/>
        <w:t>：根据厦门市人力资源和社会保障局发布的《厦门市财政局关于调整和规范</w:t>
      </w:r>
      <w:r>
        <w:rPr>
          <w:rFonts w:ascii="宋体" w:hAnsi="宋体" w:cs="宋体" w:eastAsia="宋体" w:hint="default"/>
        </w:rPr>
        <w:t>&lt;</w:t>
      </w:r>
      <w:r>
        <w:rPr/>
        <w:t>厦门市人力资源和社会保障局厦门市财政</w:t>
      </w:r>
      <w:r>
        <w:rPr>
          <w:spacing w:val="-83"/>
        </w:rPr>
        <w:t> </w:t>
      </w:r>
      <w:r>
        <w:rPr>
          <w:spacing w:val="-83"/>
        </w:rPr>
      </w:r>
      <w:r>
        <w:rPr>
          <w:spacing w:val="-2"/>
        </w:rPr>
        <w:t>局关于进一步做好促进本市居民就业和企业用工服务工作的若干意见</w:t>
      </w:r>
      <w:r>
        <w:rPr>
          <w:rFonts w:ascii="宋体" w:hAnsi="宋体" w:cs="宋体" w:eastAsia="宋体" w:hint="default"/>
          <w:spacing w:val="-2"/>
        </w:rPr>
        <w:t>&gt;</w:t>
      </w:r>
      <w:r>
        <w:rPr>
          <w:spacing w:val="-2"/>
        </w:rPr>
        <w:t>执行口径的通知》（厦人社〔</w:t>
      </w:r>
      <w:r>
        <w:rPr>
          <w:rFonts w:ascii="宋体" w:hAnsi="宋体" w:cs="宋体" w:eastAsia="宋体" w:hint="default"/>
          <w:spacing w:val="-2"/>
        </w:rPr>
        <w:t>2015</w:t>
      </w:r>
      <w:r>
        <w:rPr>
          <w:spacing w:val="-2"/>
        </w:rPr>
        <w:t>〕</w:t>
      </w:r>
      <w:r>
        <w:rPr>
          <w:rFonts w:ascii="宋体" w:hAnsi="宋体" w:cs="宋体" w:eastAsia="宋体" w:hint="default"/>
          <w:spacing w:val="-2"/>
        </w:rPr>
        <w:t>148</w:t>
      </w:r>
      <w:r>
        <w:rPr>
          <w:spacing w:val="-2"/>
        </w:rPr>
        <w:t>号），公司分</w:t>
      </w:r>
      <w:r>
        <w:rPr>
          <w:spacing w:val="-60"/>
        </w:rPr>
        <w:t> </w:t>
      </w:r>
      <w:r>
        <w:rPr>
          <w:spacing w:val="-60"/>
        </w:rPr>
      </w:r>
      <w:r>
        <w:rPr/>
        <w:t>别于</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2019</w:t>
      </w:r>
      <w:r>
        <w:rPr/>
        <w:t>年</w:t>
      </w:r>
      <w:r>
        <w:rPr>
          <w:rFonts w:ascii="宋体" w:hAnsi="宋体" w:cs="宋体" w:eastAsia="宋体" w:hint="default"/>
        </w:rPr>
        <w:t>10</w:t>
      </w:r>
      <w:r>
        <w:rPr/>
        <w:t>月收到应届生补贴共</w:t>
      </w:r>
      <w:r>
        <w:rPr>
          <w:rFonts w:ascii="宋体" w:hAnsi="宋体" w:cs="宋体" w:eastAsia="宋体" w:hint="default"/>
        </w:rPr>
        <w:t>10,324.80</w:t>
      </w:r>
      <w:r>
        <w:rPr/>
        <w:t>元，计入营业外收入。 注</w:t>
      </w:r>
      <w:r>
        <w:rPr>
          <w:rFonts w:ascii="宋体" w:hAnsi="宋体" w:cs="宋体" w:eastAsia="宋体" w:hint="default"/>
        </w:rPr>
        <w:t>36</w:t>
      </w:r>
      <w:r>
        <w:rPr/>
        <w:t>：根据昆明市财政局发布的《昆明市财政局关于下达</w:t>
      </w:r>
      <w:r>
        <w:rPr>
          <w:rFonts w:ascii="宋体" w:hAnsi="宋体" w:cs="宋体" w:eastAsia="宋体" w:hint="default"/>
        </w:rPr>
        <w:t>2018</w:t>
      </w:r>
      <w:r>
        <w:rPr/>
        <w:t>年中央财政小微企业创新创业基地城市示范专项资金的通知》</w:t>
      </w:r>
    </w:p>
    <w:p>
      <w:pPr>
        <w:pStyle w:val="BodyText"/>
        <w:spacing w:line="316" w:lineRule="auto" w:before="19"/>
        <w:ind w:right="1119"/>
        <w:jc w:val="left"/>
      </w:pPr>
      <w:r>
        <w:rPr/>
        <w:t>（昆财产业【</w:t>
      </w:r>
      <w:r>
        <w:rPr>
          <w:rFonts w:ascii="宋体" w:hAnsi="宋体" w:cs="宋体" w:eastAsia="宋体" w:hint="default"/>
        </w:rPr>
        <w:t>2018</w:t>
      </w:r>
      <w:r>
        <w:rPr/>
        <w:t>】</w:t>
      </w:r>
      <w:r>
        <w:rPr>
          <w:rFonts w:ascii="宋体" w:hAnsi="宋体" w:cs="宋体" w:eastAsia="宋体" w:hint="default"/>
        </w:rPr>
        <w:t>305</w:t>
      </w:r>
      <w:r>
        <w:rPr/>
        <w:t>号），公司于</w:t>
      </w:r>
      <w:r>
        <w:rPr>
          <w:rFonts w:ascii="宋体" w:hAnsi="宋体" w:cs="宋体" w:eastAsia="宋体" w:hint="default"/>
        </w:rPr>
        <w:t>2019</w:t>
      </w:r>
      <w:r>
        <w:rPr/>
        <w:t>年</w:t>
      </w:r>
      <w:r>
        <w:rPr>
          <w:rFonts w:ascii="宋体" w:hAnsi="宋体" w:cs="宋体" w:eastAsia="宋体" w:hint="default"/>
        </w:rPr>
        <w:t>1</w:t>
      </w:r>
      <w:r>
        <w:rPr/>
        <w:t>月收到专项补贴</w:t>
      </w:r>
      <w:r>
        <w:rPr>
          <w:rFonts w:ascii="宋体" w:hAnsi="宋体" w:cs="宋体" w:eastAsia="宋体" w:hint="default"/>
        </w:rPr>
        <w:t>300,000.00</w:t>
      </w:r>
      <w:r>
        <w:rPr/>
        <w:t>元</w:t>
      </w:r>
      <w:r>
        <w:rPr>
          <w:rFonts w:ascii="宋体" w:hAnsi="宋体" w:cs="宋体" w:eastAsia="宋体" w:hint="default"/>
        </w:rPr>
        <w:t>,</w:t>
      </w:r>
      <w:r>
        <w:rPr/>
        <w:t>计入营业外收入。 </w:t>
      </w:r>
      <w:r>
        <w:rPr>
          <w:spacing w:val="-2"/>
        </w:rPr>
        <w:t>注</w:t>
      </w:r>
      <w:r>
        <w:rPr>
          <w:rFonts w:ascii="宋体" w:hAnsi="宋体" w:cs="宋体" w:eastAsia="宋体" w:hint="default"/>
          <w:spacing w:val="-2"/>
        </w:rPr>
        <w:t>37</w:t>
      </w:r>
      <w:r>
        <w:rPr>
          <w:spacing w:val="-2"/>
        </w:rPr>
        <w:t>：根据杭州市西湖区科技局、杭州市西湖区财政局发布的《关于下达西湖区</w:t>
      </w:r>
      <w:r>
        <w:rPr>
          <w:rFonts w:ascii="宋体" w:hAnsi="宋体" w:cs="宋体" w:eastAsia="宋体" w:hint="default"/>
          <w:spacing w:val="-2"/>
        </w:rPr>
        <w:t>2018</w:t>
      </w:r>
      <w:r>
        <w:rPr>
          <w:spacing w:val="-2"/>
        </w:rPr>
        <w:t>年科技经费资助计划（第十一批）的通</w:t>
      </w:r>
      <w:r>
        <w:rPr>
          <w:spacing w:val="-64"/>
        </w:rPr>
        <w:t> </w:t>
      </w:r>
      <w:r>
        <w:rPr>
          <w:spacing w:val="-64"/>
        </w:rPr>
      </w:r>
      <w:r>
        <w:rPr>
          <w:spacing w:val="-2"/>
        </w:rPr>
        <w:t>知》（西科【</w:t>
      </w:r>
      <w:r>
        <w:rPr>
          <w:rFonts w:ascii="宋体" w:hAnsi="宋体" w:cs="宋体" w:eastAsia="宋体" w:hint="default"/>
          <w:spacing w:val="-2"/>
        </w:rPr>
        <w:t>2018</w:t>
      </w:r>
      <w:r>
        <w:rPr>
          <w:spacing w:val="-2"/>
        </w:rPr>
        <w:t>】</w:t>
      </w:r>
      <w:r>
        <w:rPr>
          <w:rFonts w:ascii="宋体" w:hAnsi="宋体" w:cs="宋体" w:eastAsia="宋体" w:hint="default"/>
          <w:spacing w:val="-2"/>
        </w:rPr>
        <w:t>86</w:t>
      </w:r>
      <w:r>
        <w:rPr>
          <w:spacing w:val="-2"/>
        </w:rPr>
        <w:t>号），子公司浙江银江云计算技术有限公司于</w:t>
      </w:r>
      <w:r>
        <w:rPr>
          <w:rFonts w:ascii="宋体" w:hAnsi="宋体" w:cs="宋体" w:eastAsia="宋体" w:hint="default"/>
          <w:spacing w:val="-2"/>
        </w:rPr>
        <w:t>2019</w:t>
      </w:r>
      <w:r>
        <w:rPr>
          <w:spacing w:val="-2"/>
        </w:rPr>
        <w:t>年</w:t>
      </w:r>
      <w:r>
        <w:rPr>
          <w:rFonts w:ascii="宋体" w:hAnsi="宋体" w:cs="宋体" w:eastAsia="宋体" w:hint="default"/>
          <w:spacing w:val="-2"/>
        </w:rPr>
        <w:t>2</w:t>
      </w:r>
      <w:r>
        <w:rPr>
          <w:spacing w:val="-2"/>
        </w:rPr>
        <w:t>月收到科技经费资助</w:t>
      </w:r>
      <w:r>
        <w:rPr>
          <w:rFonts w:ascii="宋体" w:hAnsi="宋体" w:cs="宋体" w:eastAsia="宋体" w:hint="default"/>
          <w:spacing w:val="-2"/>
        </w:rPr>
        <w:t>82,700.00</w:t>
      </w:r>
      <w:r>
        <w:rPr>
          <w:spacing w:val="-2"/>
        </w:rPr>
        <w:t>元，计入营业外</w:t>
      </w:r>
      <w:r>
        <w:rPr>
          <w:spacing w:val="-50"/>
        </w:rPr>
        <w:t> </w:t>
      </w:r>
      <w:r>
        <w:rPr>
          <w:spacing w:val="-50"/>
        </w:rPr>
      </w:r>
      <w:r>
        <w:rPr/>
        <w:t>收入。</w:t>
      </w:r>
    </w:p>
    <w:p>
      <w:pPr>
        <w:pStyle w:val="BodyText"/>
        <w:spacing w:line="240" w:lineRule="auto" w:before="19"/>
        <w:ind w:right="1133"/>
        <w:jc w:val="left"/>
      </w:pPr>
      <w:r>
        <w:rPr/>
        <w:t>注</w:t>
      </w:r>
      <w:r>
        <w:rPr>
          <w:rFonts w:ascii="宋体" w:hAnsi="宋体" w:cs="宋体" w:eastAsia="宋体" w:hint="default"/>
        </w:rPr>
        <w:t>38</w:t>
      </w:r>
      <w:r>
        <w:rPr/>
        <w:t>：详见本附注七、</w:t>
      </w:r>
      <w:r>
        <w:rPr>
          <w:rFonts w:ascii="宋体" w:hAnsi="宋体" w:cs="宋体" w:eastAsia="宋体" w:hint="default"/>
        </w:rPr>
        <w:t>51</w:t>
      </w:r>
      <w:r>
        <w:rPr/>
        <w:t>。</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75、营业外支出" w:id="377"/>
      <w:bookmarkEnd w:id="377"/>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487,929.78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487,929.78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124,912.83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291,090.33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124,912.83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712,842.61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291,090.33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712,842.61</w:t>
            </w:r>
          </w:p>
        </w:tc>
      </w:tr>
    </w:tbl>
    <w:p>
      <w:pPr>
        <w:pStyle w:val="BodyText"/>
        <w:spacing w:line="240" w:lineRule="auto" w:before="49"/>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76、所得税费用" w:id="378"/>
      <w:bookmarkEnd w:id="378"/>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所得税费用表" w:id="379"/>
      <w:bookmarkEnd w:id="37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-16,670,024.74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55,106,173.38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38,028,105.22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-33,414,063.30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21,358,080.48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21,692,110.08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会计利润与所得税费用调整过程" w:id="380"/>
      <w:bookmarkEnd w:id="38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933"/>
        <w:gridCol w:w="3626"/>
      </w:tblGrid>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6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166,259,643.40</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6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24,938,946.51</w:t>
            </w: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6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-130,520.27</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6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1,621,358.28</w:t>
            </w: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6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-3,510,535.46</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6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2,091,194.91</w:t>
            </w: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6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6,870,641.82</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税率调整导致年初递延所得税资产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3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777,172.81</w:t>
            </w: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按照税法规定可以额外税前扣除的部分影响</w:t>
            </w:r>
          </w:p>
        </w:tc>
        <w:tc>
          <w:tcPr>
            <w:tcW w:w="3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-11,674,784.28</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外地预缴所得税额的影响</w:t>
            </w:r>
          </w:p>
        </w:tc>
        <w:tc>
          <w:tcPr>
            <w:tcW w:w="3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374,606.16</w:t>
            </w: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6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21,358,080.48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spacing w:line="547" w:lineRule="auto" w:before="120"/>
        <w:ind w:left="152" w:right="8857" w:firstLine="0"/>
        <w:jc w:val="left"/>
        <w:rPr>
          <w:rFonts w:ascii="宋体" w:hAnsi="宋体" w:cs="宋体" w:eastAsia="宋体" w:hint="default"/>
          <w:sz w:val="21"/>
          <w:szCs w:val="21"/>
        </w:rPr>
      </w:pPr>
      <w:bookmarkStart w:name="77、其他综合收益" w:id="381"/>
      <w:bookmarkEnd w:id="381"/>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8、现金流量表项目" w:id="382"/>
      <w:bookmarkEnd w:id="382"/>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1133"/>
        <w:jc w:val="left"/>
        <w:rPr>
          <w:b w:val="0"/>
          <w:bCs w:val="0"/>
        </w:rPr>
      </w:pPr>
      <w:bookmarkStart w:name="（1）收到的其他与经营活动有关的现金" w:id="383"/>
      <w:bookmarkEnd w:id="38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9,391,979.20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2,360,976.20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政府奖励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75,202.51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108,369.07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8,999,539.77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11,194,318.98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收回暂付款及收到暂收款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188,804,707.58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245,798,765.54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收回经营性保证金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46,484,871.11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63,737,215.37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经营性租赁租金收入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12,838,297.93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5,152,772.30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咨询费收入</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3,481,132.09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其他零星收入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162,895.12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63,561.64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267,297,493.22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333,857,111.19</w:t>
            </w:r>
          </w:p>
        </w:tc>
      </w:tr>
    </w:tbl>
    <w:p>
      <w:pPr>
        <w:pStyle w:val="BodyText"/>
        <w:spacing w:line="240" w:lineRule="auto" w:before="49"/>
        <w:ind w:right="1133"/>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支付的其他与经营活动有关的现金" w:id="384"/>
      <w:bookmarkEnd w:id="38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6,720,004.92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10,834,712.67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4,269,406.46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7,672,223.74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8,321,608.53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9,244,047.69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17,628,550.39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20,152,308.10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广告及业务宣传费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1,561,870.62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1,446,780.38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1,102,776.77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1,750,538.53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2,510,431.93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2,891,029.28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10,850,771.95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8,212,511.20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2,742,289.28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3,129,785.41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5,659,289.64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6,107,667.20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项目维护费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14,482,168.81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9,131,770.15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853,598.96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1,148,424.72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支付暂收款及支付暂付款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173,578,597.93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207,679,599.43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委托开发费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52,782,061.95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36,124,581.23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研发材料费用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6,427,832.09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11,183,450.07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知识产权费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233,459.75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655,262.51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合作开发费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117,811.58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2,350,620.17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支付经营性保证金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22,704,075.22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67,840,329.87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其他零星费用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8,299,974.93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11,497,545.36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340,846,581.71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419,053,187.71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收到的其他与投资活动有关的现金" w:id="385"/>
      <w:bookmarkEnd w:id="385"/>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李欣业绩补偿款收回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6,562,861.86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3,830,576.75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6,562,861.86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3,830,576.75</w:t>
            </w:r>
          </w:p>
        </w:tc>
      </w:tr>
    </w:tbl>
    <w:p>
      <w:pPr>
        <w:pStyle w:val="BodyText"/>
        <w:spacing w:line="240" w:lineRule="auto" w:before="49"/>
        <w:ind w:right="1133"/>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支付的其他与投资活动有关的现金" w:id="386"/>
      <w:bookmarkEnd w:id="386"/>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5）收到的其他与筹资活动有关的现金" w:id="387"/>
      <w:bookmarkEnd w:id="387"/>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04"/>
        <w:gridCol w:w="3118"/>
        <w:gridCol w:w="3049"/>
      </w:tblGrid>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本期收回的与筹资活动相关银行保证金等</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63,558,151.54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78,752,162.21</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63,558,151.54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78,752,162.21</w:t>
            </w:r>
          </w:p>
        </w:tc>
      </w:tr>
    </w:tbl>
    <w:p>
      <w:pPr>
        <w:pStyle w:val="BodyText"/>
        <w:spacing w:line="240" w:lineRule="auto" w:before="49"/>
        <w:ind w:right="1133"/>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支付的其他与筹资活动有关的现金" w:id="388"/>
      <w:bookmarkEnd w:id="388"/>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04"/>
        <w:gridCol w:w="3118"/>
        <w:gridCol w:w="3049"/>
      </w:tblGrid>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本期支出的与筹资活动相关银行保证金等</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85,787,767.77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71,636,524.58</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85,787,767.77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71,636,524.58</w:t>
            </w:r>
          </w:p>
        </w:tc>
      </w:tr>
    </w:tbl>
    <w:p>
      <w:pPr>
        <w:pStyle w:val="BodyText"/>
        <w:spacing w:line="240" w:lineRule="auto" w:before="49"/>
        <w:ind w:right="1133"/>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79、现金流量表补充资料" w:id="389"/>
      <w:bookmarkEnd w:id="389"/>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现金流量表补充资料" w:id="390"/>
      <w:bookmarkEnd w:id="39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73"/>
        <w:gridCol w:w="2704"/>
        <w:gridCol w:w="2482"/>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144,901,562.92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23,071,614.20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-6,427,072.34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268,839,680.37</w:t>
            </w:r>
          </w:p>
        </w:tc>
      </w:tr>
      <w:tr>
        <w:trPr>
          <w:trHeight w:val="71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产折旧</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24,252,449.41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18,288,755.42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73"/>
        <w:gridCol w:w="2704"/>
        <w:gridCol w:w="2482"/>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19,096,876.43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12,335,468.61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2,405,200.65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1,788,809.97</w:t>
            </w:r>
          </w:p>
        </w:tc>
      </w:tr>
      <w:tr>
        <w:trPr>
          <w:trHeight w:val="71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8"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 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-5,009,984.13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4,696.21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487,929.78</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77,612,674.37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62,272,090.87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-20,446,308.78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-93,196,542.45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38,028,105.22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-35,244,027.62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1,829,964.32</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-76,681,221.16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-128,958,205.93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9"/>
              <w:jc w:val="right"/>
              <w:rPr>
                <w:rFonts w:ascii="宋体" w:hAnsi="宋体" w:cs="宋体" w:eastAsia="宋体" w:hint="default"/>
                <w:sz w:val="18"/>
                <w:szCs w:val="18"/>
              </w:rPr>
            </w:pPr>
            <w:r>
              <w:rPr>
                <w:rFonts w:ascii="宋体" w:hAnsi="宋体" w:cs="宋体" w:eastAsia="宋体" w:hint="default"/>
                <w:spacing w:val="-1"/>
                <w:sz w:val="18"/>
                <w:szCs w:val="18"/>
              </w:rPr>
              <w:t>经营性应收项目的减少（增加以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-67,710,316.61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-252,928,186.02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
              <w:jc w:val="right"/>
              <w:rPr>
                <w:rFonts w:ascii="宋体" w:hAnsi="宋体" w:cs="宋体" w:eastAsia="宋体" w:hint="default"/>
                <w:sz w:val="18"/>
                <w:szCs w:val="18"/>
              </w:rPr>
            </w:pPr>
            <w:r>
              <w:rPr>
                <w:rFonts w:ascii="宋体" w:hAnsi="宋体" w:cs="宋体" w:eastAsia="宋体" w:hint="default"/>
                <w:spacing w:val="-1"/>
                <w:sz w:val="18"/>
                <w:szCs w:val="18"/>
              </w:rPr>
              <w:t>经营性应付项目的增加（减少以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-282,007,818.40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119,100,828.38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31,415,674.65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16,088,150.03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-120,082,247.99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13,293,096.36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92" w:right="0"/>
              <w:jc w:val="left"/>
              <w:rPr>
                <w:rFonts w:ascii="Times New Roman" w:hAnsi="Times New Roman" w:cs="Times New Roman" w:eastAsia="Times New Roman" w:hint="default"/>
                <w:sz w:val="18"/>
                <w:szCs w:val="18"/>
              </w:rPr>
            </w:pPr>
            <w:r>
              <w:rPr>
                <w:rFonts w:ascii="Times New Roman"/>
                <w:sz w:val="18"/>
              </w:rPr>
              <w:t>--</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7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92" w:right="0"/>
              <w:jc w:val="left"/>
              <w:rPr>
                <w:rFonts w:ascii="Times New Roman" w:hAnsi="Times New Roman" w:cs="Times New Roman" w:eastAsia="Times New Roman" w:hint="default"/>
                <w:sz w:val="18"/>
                <w:szCs w:val="18"/>
              </w:rPr>
            </w:pPr>
            <w:r>
              <w:rPr>
                <w:rFonts w:ascii="Times New Roman"/>
                <w:sz w:val="18"/>
              </w:rPr>
              <w:t>--</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7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561,039,553.87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604,309,223.92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604,309,223.92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1,128,651,737.06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-43,269,670.05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-524,342,513.14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本期支付的取得子公司的现金净额" w:id="391"/>
      <w:bookmarkEnd w:id="391"/>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本期收到的处置子公司的现金净额" w:id="392"/>
      <w:bookmarkEnd w:id="392"/>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65"/>
        <w:gridCol w:w="4593"/>
      </w:tblGrid>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2,666,536.18</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浙江银江云计算技术有限公司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1,243,439.81</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浙江智尔信息技术有限公司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1,423,096.37</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浙江贤谷互联网技术有限公司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北京四海商达科技发展有限公司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银江（宁波）物联网技术有限公司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38,333,463.82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现金和现金等价物的构成" w:id="393"/>
      <w:bookmarkEnd w:id="393"/>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561,039,553.87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604,309,223.92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39,944.84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56,517.39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560,959,657.27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604,252,706.53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39,951.76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561,039,553.87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604,309,223.92</w:t>
            </w:r>
          </w:p>
        </w:tc>
      </w:tr>
    </w:tbl>
    <w:p>
      <w:pPr>
        <w:pStyle w:val="BodyText"/>
        <w:spacing w:line="360" w:lineRule="auto" w:before="49"/>
        <w:ind w:right="4094"/>
        <w:jc w:val="left"/>
      </w:pPr>
      <w:r>
        <w:rPr/>
        <w:t>其他说明： 注：现金和现金等价物不含母公司或集团内子公司使用受限制的现金和现金等价物。</w:t>
      </w:r>
    </w:p>
    <w:p>
      <w:pPr>
        <w:spacing w:line="240" w:lineRule="auto" w:before="4"/>
        <w:rPr>
          <w:rFonts w:ascii="宋体" w:hAnsi="宋体" w:cs="宋体" w:eastAsia="宋体" w:hint="default"/>
          <w:sz w:val="20"/>
          <w:szCs w:val="20"/>
        </w:rPr>
      </w:pPr>
    </w:p>
    <w:p>
      <w:pPr>
        <w:spacing w:line="544" w:lineRule="auto" w:before="0"/>
        <w:ind w:left="152" w:right="5374" w:firstLine="0"/>
        <w:jc w:val="left"/>
        <w:rPr>
          <w:rFonts w:ascii="宋体" w:hAnsi="宋体" w:cs="宋体" w:eastAsia="宋体" w:hint="default"/>
          <w:sz w:val="21"/>
          <w:szCs w:val="21"/>
        </w:rPr>
      </w:pPr>
      <w:bookmarkStart w:name="80、所有者权益变动表项目注释" w:id="394"/>
      <w:bookmarkEnd w:id="394"/>
      <w:r>
        <w:rPr/>
      </w:r>
      <w:r>
        <w:rPr>
          <w:rFonts w:ascii="Times New Roman" w:hAnsi="Times New Roman" w:cs="Times New Roman" w:eastAsia="Times New Roman" w:hint="default"/>
          <w:b/>
          <w:bCs/>
          <w:sz w:val="21"/>
          <w:szCs w:val="21"/>
        </w:rPr>
        <w:t>80</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81、所有权或使用权受到限制的资产" w:id="395"/>
      <w:bookmarkEnd w:id="395"/>
      <w:r>
        <w:rPr>
          <w:rFonts w:ascii="宋体" w:hAnsi="宋体" w:cs="宋体" w:eastAsia="宋体" w:hint="default"/>
          <w:sz w:val="18"/>
          <w:szCs w:val="18"/>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9"/>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5"/>
        <w:gridCol w:w="3058"/>
        <w:gridCol w:w="3185"/>
      </w:tblGrid>
      <w:tr>
        <w:trPr>
          <w:trHeight w:val="403"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73,182,403.56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保证金、质押定期存款等</w:t>
            </w:r>
          </w:p>
        </w:tc>
      </w:tr>
      <w:tr>
        <w:trPr>
          <w:trHeight w:val="403"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6,525,921.14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用于抵押的房屋建筑物</w:t>
            </w:r>
          </w:p>
        </w:tc>
      </w:tr>
      <w:tr>
        <w:trPr>
          <w:trHeight w:val="401"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81,018,809.00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用于质押的应收账款</w:t>
            </w:r>
          </w:p>
        </w:tc>
      </w:tr>
      <w:tr>
        <w:trPr>
          <w:trHeight w:val="40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4,033,821.81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用于抵押的房屋建筑物</w:t>
            </w:r>
          </w:p>
        </w:tc>
      </w:tr>
      <w:tr>
        <w:trPr>
          <w:trHeight w:val="401"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164,760,955.51</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6254"/>
        <w:jc w:val="left"/>
      </w:pPr>
      <w:r>
        <w:rPr/>
        <w:t>其他说明： 注</w:t>
      </w:r>
      <w:r>
        <w:rPr>
          <w:rFonts w:ascii="宋体" w:hAnsi="宋体" w:cs="宋体" w:eastAsia="宋体" w:hint="default"/>
        </w:rPr>
        <w:t>1</w:t>
      </w:r>
      <w:r>
        <w:rPr/>
        <w:t>：年末使用权受限制的货币资金情况详见附注七、</w:t>
      </w:r>
      <w:r>
        <w:rPr>
          <w:rFonts w:ascii="宋体" w:hAnsi="宋体" w:cs="宋体" w:eastAsia="宋体" w:hint="default"/>
        </w:rPr>
        <w:t>1</w:t>
      </w:r>
      <w:r>
        <w:rPr/>
        <w:t>。</w:t>
      </w:r>
    </w:p>
    <w:p>
      <w:pPr>
        <w:pStyle w:val="BodyText"/>
        <w:spacing w:line="222" w:lineRule="exact"/>
        <w:ind w:right="1133"/>
        <w:jc w:val="left"/>
      </w:pPr>
      <w:r>
        <w:rPr>
          <w:spacing w:val="-5"/>
        </w:rPr>
        <w:t>注</w:t>
      </w:r>
      <w:r>
        <w:rPr>
          <w:rFonts w:ascii="宋体" w:hAnsi="宋体" w:cs="宋体" w:eastAsia="宋体" w:hint="default"/>
          <w:spacing w:val="-5"/>
        </w:rPr>
        <w:t>2</w:t>
      </w:r>
      <w:r>
        <w:rPr>
          <w:spacing w:val="-5"/>
        </w:rPr>
        <w:t>：截至</w:t>
      </w:r>
      <w:r>
        <w:rPr>
          <w:rFonts w:ascii="宋体" w:hAnsi="宋体" w:cs="宋体" w:eastAsia="宋体" w:hint="default"/>
          <w:spacing w:val="-5"/>
        </w:rPr>
        <w:t>2019</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日，公司与中国工商银行股份有限公司杭州庆春路支行签订了编号为</w:t>
      </w:r>
      <w:r>
        <w:rPr>
          <w:rFonts w:ascii="宋体" w:hAnsi="宋体" w:cs="宋体" w:eastAsia="宋体" w:hint="default"/>
          <w:spacing w:val="-5"/>
        </w:rPr>
        <w:t>2019</w:t>
      </w:r>
      <w:r>
        <w:rPr>
          <w:spacing w:val="-5"/>
        </w:rPr>
        <w:t>年（庆春）字</w:t>
      </w:r>
      <w:r>
        <w:rPr>
          <w:rFonts w:ascii="宋体" w:hAnsi="宋体" w:cs="宋体" w:eastAsia="宋体" w:hint="default"/>
          <w:spacing w:val="-5"/>
        </w:rPr>
        <w:t>00027</w:t>
      </w:r>
      <w:r>
        <w:rPr>
          <w:spacing w:val="-5"/>
        </w:rPr>
        <w:t>号的《流</w:t>
      </w:r>
    </w:p>
    <w:p>
      <w:pPr>
        <w:spacing w:after="0" w:line="222" w:lineRule="exact"/>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24"/>
        <w:jc w:val="left"/>
      </w:pPr>
      <w:r>
        <w:rPr>
          <w:spacing w:val="-4"/>
        </w:rPr>
        <w:t>动资金贷款合同》，以账面价值为人民币</w:t>
      </w:r>
      <w:r>
        <w:rPr>
          <w:rFonts w:ascii="宋体" w:hAnsi="宋体" w:cs="宋体" w:eastAsia="宋体" w:hint="default"/>
          <w:spacing w:val="-4"/>
        </w:rPr>
        <w:t>81,018,809.00</w:t>
      </w:r>
      <w:r>
        <w:rPr>
          <w:spacing w:val="-4"/>
        </w:rPr>
        <w:t>元的应收账款作为质押物，为公司在该行金额为</w:t>
      </w:r>
      <w:r>
        <w:rPr>
          <w:rFonts w:ascii="宋体" w:hAnsi="宋体" w:cs="宋体" w:eastAsia="宋体" w:hint="default"/>
          <w:spacing w:val="-4"/>
        </w:rPr>
        <w:t>70,000,000.00</w:t>
      </w:r>
      <w:r>
        <w:rPr>
          <w:spacing w:val="-4"/>
        </w:rPr>
        <w:t>元（期</w:t>
      </w:r>
      <w:r>
        <w:rPr/>
        <w:t> 限为</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29</w:t>
      </w:r>
      <w:r>
        <w:rPr/>
        <w:t>日至</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24</w:t>
      </w:r>
      <w:r>
        <w:rPr/>
        <w:t>日）的短期借款提供担保。 注</w:t>
      </w:r>
      <w:r>
        <w:rPr>
          <w:rFonts w:ascii="宋体" w:hAnsi="宋体" w:cs="宋体" w:eastAsia="宋体" w:hint="default"/>
        </w:rPr>
        <w:t>3</w:t>
      </w:r>
      <w:r>
        <w:rPr/>
        <w:t>：期末所有权受限制的投资性房地产和固定资产为因本公司借款需要而抵押给银行导致，详细情况如下：</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28</w:t>
      </w:r>
      <w:r>
        <w:rPr>
          <w:rFonts w:ascii="宋体" w:hAnsi="宋体" w:cs="宋体" w:eastAsia="宋体" w:hint="default"/>
          <w:spacing w:val="1"/>
        </w:rPr>
        <w:t> </w:t>
      </w:r>
      <w:r>
        <w:rPr>
          <w:spacing w:val="-2"/>
        </w:rPr>
        <w:t>日，公司与中国工商银行杭州庆春路支行签订了编号为《</w:t>
      </w:r>
      <w:r>
        <w:rPr>
          <w:rFonts w:ascii="宋体" w:hAnsi="宋体" w:cs="宋体" w:eastAsia="宋体" w:hint="default"/>
          <w:spacing w:val="-2"/>
        </w:rPr>
        <w:t>2019</w:t>
      </w:r>
      <w:r>
        <w:rPr>
          <w:spacing w:val="-2"/>
        </w:rPr>
        <w:t>年庆春（抵）字</w:t>
      </w:r>
      <w:r>
        <w:rPr>
          <w:rFonts w:ascii="宋体" w:hAnsi="宋体" w:cs="宋体" w:eastAsia="宋体" w:hint="default"/>
          <w:spacing w:val="-2"/>
        </w:rPr>
        <w:t>0017</w:t>
      </w:r>
      <w:r>
        <w:rPr>
          <w:spacing w:val="-2"/>
        </w:rPr>
        <w:t>号》的《最高额抵押合同》，以截至</w:t>
      </w:r>
      <w:r>
        <w:rPr>
          <w:rFonts w:ascii="宋体" w:hAnsi="宋体" w:cs="宋体" w:eastAsia="宋体" w:hint="default"/>
          <w:spacing w:val="-2"/>
        </w:rPr>
        <w:t>2019</w:t>
      </w:r>
      <w:r>
        <w:rPr>
          <w:rFonts w:ascii="宋体" w:hAnsi="宋体" w:cs="宋体" w:eastAsia="宋体" w:hint="default"/>
          <w:spacing w:val="-63"/>
        </w:rPr>
        <w:t> </w:t>
      </w:r>
      <w:r>
        <w:rPr>
          <w:rFonts w:ascii="宋体" w:hAnsi="宋体" w:cs="宋体" w:eastAsia="宋体" w:hint="default"/>
          <w:spacing w:val="-63"/>
        </w:rPr>
      </w:r>
      <w:r>
        <w:rPr/>
        <w:t>年</w:t>
      </w:r>
      <w:r>
        <w:rPr>
          <w:spacing w:val="-67"/>
        </w:rPr>
        <w:t> </w:t>
      </w:r>
      <w:r>
        <w:rPr>
          <w:rFonts w:ascii="宋体" w:hAnsi="宋体" w:cs="宋体" w:eastAsia="宋体" w:hint="default"/>
        </w:rPr>
        <w:t>12</w:t>
      </w:r>
      <w:r>
        <w:rPr>
          <w:rFonts w:ascii="宋体" w:hAnsi="宋体" w:cs="宋体" w:eastAsia="宋体" w:hint="default"/>
          <w:spacing w:val="-67"/>
        </w:rPr>
        <w:t> </w:t>
      </w:r>
      <w:r>
        <w:rPr/>
        <w:t>月</w:t>
      </w:r>
      <w:r>
        <w:rPr>
          <w:spacing w:val="-71"/>
        </w:rPr>
        <w:t> </w:t>
      </w:r>
      <w:r>
        <w:rPr>
          <w:rFonts w:ascii="宋体" w:hAnsi="宋体" w:cs="宋体" w:eastAsia="宋体" w:hint="default"/>
        </w:rPr>
        <w:t>31</w:t>
      </w:r>
      <w:r>
        <w:rPr>
          <w:rFonts w:ascii="宋体" w:hAnsi="宋体" w:cs="宋体" w:eastAsia="宋体" w:hint="default"/>
          <w:spacing w:val="-67"/>
        </w:rPr>
        <w:t> </w:t>
      </w:r>
      <w:r>
        <w:rPr>
          <w:spacing w:val="18"/>
        </w:rPr>
        <w:t>日公司所有的原值为</w:t>
      </w:r>
      <w:r>
        <w:rPr>
          <w:spacing w:val="-68"/>
        </w:rPr>
        <w:t> </w:t>
      </w:r>
      <w:r>
        <w:rPr>
          <w:rFonts w:ascii="宋体" w:hAnsi="宋体" w:cs="宋体" w:eastAsia="宋体" w:hint="default"/>
        </w:rPr>
        <w:t>8,518,409.00</w:t>
      </w:r>
      <w:r>
        <w:rPr>
          <w:rFonts w:ascii="宋体" w:hAnsi="宋体" w:cs="宋体" w:eastAsia="宋体" w:hint="default"/>
          <w:spacing w:val="-65"/>
        </w:rPr>
        <w:t> </w:t>
      </w:r>
      <w:r>
        <w:rPr>
          <w:spacing w:val="16"/>
        </w:rPr>
        <w:t>元，净值为</w:t>
      </w:r>
      <w:r>
        <w:rPr>
          <w:spacing w:val="-71"/>
        </w:rPr>
        <w:t> </w:t>
      </w:r>
      <w:r>
        <w:rPr>
          <w:rFonts w:ascii="宋体" w:hAnsi="宋体" w:cs="宋体" w:eastAsia="宋体" w:hint="default"/>
        </w:rPr>
        <w:t>4,033,821.81</w:t>
      </w:r>
      <w:r>
        <w:rPr>
          <w:rFonts w:ascii="宋体" w:hAnsi="宋体" w:cs="宋体" w:eastAsia="宋体" w:hint="default"/>
          <w:spacing w:val="-68"/>
        </w:rPr>
        <w:t> </w:t>
      </w:r>
      <w:r>
        <w:rPr>
          <w:spacing w:val="18"/>
        </w:rPr>
        <w:t>元的投资性房地产（</w:t>
      </w:r>
      <w:r>
        <w:rPr>
          <w:spacing w:val="-68"/>
        </w:rPr>
        <w:t> </w:t>
      </w:r>
      <w:r>
        <w:rPr>
          <w:spacing w:val="17"/>
        </w:rPr>
        <w:t>房屋建筑物）</w:t>
      </w:r>
      <w:r>
        <w:rPr>
          <w:spacing w:val="-68"/>
        </w:rPr>
        <w:t> </w:t>
      </w:r>
      <w:r>
        <w:rPr>
          <w:spacing w:val="15"/>
        </w:rPr>
        <w:t>和原值为</w:t>
      </w:r>
      <w:r>
        <w:rPr/>
        <w:t> </w:t>
      </w:r>
      <w:r>
        <w:rPr>
          <w:rFonts w:ascii="宋体" w:hAnsi="宋体" w:cs="宋体" w:eastAsia="宋体" w:hint="default"/>
        </w:rPr>
        <w:t>13,781,091.00</w:t>
      </w:r>
      <w:r>
        <w:rPr/>
        <w:t>元，净值为</w:t>
      </w:r>
      <w:r>
        <w:rPr>
          <w:rFonts w:ascii="宋体" w:hAnsi="宋体" w:cs="宋体" w:eastAsia="宋体" w:hint="default"/>
        </w:rPr>
        <w:t>6,525,921.14</w:t>
      </w:r>
      <w:r>
        <w:rPr/>
        <w:t>元的固定资产（房屋建筑物）作为抵押物，为公司向中国工商银行杭州庆春路支行 的短期借款提供担保。截至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日，该抵押合同担保下的短期借款余额为人民币</w:t>
      </w:r>
      <w:r>
        <w:rPr>
          <w:rFonts w:ascii="宋体" w:hAnsi="宋体" w:cs="宋体" w:eastAsia="宋体" w:hint="default"/>
        </w:rPr>
        <w:t>200,000,000.00</w:t>
      </w:r>
      <w:r>
        <w:rPr/>
        <w:t>元。</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82、外币货币性项目" w:id="396"/>
      <w:bookmarkEnd w:id="396"/>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83、套期" w:id="397"/>
      <w:bookmarkEnd w:id="397"/>
      <w:r>
        <w:rPr>
          <w:b w:val="0"/>
          <w:bCs w:val="0"/>
        </w:rPr>
      </w:r>
      <w:r>
        <w:rPr>
          <w:rFonts w:ascii="Times New Roman" w:hAnsi="Times New Roman" w:cs="Times New Roman" w:eastAsia="Times New Roman" w:hint="default"/>
        </w:rPr>
        <w:t>83</w:t>
      </w:r>
      <w:r>
        <w:rPr/>
        <w:t>、套期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84、政府补助" w:id="398"/>
      <w:bookmarkEnd w:id="398"/>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政府补助基本情况" w:id="399"/>
      <w:bookmarkEnd w:id="399"/>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2199"/>
        <w:gridCol w:w="2196"/>
        <w:gridCol w:w="2199"/>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与企业日常经营活动相关的政府补助</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与企业日常经营活动相关的政府补助</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840,000.00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与企业日常经营活动无关的政府补助</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9,391,979.20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9,391,979.20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政府奖励收入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75,202.51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75,202.51</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与企业日常经营活动相关的税收优惠</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1,007,135.26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1,007,135.26</w:t>
            </w:r>
          </w:p>
        </w:tc>
      </w:tr>
    </w:tbl>
    <w:p>
      <w:pPr>
        <w:spacing w:line="240" w:lineRule="auto" w:before="3"/>
        <w:rPr>
          <w:rFonts w:ascii="宋体" w:hAnsi="宋体" w:cs="宋体" w:eastAsia="宋体" w:hint="default"/>
          <w:sz w:val="19"/>
          <w:szCs w:val="19"/>
        </w:rPr>
      </w:pPr>
    </w:p>
    <w:p>
      <w:pPr>
        <w:spacing w:line="494" w:lineRule="auto" w:before="36"/>
        <w:ind w:left="152" w:right="8330" w:firstLine="0"/>
        <w:jc w:val="left"/>
        <w:rPr>
          <w:rFonts w:ascii="宋体" w:hAnsi="宋体" w:cs="宋体" w:eastAsia="宋体" w:hint="default"/>
          <w:sz w:val="21"/>
          <w:szCs w:val="21"/>
        </w:rPr>
      </w:pPr>
      <w:bookmarkStart w:name="（2）政府补助退回情况" w:id="400"/>
      <w:bookmarkEnd w:id="4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）政府补助退回情况</w:t>
      </w:r>
      <w:r>
        <w:rPr>
          <w:rFonts w:ascii="宋体" w:hAnsi="宋体" w:cs="宋体" w:eastAsia="宋体" w:hint="default"/>
          <w:b/>
          <w:bCs/>
          <w:w w:val="100"/>
          <w:sz w:val="21"/>
          <w:szCs w:val="21"/>
        </w:rPr>
        <w:t> </w:t>
      </w:r>
      <w:bookmarkStart w:name="85、其他" w:id="401"/>
      <w:bookmarkEnd w:id="401"/>
      <w:r>
        <w:rPr>
          <w:rFonts w:ascii="宋体" w:hAnsi="宋体" w:cs="宋体" w:eastAsia="宋体" w:hint="default"/>
          <w:b/>
          <w:bCs/>
          <w:w w:val="100"/>
          <w:sz w:val="21"/>
          <w:szCs w:val="21"/>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w:id="402"/>
      <w:bookmarkEnd w:id="402"/>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3"/>
      <w:bookmarkEnd w:id="40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74"/>
        <w:ind w:right="1133"/>
        <w:jc w:val="left"/>
        <w:rPr>
          <w:b w:val="0"/>
          <w:bCs w:val="0"/>
        </w:rPr>
      </w:pPr>
      <w:bookmarkStart w:name="2、同一控制下企业合并" w:id="404"/>
      <w:bookmarkEnd w:id="40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反向购买" w:id="405"/>
      <w:bookmarkEnd w:id="405"/>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处置子公司" w:id="406"/>
      <w:bookmarkEnd w:id="406"/>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5"/>
        <w:ind w:right="-20"/>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293" w:space="4627"/>
            <w:col w:w="201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5"/>
        <w:gridCol w:w="737"/>
        <w:gridCol w:w="734"/>
        <w:gridCol w:w="734"/>
        <w:gridCol w:w="735"/>
        <w:gridCol w:w="738"/>
        <w:gridCol w:w="737"/>
        <w:gridCol w:w="736"/>
        <w:gridCol w:w="734"/>
        <w:gridCol w:w="72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股权处</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股权处</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股权处</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处置价</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按照公</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与原子</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5"/>
        <w:gridCol w:w="737"/>
        <w:gridCol w:w="734"/>
        <w:gridCol w:w="734"/>
        <w:gridCol w:w="735"/>
        <w:gridCol w:w="737"/>
        <w:gridCol w:w="737"/>
        <w:gridCol w:w="737"/>
        <w:gridCol w:w="734"/>
        <w:gridCol w:w="737"/>
      </w:tblGrid>
      <w:tr>
        <w:trPr>
          <w:trHeight w:val="3483"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82" w:right="91" w:hanging="89"/>
              <w:jc w:val="left"/>
              <w:rPr>
                <w:rFonts w:ascii="宋体" w:hAnsi="宋体" w:cs="宋体" w:eastAsia="宋体" w:hint="default"/>
                <w:sz w:val="18"/>
                <w:szCs w:val="18"/>
              </w:rPr>
            </w:pPr>
            <w:r>
              <w:rPr>
                <w:rFonts w:ascii="宋体" w:hAnsi="宋体" w:cs="宋体" w:eastAsia="宋体" w:hint="default"/>
                <w:sz w:val="18"/>
                <w:szCs w:val="18"/>
              </w:rPr>
              <w:t>制权的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89"/>
              <w:jc w:val="both"/>
              <w:rPr>
                <w:rFonts w:ascii="宋体" w:hAnsi="宋体" w:cs="宋体" w:eastAsia="宋体" w:hint="default"/>
                <w:sz w:val="18"/>
                <w:szCs w:val="18"/>
              </w:rPr>
            </w:pPr>
            <w:r>
              <w:rPr>
                <w:rFonts w:ascii="宋体" w:hAnsi="宋体" w:cs="宋体" w:eastAsia="宋体" w:hint="default"/>
                <w:sz w:val="18"/>
                <w:szCs w:val="18"/>
              </w:rPr>
              <w:t>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89"/>
              <w:jc w:val="center"/>
              <w:rPr>
                <w:rFonts w:ascii="宋体" w:hAnsi="宋体" w:cs="宋体" w:eastAsia="宋体" w:hint="default"/>
                <w:sz w:val="18"/>
                <w:szCs w:val="18"/>
              </w:rPr>
            </w:pPr>
            <w:r>
              <w:rPr>
                <w:rFonts w:ascii="宋体" w:hAnsi="宋体" w:cs="宋体" w:eastAsia="宋体" w:hint="default"/>
                <w:sz w:val="18"/>
                <w:szCs w:val="18"/>
              </w:rPr>
              <w:t>款与处 置投资 对应的 合并财 务报表 层面享 有该子 公司净 资产份 额的差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89"/>
              <w:jc w:val="both"/>
              <w:rPr>
                <w:rFonts w:ascii="宋体" w:hAnsi="宋体" w:cs="宋体" w:eastAsia="宋体" w:hint="default"/>
                <w:sz w:val="18"/>
                <w:szCs w:val="18"/>
              </w:rPr>
            </w:pPr>
            <w:r>
              <w:rPr>
                <w:rFonts w:ascii="宋体" w:hAnsi="宋体" w:cs="宋体" w:eastAsia="宋体" w:hint="default"/>
                <w:sz w:val="18"/>
                <w:szCs w:val="18"/>
              </w:rPr>
              <w:t>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91"/>
              <w:jc w:val="center"/>
              <w:rPr>
                <w:rFonts w:ascii="宋体" w:hAnsi="宋体" w:cs="宋体" w:eastAsia="宋体" w:hint="default"/>
                <w:sz w:val="18"/>
                <w:szCs w:val="18"/>
              </w:rPr>
            </w:pPr>
            <w:r>
              <w:rPr>
                <w:rFonts w:ascii="宋体" w:hAnsi="宋体" w:cs="宋体" w:eastAsia="宋体" w:hint="default"/>
                <w:sz w:val="18"/>
                <w:szCs w:val="18"/>
              </w:rPr>
              <w:t>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91"/>
              <w:jc w:val="center"/>
              <w:rPr>
                <w:rFonts w:ascii="宋体" w:hAnsi="宋体" w:cs="宋体" w:eastAsia="宋体" w:hint="default"/>
                <w:sz w:val="18"/>
                <w:szCs w:val="18"/>
              </w:rPr>
            </w:pPr>
            <w:r>
              <w:rPr>
                <w:rFonts w:ascii="宋体" w:hAnsi="宋体" w:cs="宋体" w:eastAsia="宋体" w:hint="default"/>
                <w:sz w:val="18"/>
                <w:szCs w:val="18"/>
              </w:rPr>
              <w:t>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92"/>
              <w:jc w:val="center"/>
              <w:rPr>
                <w:rFonts w:ascii="宋体" w:hAnsi="宋体" w:cs="宋体" w:eastAsia="宋体" w:hint="default"/>
                <w:sz w:val="18"/>
                <w:szCs w:val="18"/>
              </w:rPr>
            </w:pPr>
            <w:r>
              <w:rPr>
                <w:rFonts w:ascii="宋体" w:hAnsi="宋体" w:cs="宋体" w:eastAsia="宋体" w:hint="default"/>
                <w:sz w:val="18"/>
                <w:szCs w:val="18"/>
              </w:rPr>
              <w:t>允价值 重新计 量剩余 股权产 生的利 得或损 失</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89"/>
              <w:jc w:val="center"/>
              <w:rPr>
                <w:rFonts w:ascii="宋体" w:hAnsi="宋体" w:cs="宋体" w:eastAsia="宋体" w:hint="default"/>
                <w:sz w:val="18"/>
                <w:szCs w:val="18"/>
              </w:rPr>
            </w:pPr>
            <w:r>
              <w:rPr>
                <w:rFonts w:ascii="宋体" w:hAnsi="宋体" w:cs="宋体" w:eastAsia="宋体" w:hint="default"/>
                <w:sz w:val="18"/>
                <w:szCs w:val="18"/>
              </w:rPr>
              <w:t>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91"/>
              <w:jc w:val="both"/>
              <w:rPr>
                <w:rFonts w:ascii="宋体" w:hAnsi="宋体" w:cs="宋体" w:eastAsia="宋体" w:hint="default"/>
                <w:sz w:val="18"/>
                <w:szCs w:val="18"/>
              </w:rPr>
            </w:pPr>
            <w:r>
              <w:rPr>
                <w:rFonts w:ascii="宋体" w:hAnsi="宋体" w:cs="宋体" w:eastAsia="宋体" w:hint="default"/>
                <w:sz w:val="18"/>
                <w:szCs w:val="18"/>
              </w:rPr>
              <w:t>公司股 权投资 相关的 其他综 合收益 转入投 资损益 的金额</w:t>
            </w:r>
          </w:p>
        </w:tc>
      </w:tr>
      <w:tr>
        <w:trPr>
          <w:trHeight w:val="227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61"/>
              <w:jc w:val="both"/>
              <w:rPr>
                <w:rFonts w:ascii="宋体" w:hAnsi="宋体" w:cs="宋体" w:eastAsia="宋体" w:hint="default"/>
                <w:sz w:val="18"/>
                <w:szCs w:val="18"/>
              </w:rPr>
            </w:pPr>
            <w:r>
              <w:rPr>
                <w:rFonts w:ascii="宋体" w:hAnsi="宋体" w:cs="宋体" w:eastAsia="宋体" w:hint="default"/>
                <w:sz w:val="18"/>
                <w:szCs w:val="18"/>
              </w:rPr>
              <w:t>浙江银 江云计 算技术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1,815,00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56.81%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159"/>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58"/>
              <w:jc w:val="both"/>
              <w:rPr>
                <w:rFonts w:ascii="宋体" w:hAnsi="宋体" w:cs="宋体" w:eastAsia="宋体" w:hint="default"/>
                <w:sz w:val="18"/>
                <w:szCs w:val="18"/>
              </w:rPr>
            </w:pPr>
            <w:r>
              <w:rPr>
                <w:rFonts w:ascii="宋体" w:hAnsi="宋体" w:cs="宋体" w:eastAsia="宋体" w:hint="default"/>
                <w:sz w:val="18"/>
                <w:szCs w:val="18"/>
              </w:rPr>
              <w:t>股权变 更工商 登记完 成</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2,523,94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5.48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30" w:right="0"/>
              <w:jc w:val="center"/>
              <w:rPr>
                <w:rFonts w:ascii="Times New Roman" w:hAnsi="Times New Roman" w:cs="Times New Roman" w:eastAsia="Times New Roman" w:hint="default"/>
                <w:sz w:val="18"/>
                <w:szCs w:val="18"/>
              </w:rPr>
            </w:pPr>
            <w:r>
              <w:rPr>
                <w:rFonts w:ascii="Times New Roman"/>
                <w:sz w:val="18"/>
              </w:rPr>
              <w:t>40.00%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净资产 为负数， 剩余股 权公允 价值按 照零确</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认</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浙江智 尔信息 技术有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540,900.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56.44%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59"/>
              <w:jc w:val="both"/>
              <w:rPr>
                <w:rFonts w:ascii="宋体" w:hAnsi="宋体" w:cs="宋体" w:eastAsia="宋体" w:hint="default"/>
                <w:sz w:val="18"/>
                <w:szCs w:val="18"/>
              </w:rPr>
            </w:pPr>
            <w:r>
              <w:rPr>
                <w:rFonts w:ascii="宋体" w:hAnsi="宋体" w:cs="宋体" w:eastAsia="宋体" w:hint="default"/>
                <w:sz w:val="18"/>
                <w:szCs w:val="18"/>
              </w:rPr>
              <w:t>减资后 其他股 东增资</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8"/>
              <w:jc w:val="both"/>
              <w:rPr>
                <w:rFonts w:ascii="宋体" w:hAnsi="宋体" w:cs="宋体" w:eastAsia="宋体" w:hint="default"/>
                <w:sz w:val="18"/>
                <w:szCs w:val="18"/>
              </w:rPr>
            </w:pPr>
            <w:r>
              <w:rPr>
                <w:rFonts w:ascii="宋体" w:hAnsi="宋体" w:cs="宋体" w:eastAsia="宋体" w:hint="default"/>
                <w:sz w:val="18"/>
                <w:szCs w:val="18"/>
              </w:rPr>
              <w:t>股权变 更工商 登记完 成</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1,232,07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4.40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0" w:right="0"/>
              <w:jc w:val="center"/>
              <w:rPr>
                <w:rFonts w:ascii="Times New Roman" w:hAnsi="Times New Roman" w:cs="Times New Roman" w:eastAsia="Times New Roman" w:hint="default"/>
                <w:sz w:val="18"/>
                <w:szCs w:val="18"/>
              </w:rPr>
            </w:pPr>
            <w:r>
              <w:rPr>
                <w:rFonts w:ascii="Times New Roman"/>
                <w:sz w:val="18"/>
              </w:rPr>
              <w:t>40.00%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2,988,82</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0.44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2,988,82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0.44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按照处 置日公 司占有 的净资 产确认</w:t>
            </w: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4994"/>
        <w:jc w:val="left"/>
      </w:pPr>
      <w:r>
        <w:rPr/>
        <w:t>其他说明： 是否存在通过多次交易分步处置对子公司投资且在本期丧失控制权的情形</w:t>
      </w:r>
    </w:p>
    <w:p>
      <w:pPr>
        <w:pStyle w:val="BodyText"/>
        <w:spacing w:line="240" w:lineRule="auto" w:before="29"/>
        <w:ind w:right="1133"/>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5、其他原因的合并范围变动" w:id="407"/>
      <w:bookmarkEnd w:id="407"/>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0"/>
        <w:jc w:val="left"/>
      </w:pPr>
      <w:r>
        <w:rPr/>
        <w:t>说明其他原因导致的合并范围变动（如，新设子公司、清算子公司等）及其相关情况： </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月，公司注销控股子公司杭州众嗨网络技术有限公司，自注销清算完成后，杭州众嗨网络技术有限公司不再纳入公</w:t>
      </w:r>
      <w:r>
        <w:rPr>
          <w:spacing w:val="-63"/>
        </w:rPr>
        <w:t> </w:t>
      </w:r>
      <w:r>
        <w:rPr>
          <w:spacing w:val="-63"/>
        </w:rPr>
      </w:r>
      <w:r>
        <w:rPr/>
        <w:t>司合并财务报表范围。</w:t>
      </w:r>
    </w:p>
    <w:p>
      <w:pPr>
        <w:pStyle w:val="BodyText"/>
        <w:spacing w:line="319" w:lineRule="auto" w:before="2"/>
        <w:ind w:right="0"/>
        <w:jc w:val="left"/>
      </w:pP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月，公司注销全资子公司银江（北京）物联网技术有限公司，自注销清算完成后，银江（北京）物联网技术有限公</w:t>
      </w:r>
      <w:r>
        <w:rPr>
          <w:spacing w:val="-70"/>
        </w:rPr>
        <w:t> </w:t>
      </w:r>
      <w:r>
        <w:rPr>
          <w:spacing w:val="-70"/>
        </w:rPr>
      </w:r>
      <w:r>
        <w:rPr/>
        <w:t>司不再纳入公司合并财务报表。 </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月，公司注销全资子公司济南银江智慧城市技术有限公司，自注销清算完成后，济南银江智慧城市技术有限公司不</w:t>
      </w:r>
      <w:r>
        <w:rPr>
          <w:spacing w:val="-62"/>
        </w:rPr>
        <w:t> </w:t>
      </w:r>
      <w:r>
        <w:rPr>
          <w:spacing w:val="-62"/>
        </w:rPr>
      </w:r>
      <w:r>
        <w:rPr/>
        <w:t>再纳入公司合并财务报表。</w:t>
      </w:r>
    </w:p>
    <w:p>
      <w:pPr>
        <w:spacing w:after="0" w:line="319"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152" w:right="8104" w:firstLine="0"/>
        <w:jc w:val="left"/>
        <w:rPr>
          <w:rFonts w:ascii="宋体" w:hAnsi="宋体" w:cs="宋体" w:eastAsia="宋体" w:hint="default"/>
          <w:sz w:val="21"/>
          <w:szCs w:val="21"/>
        </w:rPr>
      </w:pPr>
      <w:bookmarkStart w:name="6、其他" w:id="408"/>
      <w:bookmarkEnd w:id="40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09"/>
      <w:bookmarkEnd w:id="409"/>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10"/>
      <w:bookmarkEnd w:id="41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1133"/>
        <w:jc w:val="left"/>
        <w:rPr>
          <w:b w:val="0"/>
          <w:bCs w:val="0"/>
        </w:rPr>
      </w:pPr>
      <w:bookmarkStart w:name="（1）企业集团的构成" w:id="411"/>
      <w:bookmarkEnd w:id="41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浙江银江智慧交 通集团有限公司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山东银江交通技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江苏银江交通技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福建银江智慧城 市信息技术有限 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江西银江智慧城 市信息技术有限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安徽银江智慧城 市技术有限公司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浙江银江交通技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广东银江智慧城 市建设技术有限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西安银江智慧城 市技术有限公司</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湖南银江交通技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山西银江交通信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杭州银江智慧健 康集团有限公司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医疗技术开发服 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75"/>
              <w:jc w:val="left"/>
              <w:rPr>
                <w:rFonts w:ascii="宋体" w:hAnsi="宋体" w:cs="宋体" w:eastAsia="宋体" w:hint="default"/>
                <w:sz w:val="18"/>
                <w:szCs w:val="18"/>
              </w:rPr>
            </w:pPr>
            <w:r>
              <w:rPr>
                <w:rFonts w:ascii="宋体" w:hAnsi="宋体" w:cs="宋体" w:eastAsia="宋体" w:hint="default"/>
                <w:sz w:val="18"/>
                <w:szCs w:val="18"/>
              </w:rPr>
              <w:t>浙江浙大健康管 理有限公司（注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医疗咨询服务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杭州银江智慧城 市技术集团有限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北京银江智慧城 市技术有限公司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吉林银江智慧城 市信息技术有限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弱电技术开发及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浙江银江研究院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软件技术开发及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健康宝互联网技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物联网技术服务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青岛银江智慧城 市技术有限公司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东丰银江智慧城 市技术有限公司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重庆银江智慧城 市信息技术有限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贵阳银江智慧城 市技术有限公司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浙江城市宝互联 网技术有限公司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软件技术开发及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河南银江智慧城 市技术有限公司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焦作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焦作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四川银江智慧城 市信息技术有限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湖南银江智慧城 市信息技术有限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江苏银江智慧城 市信息技术有限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pacing w:val="-6"/>
                <w:sz w:val="18"/>
                <w:szCs w:val="18"/>
              </w:rPr>
              <w:t>银江股份（香港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558" w:lineRule="exact"/>
              <w:ind w:left="2" w:right="-3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67.850pt;height:27.9pt;mso-position-horizontal-relative:char;mso-position-vertical-relative:line" coordorigin="0,0" coordsize="1357,558">
                  <v:group style="position:absolute;left:0;top:0;width:1357;height:156" coordorigin="0,0" coordsize="1357,156">
                    <v:shape style="position:absolute;left:0;top:0;width:1357;height:156" coordorigin="0,0" coordsize="1357,156" path="m0,156l1356,156,1356,0,0,0,0,156xe" filled="true" fillcolor="#ffffff" stroked="false">
                      <v:path arrowok="t"/>
                      <v:fill type="solid"/>
                    </v:shape>
                  </v:group>
                  <v:group style="position:absolute;left:11;top:156;width:2;height:392" coordorigin="11,156" coordsize="2,392">
                    <v:shape style="position:absolute;left:11;top:156;width:2;height:392" coordorigin="11,156" coordsize="0,392" path="m11,156l11,547e" filled="false" stroked="true" strokeweight="1.08pt" strokecolor="#ffffff">
                      <v:path arrowok="t"/>
                    </v:shape>
                  </v:group>
                  <v:group style="position:absolute;left:22;top:156;width:1314;height:392" coordorigin="22,156" coordsize="1314,392">
                    <v:shape style="position:absolute;left:22;top:156;width:1314;height:392" coordorigin="22,156" coordsize="1314,392" path="m22,547l1335,547,1335,156,22,156,22,547xe" filled="true" fillcolor="#ffffff" stroked="false">
                      <v:path arrowok="t"/>
                      <v:fill type="solid"/>
                    </v:shape>
                  </v:group>
                </v:group>
              </w:pict>
            </w:r>
            <w:r>
              <w:rPr>
                <w:rFonts w:ascii="Times New Roman" w:hAnsi="Times New Roman" w:cs="Times New Roman" w:eastAsia="Times New Roman" w:hint="default"/>
                <w:position w:val="-10"/>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湖北银江智慧城 市技术有限公司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济南银江信息技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沈阳智享大健康 信息科技有限公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浙江银江智慧医 疗研究院有限公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浙江银江智慧交 通工程技术研究 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浙江银江智慧城 市信息技术研究 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49"/>
        <w:ind w:right="1133"/>
        <w:jc w:val="left"/>
      </w:pPr>
      <w:r>
        <w:rPr/>
        <w:t>在子公司的持股比例不同于表决权比例的说明：</w:t>
      </w:r>
    </w:p>
    <w:p>
      <w:pPr>
        <w:pStyle w:val="BodyText"/>
        <w:spacing w:line="304" w:lineRule="auto" w:before="115"/>
        <w:ind w:right="1109"/>
        <w:jc w:val="left"/>
      </w:pPr>
      <w:r>
        <w:rPr/>
        <w:t>注</w:t>
      </w:r>
      <w:r>
        <w:rPr>
          <w:rFonts w:ascii="Times New Roman" w:hAnsi="Times New Roman" w:cs="Times New Roman" w:eastAsia="Times New Roman" w:hint="default"/>
        </w:rPr>
        <w:t>1</w:t>
      </w:r>
      <w:r>
        <w:rPr/>
        <w:t>：本公司对浙江浙大健康管理有限公司投资</w:t>
      </w:r>
      <w:r>
        <w:rPr>
          <w:rFonts w:ascii="Times New Roman" w:hAnsi="Times New Roman" w:cs="Times New Roman" w:eastAsia="Times New Roman" w:hint="default"/>
        </w:rPr>
        <w:t>307.622</w:t>
      </w:r>
      <w:r>
        <w:rPr/>
        <w:t>万元，占被投资单位注册资本总额的</w:t>
      </w:r>
      <w:r>
        <w:rPr>
          <w:rFonts w:ascii="Times New Roman" w:hAnsi="Times New Roman" w:cs="Times New Roman" w:eastAsia="Times New Roman" w:hint="default"/>
        </w:rPr>
        <w:t>49%</w:t>
      </w:r>
      <w:r>
        <w:rPr/>
        <w:t>，根据浙江浙大健康管理有 限公司章程第十五条规定，公司设董事会，其成员为七人，其中本公司推选四名董事；根据</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日股东会决议，七</w:t>
      </w:r>
      <w:r>
        <w:rPr>
          <w:spacing w:val="-85"/>
        </w:rPr>
        <w:t> </w:t>
      </w:r>
      <w:r>
        <w:rPr>
          <w:spacing w:val="-85"/>
        </w:rPr>
      </w:r>
      <w:r>
        <w:rPr>
          <w:spacing w:val="-2"/>
        </w:rPr>
        <w:t>名董事中本公司推选的董事超过半数成员。因此认定公司能实际控制该公司，初始投资成本按非同一控制下企业合并取得的</w:t>
      </w:r>
      <w:r>
        <w:rPr>
          <w:spacing w:val="-64"/>
        </w:rPr>
        <w:t> </w:t>
      </w:r>
      <w:r>
        <w:rPr>
          <w:spacing w:val="-64"/>
        </w:rPr>
      </w:r>
      <w:r>
        <w:rPr/>
        <w:t>长期股权投资确定，后续计量按成本法核算。 </w:t>
      </w:r>
      <w:r>
        <w:rPr>
          <w:spacing w:val="-1"/>
        </w:rPr>
        <w:t>注</w:t>
      </w:r>
      <w:r>
        <w:rPr>
          <w:rFonts w:ascii="Times New Roman" w:hAnsi="Times New Roman" w:cs="Times New Roman" w:eastAsia="Times New Roman" w:hint="default"/>
          <w:spacing w:val="-1"/>
        </w:rPr>
        <w:t>2</w:t>
      </w:r>
      <w:r>
        <w:rPr>
          <w:spacing w:val="-1"/>
        </w:rPr>
        <w:t>：福建银江智慧城市信息技术有限公司（以下简称</w:t>
      </w:r>
      <w:r>
        <w:rPr>
          <w:rFonts w:ascii="Times New Roman" w:hAnsi="Times New Roman" w:cs="Times New Roman" w:eastAsia="Times New Roman" w:hint="default"/>
          <w:spacing w:val="-1"/>
        </w:rPr>
        <w:t>“</w:t>
      </w:r>
      <w:r>
        <w:rPr>
          <w:spacing w:val="-1"/>
        </w:rPr>
        <w:t>福建银江</w:t>
      </w:r>
      <w:r>
        <w:rPr>
          <w:rFonts w:ascii="Times New Roman" w:hAnsi="Times New Roman" w:cs="Times New Roman" w:eastAsia="Times New Roman" w:hint="default"/>
          <w:spacing w:val="-1"/>
        </w:rPr>
        <w:t>”</w:t>
      </w:r>
      <w:r>
        <w:rPr>
          <w:spacing w:val="-1"/>
        </w:rPr>
        <w:t>）按照工商资料显示福建银江注册资本</w:t>
      </w:r>
      <w:r>
        <w:rPr>
          <w:rFonts w:ascii="Times New Roman" w:hAnsi="Times New Roman" w:cs="Times New Roman" w:eastAsia="Times New Roman" w:hint="default"/>
          <w:spacing w:val="-1"/>
        </w:rPr>
        <w:t>1,111</w:t>
      </w:r>
      <w:r>
        <w:rPr>
          <w:spacing w:val="-1"/>
        </w:rPr>
        <w:t>万元，其中本</w:t>
      </w:r>
      <w:r>
        <w:rPr>
          <w:spacing w:val="-47"/>
        </w:rPr>
        <w:t> </w:t>
      </w:r>
      <w:r>
        <w:rPr>
          <w:spacing w:val="-47"/>
        </w:rPr>
      </w:r>
      <w:r>
        <w:rPr/>
        <w:t>公司出资</w:t>
      </w:r>
      <w:r>
        <w:rPr>
          <w:rFonts w:ascii="Times New Roman" w:hAnsi="Times New Roman" w:cs="Times New Roman" w:eastAsia="Times New Roman" w:hint="default"/>
        </w:rPr>
        <w:t>1,000</w:t>
      </w:r>
      <w:r>
        <w:rPr/>
        <w:t>万元，持股比例为</w:t>
      </w:r>
      <w:r>
        <w:rPr>
          <w:rFonts w:ascii="Times New Roman" w:hAnsi="Times New Roman" w:cs="Times New Roman" w:eastAsia="Times New Roman" w:hint="default"/>
        </w:rPr>
        <w:t>90.01%</w:t>
      </w:r>
      <w:r>
        <w:rPr/>
        <w:t>，其他少数股东出资</w:t>
      </w:r>
      <w:r>
        <w:rPr>
          <w:rFonts w:ascii="Times New Roman" w:hAnsi="Times New Roman" w:cs="Times New Roman" w:eastAsia="Times New Roman" w:hint="default"/>
        </w:rPr>
        <w:t>111</w:t>
      </w:r>
      <w:r>
        <w:rPr/>
        <w:t>万元，持股</w:t>
      </w:r>
      <w:r>
        <w:rPr>
          <w:rFonts w:ascii="Times New Roman" w:hAnsi="Times New Roman" w:cs="Times New Roman" w:eastAsia="Times New Roman" w:hint="default"/>
        </w:rPr>
        <w:t>9.99%</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日，少数股东实际出</w:t>
      </w:r>
      <w:r>
        <w:rPr>
          <w:spacing w:val="-77"/>
        </w:rPr>
        <w:t> </w:t>
      </w:r>
      <w:r>
        <w:rPr>
          <w:spacing w:val="7"/>
        </w:rPr>
        <w:t>资</w:t>
      </w:r>
      <w:r>
        <w:rPr>
          <w:rFonts w:ascii="Times New Roman" w:hAnsi="Times New Roman" w:cs="Times New Roman" w:eastAsia="Times New Roman" w:hint="default"/>
          <w:spacing w:val="7"/>
        </w:rPr>
        <w:t>33.30</w:t>
      </w:r>
      <w:r>
        <w:rPr>
          <w:spacing w:val="7"/>
        </w:rPr>
        <w:t>万元，本期按照实际出资比例纳入合并财务报表，按照实际出资口径计算本公司年末对福建银江的持股比例为</w:t>
      </w:r>
      <w:r>
        <w:rPr>
          <w:spacing w:val="-75"/>
        </w:rPr>
        <w:t> </w:t>
      </w:r>
      <w:r>
        <w:rPr>
          <w:spacing w:val="-75"/>
        </w:rPr>
      </w:r>
      <w:r>
        <w:rPr>
          <w:rFonts w:ascii="Times New Roman" w:hAnsi="Times New Roman" w:cs="Times New Roman" w:eastAsia="Times New Roman" w:hint="default"/>
        </w:rPr>
        <w:t>96.78%</w:t>
      </w:r>
      <w:r>
        <w:rPr/>
        <w:t>。</w:t>
      </w:r>
    </w:p>
    <w:p>
      <w:pPr>
        <w:pStyle w:val="BodyText"/>
        <w:spacing w:line="300" w:lineRule="auto" w:before="9"/>
        <w:ind w:right="1130"/>
        <w:jc w:val="both"/>
      </w:pPr>
      <w:r>
        <w:rPr>
          <w:spacing w:val="-1"/>
        </w:rPr>
        <w:t>注</w:t>
      </w:r>
      <w:r>
        <w:rPr>
          <w:rFonts w:ascii="Times New Roman" w:hAnsi="Times New Roman" w:cs="Times New Roman" w:eastAsia="Times New Roman" w:hint="default"/>
          <w:spacing w:val="-1"/>
        </w:rPr>
        <w:t>3</w:t>
      </w:r>
      <w:r>
        <w:rPr>
          <w:spacing w:val="-1"/>
        </w:rPr>
        <w:t>：西安银江智慧城市技术有限公司（以下简称</w:t>
      </w:r>
      <w:r>
        <w:rPr>
          <w:rFonts w:ascii="Times New Roman" w:hAnsi="Times New Roman" w:cs="Times New Roman" w:eastAsia="Times New Roman" w:hint="default"/>
          <w:spacing w:val="-1"/>
        </w:rPr>
        <w:t>“</w:t>
      </w:r>
      <w:r>
        <w:rPr>
          <w:spacing w:val="-1"/>
        </w:rPr>
        <w:t>西安银江</w:t>
      </w:r>
      <w:r>
        <w:rPr>
          <w:rFonts w:ascii="Times New Roman" w:hAnsi="Times New Roman" w:cs="Times New Roman" w:eastAsia="Times New Roman" w:hint="default"/>
          <w:spacing w:val="-1"/>
        </w:rPr>
        <w:t>”</w:t>
      </w:r>
      <w:r>
        <w:rPr>
          <w:spacing w:val="-1"/>
        </w:rPr>
        <w:t>）按照工商资料显示西安银江注册资本</w:t>
      </w:r>
      <w:r>
        <w:rPr>
          <w:rFonts w:ascii="Times New Roman" w:hAnsi="Times New Roman" w:cs="Times New Roman" w:eastAsia="Times New Roman" w:hint="default"/>
          <w:spacing w:val="-1"/>
        </w:rPr>
        <w:t>1,111</w:t>
      </w:r>
      <w:r>
        <w:rPr>
          <w:spacing w:val="-1"/>
        </w:rPr>
        <w:t>万元，其中本公司</w:t>
      </w:r>
      <w:r>
        <w:rPr>
          <w:spacing w:val="-52"/>
        </w:rPr>
        <w:t> </w:t>
      </w:r>
      <w:r>
        <w:rPr>
          <w:spacing w:val="-52"/>
        </w:rPr>
      </w:r>
      <w:r>
        <w:rPr>
          <w:spacing w:val="-3"/>
        </w:rPr>
        <w:t>出资</w:t>
      </w:r>
      <w:r>
        <w:rPr>
          <w:rFonts w:ascii="Times New Roman" w:hAnsi="Times New Roman" w:cs="Times New Roman" w:eastAsia="Times New Roman" w:hint="default"/>
          <w:spacing w:val="-3"/>
        </w:rPr>
        <w:t>1,000</w:t>
      </w:r>
      <w:r>
        <w:rPr>
          <w:spacing w:val="-3"/>
        </w:rPr>
        <w:t>万元，持股比例为</w:t>
      </w:r>
      <w:r>
        <w:rPr>
          <w:rFonts w:ascii="Times New Roman" w:hAnsi="Times New Roman" w:cs="Times New Roman" w:eastAsia="Times New Roman" w:hint="default"/>
          <w:spacing w:val="-3"/>
        </w:rPr>
        <w:t>90.01%</w:t>
      </w:r>
      <w:r>
        <w:rPr>
          <w:spacing w:val="-3"/>
        </w:rPr>
        <w:t>，其他少数股东出资</w:t>
      </w:r>
      <w:r>
        <w:rPr>
          <w:rFonts w:ascii="Times New Roman" w:hAnsi="Times New Roman" w:cs="Times New Roman" w:eastAsia="Times New Roman" w:hint="default"/>
          <w:spacing w:val="-3"/>
        </w:rPr>
        <w:t>111</w:t>
      </w:r>
      <w:r>
        <w:rPr>
          <w:spacing w:val="-3"/>
        </w:rPr>
        <w:t>万元，持股</w:t>
      </w:r>
      <w:r>
        <w:rPr>
          <w:rFonts w:ascii="Times New Roman" w:hAnsi="Times New Roman" w:cs="Times New Roman" w:eastAsia="Times New Roman" w:hint="default"/>
          <w:spacing w:val="-3"/>
        </w:rPr>
        <w:t>9.99%</w:t>
      </w:r>
      <w:r>
        <w:rPr>
          <w:spacing w:val="-3"/>
        </w:rPr>
        <w:t>。截至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日，少数股东实际出资</w:t>
      </w:r>
      <w:r>
        <w:rPr>
          <w:rFonts w:ascii="Times New Roman" w:hAnsi="Times New Roman" w:cs="Times New Roman" w:eastAsia="Times New Roman" w:hint="default"/>
          <w:spacing w:val="-3"/>
        </w:rPr>
        <w:t>33.30</w:t>
      </w:r>
      <w:r>
        <w:rPr>
          <w:rFonts w:ascii="Times New Roman" w:hAnsi="Times New Roman" w:cs="Times New Roman" w:eastAsia="Times New Roman" w:hint="default"/>
        </w:rPr>
        <w:t> </w:t>
      </w:r>
      <w:r>
        <w:rPr/>
        <w:t>万元，本期按照实际出资比例纳入合并财务报表，按照实际出资口径计算本公司年末对西安银江的持股比例为</w:t>
      </w:r>
      <w:r>
        <w:rPr>
          <w:rFonts w:ascii="Times New Roman" w:hAnsi="Times New Roman" w:cs="Times New Roman" w:eastAsia="Times New Roman" w:hint="default"/>
        </w:rPr>
        <w:t>96.78%</w:t>
      </w:r>
      <w:r>
        <w:rPr/>
        <w:t>。</w:t>
      </w:r>
    </w:p>
    <w:p>
      <w:pPr>
        <w:spacing w:line="240" w:lineRule="auto" w:before="0"/>
        <w:rPr>
          <w:rFonts w:ascii="宋体" w:hAnsi="宋体" w:cs="宋体" w:eastAsia="宋体" w:hint="default"/>
          <w:sz w:val="18"/>
          <w:szCs w:val="18"/>
        </w:rPr>
      </w:pPr>
    </w:p>
    <w:p>
      <w:pPr>
        <w:pStyle w:val="BodyText"/>
        <w:spacing w:line="357" w:lineRule="auto" w:before="130"/>
        <w:ind w:right="2834"/>
        <w:jc w:val="left"/>
      </w:pPr>
      <w:r>
        <w:rPr/>
        <w:t>持有半数或以下表决权但仍控制被投资单位、以及持有半数以上表决权但不控制被投资单位的依据： 对于纳入合并范围的重要的结构化主体，控制的依据：</w:t>
      </w:r>
    </w:p>
    <w:p>
      <w:pPr>
        <w:pStyle w:val="BodyText"/>
        <w:spacing w:line="360" w:lineRule="auto" w:before="29"/>
        <w:ind w:right="7694"/>
        <w:jc w:val="left"/>
      </w:pPr>
      <w:r>
        <w:rPr/>
        <w:t>确定公司是代理人还是委托人的依据： 其他说明：</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bookmarkStart w:name="（2）重要的非全资子公司" w:id="412"/>
      <w:bookmarkEnd w:id="41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04"/>
        <w:gridCol w:w="1541"/>
        <w:gridCol w:w="1544"/>
        <w:gridCol w:w="1541"/>
        <w:gridCol w:w="1543"/>
      </w:tblGrid>
      <w:tr>
        <w:trPr>
          <w:trHeight w:val="76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406" w:right="46" w:hanging="361"/>
              <w:jc w:val="left"/>
              <w:rPr>
                <w:rFonts w:ascii="宋体" w:hAnsi="宋体" w:cs="宋体" w:eastAsia="宋体" w:hint="default"/>
                <w:sz w:val="18"/>
                <w:szCs w:val="18"/>
              </w:rPr>
            </w:pPr>
            <w:r>
              <w:rPr>
                <w:rFonts w:ascii="宋体" w:hAnsi="宋体" w:cs="宋体" w:eastAsia="宋体" w:hint="default"/>
                <w:sz w:val="18"/>
                <w:szCs w:val="18"/>
              </w:rPr>
              <w:t>本期归属于少数股 东的损益</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225" w:right="44" w:hanging="180"/>
              <w:jc w:val="left"/>
              <w:rPr>
                <w:rFonts w:ascii="宋体" w:hAnsi="宋体" w:cs="宋体" w:eastAsia="宋体" w:hint="default"/>
                <w:sz w:val="18"/>
                <w:szCs w:val="18"/>
              </w:rPr>
            </w:pPr>
            <w:r>
              <w:rPr>
                <w:rFonts w:ascii="宋体" w:hAnsi="宋体" w:cs="宋体" w:eastAsia="宋体" w:hint="default"/>
                <w:sz w:val="18"/>
                <w:szCs w:val="18"/>
              </w:rPr>
              <w:t>本期向少数股东宣 告分派的股利</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85" w:right="47" w:hanging="540"/>
              <w:jc w:val="left"/>
              <w:rPr>
                <w:rFonts w:ascii="宋体" w:hAnsi="宋体" w:cs="宋体" w:eastAsia="宋体" w:hint="default"/>
                <w:sz w:val="18"/>
                <w:szCs w:val="18"/>
              </w:rPr>
            </w:pPr>
            <w:r>
              <w:rPr>
                <w:rFonts w:ascii="宋体" w:hAnsi="宋体" w:cs="宋体" w:eastAsia="宋体" w:hint="default"/>
                <w:sz w:val="18"/>
                <w:szCs w:val="18"/>
              </w:rPr>
              <w:t>期末少数股东权益 余额</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山东银江交通技术有限公司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49.01%</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-1,262,918.62</w:t>
            </w:r>
          </w:p>
        </w:tc>
        <w:tc>
          <w:tcPr>
            <w:tcW w:w="1541" w:type="dxa"/>
            <w:tcBorders>
              <w:top w:val="single" w:sz="10" w:space="0" w:color="D2D2D2"/>
              <w:left w:val="single" w:sz="4" w:space="0" w:color="000000"/>
              <w:bottom w:val="single" w:sz="4" w:space="0" w:color="000000"/>
              <w:right w:val="single" w:sz="4" w:space="0" w:color="000000"/>
            </w:tcBorders>
          </w:tcPr>
          <w:p>
            <w:pPr/>
          </w:p>
        </w:tc>
        <w:tc>
          <w:tcPr>
            <w:tcW w:w="1543"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8,770,289.73</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福建银江智慧城市信息技术有限公司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-81,942.29</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-143,417.99</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江西银江智慧城市信息技术有限公司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-490,294.28</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-393,885.29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04"/>
        <w:gridCol w:w="1541"/>
        <w:gridCol w:w="1544"/>
        <w:gridCol w:w="1541"/>
        <w:gridCol w:w="1543"/>
      </w:tblGrid>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西安银江智慧城市技术有限公司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-148,907.85</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97,380.19</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湖南银江交通技术有限公司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-618,660.70</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-33,783.18</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山西银江交通信息技术有限公司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1,141,879.08</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3,103,971.36</w:t>
            </w:r>
          </w:p>
        </w:tc>
      </w:tr>
      <w:tr>
        <w:trPr>
          <w:trHeight w:val="403" w:hRule="exact"/>
        </w:trPr>
        <w:tc>
          <w:tcPr>
            <w:tcW w:w="340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51"/>
              <w:ind w:left="24" w:right="-57"/>
              <w:jc w:val="left"/>
              <w:rPr>
                <w:rFonts w:ascii="宋体" w:hAnsi="宋体" w:cs="宋体" w:eastAsia="宋体" w:hint="default"/>
                <w:sz w:val="18"/>
                <w:szCs w:val="18"/>
              </w:rPr>
            </w:pPr>
            <w:r>
              <w:rPr>
                <w:rFonts w:ascii="宋体" w:hAnsi="宋体" w:cs="宋体" w:eastAsia="宋体" w:hint="default"/>
                <w:sz w:val="18"/>
                <w:szCs w:val="18"/>
              </w:rPr>
              <w:t>浙江银江云计算技术有限公司（本年处置）</w:t>
            </w:r>
          </w:p>
        </w:tc>
        <w:tc>
          <w:tcPr>
            <w:tcW w:w="154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3.19%</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7,544.33</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浙江浙大健康管理有限公司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-245,342.10</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-1,751,683.37</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浙江智尔信息技术有限公司（本年处置）</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3.56%</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52,194.22</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健康宝互联网技术有限公司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-438,178.23</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2,655,283.45</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杭州众嗨网络技术有限公司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-5,721.84</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济南银江信息技术有限公司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-25,344.34</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450,003.38</w:t>
            </w:r>
          </w:p>
        </w:tc>
      </w:tr>
      <w:tr>
        <w:trPr>
          <w:trHeight w:val="40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沈阳智享大健康信息科技有限公司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20.80%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-1,796,658.19</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26,207,563.36</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-3,912,350.81</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38,961,721.64</w:t>
            </w:r>
          </w:p>
        </w:tc>
      </w:tr>
    </w:tbl>
    <w:p>
      <w:pPr>
        <w:pStyle w:val="BodyText"/>
        <w:spacing w:line="357" w:lineRule="auto" w:before="49"/>
        <w:ind w:right="6434"/>
        <w:jc w:val="left"/>
      </w:pPr>
      <w:r>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bookmarkStart w:name="（3）重要非全资子公司的主要财务信息" w:id="413"/>
      <w:bookmarkEnd w:id="41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山东银 江交通 技术有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22,353,2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184,586.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22,537,8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23.49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4,642,92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4,642,92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25,755,9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97.28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61,300.4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25,817,2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5,345,54</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0.27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5,345,54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0.27</w:t>
            </w:r>
          </w:p>
        </w:tc>
      </w:tr>
      <w:tr>
        <w:trPr>
          <w:trHeight w:val="196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福建银 江智慧 城市信 息技术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3,639,11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4,039,12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6.16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8,493,10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0.97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8,493,10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0.97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6,287,84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544,853.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6,832,69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8,741,88</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0.03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8,741,88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0.03</w:t>
            </w:r>
          </w:p>
        </w:tc>
      </w:tr>
      <w:tr>
        <w:trPr>
          <w:trHeight w:val="19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江西银 江智慧 城市信 息技术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17,555,5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324,505.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17,880,0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55.55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21,818,9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08.54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21,818,9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08.54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11,082,8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73.78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427,366.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11,510,2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10,546,1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49.95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10,546,1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49.95</w:t>
            </w:r>
          </w:p>
        </w:tc>
      </w:tr>
      <w:tr>
        <w:trPr>
          <w:trHeight w:val="98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西安银 江智慧 城市技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11,656,8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12,639,7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24,296,5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21,272,2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77.38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21,272,2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77.38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9,947,65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8.98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16,086,7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26,034,4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18,385,7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51.22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18,385,7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51.22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67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61"/>
              <w:jc w:val="left"/>
              <w:rPr>
                <w:rFonts w:ascii="宋体" w:hAnsi="宋体" w:cs="宋体" w:eastAsia="宋体" w:hint="default"/>
                <w:sz w:val="18"/>
                <w:szCs w:val="18"/>
              </w:rPr>
            </w:pPr>
            <w:r>
              <w:rPr>
                <w:rFonts w:ascii="宋体" w:hAnsi="宋体" w:cs="宋体" w:eastAsia="宋体" w:hint="default"/>
                <w:sz w:val="18"/>
                <w:szCs w:val="18"/>
              </w:rPr>
              <w:t>术有限 公司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湖南银 江交通 技术有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1,441,82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51,142.3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1,492,96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6.35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1,577,42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1,577,42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4.30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2,122,45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198,522.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2,320,97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858,784.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858,784.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山西银 江交通 信息技 术有限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8,499,82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585,667.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9,085,49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4,416,16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5.12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4,416,16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5.12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5,018,16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138,035.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5,156,20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2,817,23</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7.50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2,817,23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7.50</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浙江浙 大健康 管理有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4,313.83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75,595.4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79,909.2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3,514,58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2.54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3,514,58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2.54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28,165.8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556,067.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584,233.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3,537,84</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3.48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3,537,84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3.48</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健康宝 互联网 技术有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29,129,9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96.39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1,533,81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30,663,8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22,684,5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89.52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22,684,5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89.52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14,587,6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62.87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5,839,11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20,426,7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76.67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8,515,85</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2.72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8,515,85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2.72</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济南银 江信息 技术有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9,036,53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8,829.41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9,045,36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45,293.3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45,293.3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9,552,56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2.55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14,276.0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9,566,83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59,884.1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59,884.1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沈阳智 享大健 康信息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16,305,7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87.04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125,155,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266.87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141,461,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053.91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15,443,6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58.16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15,443,6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58.16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28,708,2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73.53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124,993,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998.42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153,702,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271.95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19,045,7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67.33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19,045,7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67.33</w:t>
            </w:r>
          </w:p>
        </w:tc>
      </w:tr>
    </w:tbl>
    <w:p>
      <w:pPr>
        <w:pStyle w:val="BodyText"/>
        <w:spacing w:line="240" w:lineRule="auto" w:before="49"/>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山东银江交 通技术有限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405,319.42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-2,576,859.04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-2,576,859.04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-2,311,077.28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570,055.35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-4,720,739.27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-4,720,739.27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-24,774.99</w:t>
            </w:r>
          </w:p>
        </w:tc>
      </w:tr>
      <w:tr>
        <w:trPr>
          <w:trHeight w:val="133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福建银江智 慧城市信息 技术有限公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582,524.27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-2,544,791.71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-2,544,791.71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-688,572.79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2,039,669.89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-1,905,684.51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-1,905,684.51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-498,515.32</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125"/>
              <w:jc w:val="left"/>
              <w:rPr>
                <w:rFonts w:ascii="宋体" w:hAnsi="宋体" w:cs="宋体" w:eastAsia="宋体" w:hint="default"/>
                <w:sz w:val="18"/>
                <w:szCs w:val="18"/>
              </w:rPr>
            </w:pPr>
            <w:r>
              <w:rPr>
                <w:rFonts w:ascii="宋体" w:hAnsi="宋体" w:cs="宋体" w:eastAsia="宋体" w:hint="default"/>
                <w:sz w:val="18"/>
                <w:szCs w:val="18"/>
              </w:rPr>
              <w:t>江西银江智 慧城市信息</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2,113,511.15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-4,902,942.83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-4,902,942.83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-2,447,081.65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11,740,707.0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3,758,787.58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3,758,787.58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-458,053.19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67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25"/>
              <w:jc w:val="left"/>
              <w:rPr>
                <w:rFonts w:ascii="宋体" w:hAnsi="宋体" w:cs="宋体" w:eastAsia="宋体" w:hint="default"/>
                <w:sz w:val="18"/>
                <w:szCs w:val="18"/>
              </w:rPr>
            </w:pPr>
            <w:r>
              <w:rPr>
                <w:rFonts w:ascii="宋体" w:hAnsi="宋体" w:cs="宋体" w:eastAsia="宋体" w:hint="default"/>
                <w:sz w:val="18"/>
                <w:szCs w:val="18"/>
              </w:rPr>
              <w:t>技术有限公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西安银江智 慧城市技术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5,994,091.19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-4,624,467.45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-4,624,467.45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-15,228,768.3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17,155,871.2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-2,060,344.44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-2,060,344.44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-7,466,602.04</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湖南银江交 通技术有限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-1,546,651.76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-1,546,651.76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-476,939.23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974,720.76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-1,179,117.67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-1,179,117.67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-179,256.54</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山西银江交 通信息技术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6,394,432.38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2,330,365.47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2,330,365.47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-323,558.83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4,163,401.47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9" w:right="0"/>
              <w:jc w:val="center"/>
              <w:rPr>
                <w:rFonts w:ascii="Times New Roman" w:hAnsi="Times New Roman" w:cs="Times New Roman" w:eastAsia="Times New Roman" w:hint="default"/>
                <w:sz w:val="18"/>
                <w:szCs w:val="18"/>
              </w:rPr>
            </w:pPr>
            <w:r>
              <w:rPr>
                <w:rFonts w:ascii="Times New Roman"/>
                <w:sz w:val="18"/>
              </w:rPr>
              <w:t>761,253.16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761,253.16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-878,824.92</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浙江浙大健 康管理有限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-481,062.93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-481,062.93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-586.69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-353,567.16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-353,567.16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-65,815.36</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健康宝互联 网技术有限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561,371.68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-3,931,706.72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-3,931,706.72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-3,006,151.21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2,007,867.92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-3,763,014.71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-3,763,014.71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-1,026,954.56</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济南银江信 息技术有限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-506,886.83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-506,886.83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-520,410.95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-445,843.23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-445,843.23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-391,209.37</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沈阳智享大 健康信息科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8,216,890.01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-8,639,108.87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-8,639,108.87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999,091.49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122,350,845.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-1,988,763.84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-1,988,763.84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-10,716,688.1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使用企业集团资产和清偿企业集团债务的重大限制" w:id="414"/>
      <w:bookmarkEnd w:id="414"/>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5）向纳入合并财务报表范围的结构化主体提供的财务支持或其他支持" w:id="415"/>
      <w:bookmarkEnd w:id="415"/>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2、在子公司的所有者权益份额发生变化且仍控制子公司的交易" w:id="416"/>
      <w:bookmarkEnd w:id="416"/>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在子公司所有者权益份额发生变化的情况说明" w:id="417"/>
      <w:bookmarkEnd w:id="417"/>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2）交易对于少数股东权益及归属于母公司所有者权益的影响" w:id="418"/>
      <w:bookmarkEnd w:id="418"/>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在合营安排或联营企业中的权益" w:id="419"/>
      <w:bookmarkEnd w:id="419"/>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重要的合营企业或联营企业" w:id="420"/>
      <w:bookmarkEnd w:id="42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5"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杭州银江智慧产 业创业投资合伙 企业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杭州</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312" w:lineRule="exact"/>
              <w:ind w:left="2"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850pt;height:15.6pt;mso-position-horizontal-relative:char;mso-position-vertical-relative:line" coordorigin="0,0" coordsize="1357,312">
                  <v:group style="position:absolute;left:0;top:0;width:1357;height:312" coordorigin="0,0" coordsize="1357,312">
                    <v:shape style="position:absolute;left:0;top:0;width:1357;height:312" coordorigin="0,0" coordsize="1357,312" path="m0,312l1356,312,1356,0,0,0,0,312xe" filled="true" fillcolor="#ffffff" stroked="false">
                      <v:path arrowok="t"/>
                      <v:fill type="solid"/>
                    </v:shape>
                  </v:group>
                </v:group>
              </w:pict>
            </w:r>
            <w:r>
              <w:rPr>
                <w:rFonts w:ascii="宋体" w:hAnsi="宋体" w:cs="宋体" w:eastAsia="宋体" w:hint="default"/>
                <w:position w:val="-5"/>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36.27%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1133"/>
        <w:jc w:val="left"/>
      </w:pPr>
      <w:r>
        <w:rPr/>
        <w:pict>
          <v:shape style="position:absolute;margin-left:74.279999pt;margin-top:-16.198305pt;width:119.1pt;height:15.6pt;mso-position-horizontal-relative:page;mso-position-vertical-relative:paragraph;z-index:-1185256" type="#_x0000_t202" filled="false" stroked="false">
            <v:textbox inset="0,0,0,0">
              <w:txbxContent>
                <w:p>
                  <w:pPr>
                    <w:pStyle w:val="BodyText"/>
                    <w:spacing w:line="205" w:lineRule="exact"/>
                    <w:ind w:left="0" w:right="0"/>
                    <w:jc w:val="left"/>
                  </w:pPr>
                  <w:r>
                    <w:rPr/>
                    <w:t>（有限合伙）</w:t>
                  </w:r>
                </w:p>
              </w:txbxContent>
            </v:textbox>
            <w10:wrap type="none"/>
          </v:shape>
        </w:pict>
      </w:r>
      <w:r>
        <w:rPr/>
        <w:t>在合营企业或联营企业的持股比例不同于表决权比例的说明：</w:t>
      </w:r>
    </w:p>
    <w:p>
      <w:pPr>
        <w:pStyle w:val="BodyText"/>
        <w:spacing w:line="240" w:lineRule="auto" w:before="115"/>
        <w:ind w:right="1133"/>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重要合营企业的主要财务信息" w:id="421"/>
      <w:bookmarkEnd w:id="421"/>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重要联营企业的主要财务信息" w:id="422"/>
      <w:bookmarkEnd w:id="422"/>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杭州银江智慧产业创业投资合伙企业</w:t>
            </w:r>
          </w:p>
          <w:p>
            <w:pPr>
              <w:pStyle w:val="TableParagraph"/>
              <w:spacing w:line="240" w:lineRule="auto" w:before="76"/>
              <w:ind w:left="12" w:right="0"/>
              <w:jc w:val="center"/>
              <w:rPr>
                <w:rFonts w:ascii="宋体" w:hAnsi="宋体" w:cs="宋体" w:eastAsia="宋体" w:hint="default"/>
                <w:sz w:val="18"/>
                <w:szCs w:val="18"/>
              </w:rPr>
            </w:pPr>
            <w:r>
              <w:rPr>
                <w:rFonts w:ascii="宋体" w:hAnsi="宋体" w:cs="宋体" w:eastAsia="宋体" w:hint="default"/>
                <w:sz w:val="18"/>
                <w:szCs w:val="18"/>
              </w:rPr>
              <w:t>（有限合伙）</w:t>
            </w:r>
          </w:p>
        </w:tc>
        <w:tc>
          <w:tcPr>
            <w:tcW w:w="3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杭州银江智慧产业创业投资合伙企业</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（有限合伙）</w:t>
            </w:r>
          </w:p>
        </w:tc>
      </w:tr>
      <w:tr>
        <w:trPr>
          <w:trHeight w:val="394"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
        </w:tc>
        <w:tc>
          <w:tcPr>
            <w:tcW w:w="3201" w:type="dxa"/>
            <w:vMerge/>
            <w:tcBorders>
              <w:left w:val="single" w:sz="4" w:space="0" w:color="000000"/>
              <w:right w:val="single" w:sz="4" w:space="0" w:color="000000"/>
            </w:tcBorders>
            <w:shd w:val="clear" w:color="auto" w:fill="D2D2D2"/>
          </w:tcPr>
          <w:p>
            <w:pPr/>
          </w:p>
        </w:tc>
        <w:tc>
          <w:tcPr>
            <w:tcW w:w="3193" w:type="dxa"/>
            <w:vMerge/>
            <w:tcBorders>
              <w:left w:val="single" w:sz="4" w:space="0" w:color="000000"/>
              <w:right w:val="single" w:sz="4" w:space="0" w:color="000000"/>
            </w:tcBorders>
            <w:shd w:val="clear" w:color="auto" w:fill="D2D2D2"/>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4" w:space="0" w:color="000000"/>
              <w:bottom w:val="single" w:sz="4" w:space="0" w:color="000000"/>
              <w:right w:val="single" w:sz="4" w:space="0" w:color="000000"/>
            </w:tcBorders>
            <w:shd w:val="clear" w:color="auto" w:fill="D2D2D2"/>
          </w:tcPr>
          <w:p>
            <w:pPr/>
          </w:p>
        </w:tc>
        <w:tc>
          <w:tcPr>
            <w:tcW w:w="31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301,316,045.35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7,743,450.50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917,109,650.70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686,960,099.37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1,218,425,696.05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694,703,549.87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130,459,538.76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9,062,333.30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130,459,538.76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9,062,333.30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28,313,517.63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1,147,358.97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384,300,690.65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248,243,105.69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146,182,437.75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242,831,916.46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522,219,770.22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482,811,663.97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19,982,780.67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4,377,636.30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54,055,095.53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-58,007,600.50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54,055,095.53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-58,007,600.50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前期利润比例差异部分</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-8,263,358.18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-8,263,358.18</w:t>
            </w:r>
          </w:p>
        </w:tc>
      </w:tr>
    </w:tbl>
    <w:p>
      <w:pPr>
        <w:pStyle w:val="BodyText"/>
        <w:spacing w:line="338" w:lineRule="auto" w:before="49"/>
        <w:ind w:right="1119"/>
        <w:jc w:val="left"/>
      </w:pPr>
      <w:r>
        <w:rPr/>
        <w:t>其他说明 </w:t>
      </w:r>
      <w:r>
        <w:rPr>
          <w:spacing w:val="-2"/>
        </w:rPr>
        <w:t>注：本年度按持股比例计算的净资产份额与对联营企业权益投资的账面价值不一致的原因系股东尚未同步增资，其他股东尚</w:t>
      </w:r>
      <w:r>
        <w:rPr>
          <w:spacing w:val="-64"/>
        </w:rPr>
        <w:t> </w:t>
      </w:r>
      <w:r>
        <w:rPr>
          <w:spacing w:val="-64"/>
        </w:rPr>
      </w:r>
      <w:r>
        <w:rPr>
          <w:spacing w:val="16"/>
        </w:rPr>
        <w:t>未出资</w:t>
      </w:r>
      <w:r>
        <w:rPr>
          <w:spacing w:val="-67"/>
        </w:rPr>
        <w:t> </w:t>
      </w:r>
      <w:r>
        <w:rPr>
          <w:rFonts w:ascii="宋体" w:hAnsi="宋体" w:cs="宋体" w:eastAsia="宋体" w:hint="default"/>
        </w:rPr>
        <w:t>403,080,000.00</w:t>
      </w:r>
      <w:r>
        <w:rPr>
          <w:rFonts w:ascii="宋体" w:hAnsi="宋体" w:cs="宋体" w:eastAsia="宋体" w:hint="default"/>
          <w:spacing w:val="-65"/>
        </w:rPr>
        <w:t> </w:t>
      </w:r>
      <w:r>
        <w:rPr/>
        <w:t>元</w:t>
      </w:r>
      <w:r>
        <w:rPr>
          <w:spacing w:val="-68"/>
        </w:rPr>
        <w:t> </w:t>
      </w:r>
      <w:r>
        <w:rPr/>
        <w:t>，</w:t>
      </w:r>
      <w:r>
        <w:rPr>
          <w:spacing w:val="-70"/>
        </w:rPr>
        <w:t> </w:t>
      </w:r>
      <w:r>
        <w:rPr/>
        <w:t>导</w:t>
      </w:r>
      <w:r>
        <w:rPr>
          <w:spacing w:val="-68"/>
        </w:rPr>
        <w:t> </w:t>
      </w:r>
      <w:r>
        <w:rPr/>
        <w:t>致</w:t>
      </w:r>
      <w:r>
        <w:rPr>
          <w:spacing w:val="-68"/>
        </w:rPr>
        <w:t> </w:t>
      </w:r>
      <w:r>
        <w:rPr/>
        <w:t>按</w:t>
      </w:r>
      <w:r>
        <w:rPr>
          <w:spacing w:val="-68"/>
        </w:rPr>
        <w:t> </w:t>
      </w:r>
      <w:r>
        <w:rPr/>
        <w:t>持</w:t>
      </w:r>
      <w:r>
        <w:rPr>
          <w:spacing w:val="-68"/>
        </w:rPr>
        <w:t> </w:t>
      </w:r>
      <w:r>
        <w:rPr/>
        <w:t>股</w:t>
      </w:r>
      <w:r>
        <w:rPr>
          <w:spacing w:val="-68"/>
        </w:rPr>
        <w:t> </w:t>
      </w:r>
      <w:r>
        <w:rPr/>
        <w:t>比</w:t>
      </w:r>
      <w:r>
        <w:rPr>
          <w:spacing w:val="-68"/>
        </w:rPr>
        <w:t> </w:t>
      </w:r>
      <w:r>
        <w:rPr/>
        <w:t>例</w:t>
      </w:r>
      <w:r>
        <w:rPr>
          <w:spacing w:val="-68"/>
        </w:rPr>
        <w:t> </w:t>
      </w:r>
      <w:r>
        <w:rPr/>
        <w:t>计</w:t>
      </w:r>
      <w:r>
        <w:rPr>
          <w:spacing w:val="-68"/>
        </w:rPr>
        <w:t> </w:t>
      </w:r>
      <w:r>
        <w:rPr/>
        <w:t>算</w:t>
      </w:r>
      <w:r>
        <w:rPr>
          <w:spacing w:val="-68"/>
        </w:rPr>
        <w:t> </w:t>
      </w:r>
      <w:r>
        <w:rPr/>
        <w:t>的</w:t>
      </w:r>
      <w:r>
        <w:rPr>
          <w:spacing w:val="-65"/>
        </w:rPr>
        <w:t> </w:t>
      </w:r>
      <w:r>
        <w:rPr/>
        <w:t>净</w:t>
      </w:r>
      <w:r>
        <w:rPr>
          <w:spacing w:val="-68"/>
        </w:rPr>
        <w:t> </w:t>
      </w:r>
      <w:r>
        <w:rPr/>
        <w:t>资</w:t>
      </w:r>
      <w:r>
        <w:rPr>
          <w:spacing w:val="-65"/>
        </w:rPr>
        <w:t> </w:t>
      </w:r>
      <w:r>
        <w:rPr/>
        <w:t>产</w:t>
      </w:r>
      <w:r>
        <w:rPr>
          <w:spacing w:val="-68"/>
        </w:rPr>
        <w:t> </w:t>
      </w:r>
      <w:r>
        <w:rPr/>
        <w:t>份</w:t>
      </w:r>
      <w:r>
        <w:rPr>
          <w:spacing w:val="-68"/>
        </w:rPr>
        <w:t> </w:t>
      </w:r>
      <w:r>
        <w:rPr/>
        <w:t>额</w:t>
      </w:r>
      <w:r>
        <w:rPr>
          <w:spacing w:val="-68"/>
        </w:rPr>
        <w:t> </w:t>
      </w:r>
      <w:r>
        <w:rPr/>
        <w:t>比</w:t>
      </w:r>
      <w:r>
        <w:rPr>
          <w:spacing w:val="-68"/>
        </w:rPr>
        <w:t> </w:t>
      </w:r>
      <w:r>
        <w:rPr/>
        <w:t>公</w:t>
      </w:r>
      <w:r>
        <w:rPr>
          <w:spacing w:val="-68"/>
        </w:rPr>
        <w:t> </w:t>
      </w:r>
      <w:r>
        <w:rPr/>
        <w:t>司</w:t>
      </w:r>
      <w:r>
        <w:rPr>
          <w:spacing w:val="-68"/>
        </w:rPr>
        <w:t> </w:t>
      </w:r>
      <w:r>
        <w:rPr/>
        <w:t>对</w:t>
      </w:r>
      <w:r>
        <w:rPr>
          <w:spacing w:val="-68"/>
        </w:rPr>
        <w:t> </w:t>
      </w:r>
      <w:r>
        <w:rPr/>
        <w:t>联</w:t>
      </w:r>
      <w:r>
        <w:rPr>
          <w:spacing w:val="-68"/>
        </w:rPr>
        <w:t> </w:t>
      </w:r>
      <w:r>
        <w:rPr/>
        <w:t>营</w:t>
      </w:r>
      <w:r>
        <w:rPr>
          <w:spacing w:val="-68"/>
        </w:rPr>
        <w:t> </w:t>
      </w:r>
      <w:r>
        <w:rPr/>
        <w:t>企</w:t>
      </w:r>
      <w:r>
        <w:rPr>
          <w:spacing w:val="-65"/>
        </w:rPr>
        <w:t> </w:t>
      </w:r>
      <w:r>
        <w:rPr/>
        <w:t>业</w:t>
      </w:r>
      <w:r>
        <w:rPr>
          <w:spacing w:val="-68"/>
        </w:rPr>
        <w:t> </w:t>
      </w:r>
      <w:r>
        <w:rPr/>
        <w:t>权</w:t>
      </w:r>
      <w:r>
        <w:rPr>
          <w:spacing w:val="-65"/>
        </w:rPr>
        <w:t> </w:t>
      </w:r>
      <w:r>
        <w:rPr/>
        <w:t>益</w:t>
      </w:r>
      <w:r>
        <w:rPr>
          <w:spacing w:val="-68"/>
        </w:rPr>
        <w:t> </w:t>
      </w:r>
      <w:r>
        <w:rPr/>
        <w:t>投</w:t>
      </w:r>
      <w:r>
        <w:rPr>
          <w:spacing w:val="-68"/>
        </w:rPr>
        <w:t> </w:t>
      </w:r>
      <w:r>
        <w:rPr/>
        <w:t>资</w:t>
      </w:r>
      <w:r>
        <w:rPr>
          <w:spacing w:val="-68"/>
        </w:rPr>
        <w:t> </w:t>
      </w:r>
      <w:r>
        <w:rPr/>
        <w:t>的</w:t>
      </w:r>
      <w:r>
        <w:rPr>
          <w:spacing w:val="-68"/>
        </w:rPr>
        <w:t> </w:t>
      </w:r>
      <w:r>
        <w:rPr/>
        <w:t>账</w:t>
      </w:r>
      <w:r>
        <w:rPr>
          <w:spacing w:val="-68"/>
        </w:rPr>
        <w:t> </w:t>
      </w:r>
      <w:r>
        <w:rPr/>
        <w:t>面</w:t>
      </w:r>
      <w:r>
        <w:rPr>
          <w:spacing w:val="-68"/>
        </w:rPr>
        <w:t> </w:t>
      </w:r>
      <w:r>
        <w:rPr/>
        <w:t>价</w:t>
      </w:r>
      <w:r>
        <w:rPr>
          <w:spacing w:val="-68"/>
        </w:rPr>
        <w:t> </w:t>
      </w:r>
      <w:r>
        <w:rPr/>
        <w:t>值</w:t>
      </w:r>
      <w:r>
        <w:rPr>
          <w:spacing w:val="-68"/>
        </w:rPr>
        <w:t> </w:t>
      </w:r>
      <w:r>
        <w:rPr/>
        <w:t>金</w:t>
      </w:r>
      <w:r>
        <w:rPr>
          <w:spacing w:val="-68"/>
        </w:rPr>
        <w:t> </w:t>
      </w:r>
      <w:r>
        <w:rPr/>
        <w:t>额</w:t>
      </w:r>
      <w:r>
        <w:rPr>
          <w:spacing w:val="-65"/>
        </w:rPr>
        <w:t> </w:t>
      </w:r>
      <w:r>
        <w:rPr/>
        <w:t>相</w:t>
      </w:r>
      <w:r>
        <w:rPr>
          <w:spacing w:val="-68"/>
        </w:rPr>
        <w:t> </w:t>
      </w:r>
      <w:r>
        <w:rPr/>
        <w:t>差</w:t>
      </w:r>
    </w:p>
    <w:p>
      <w:pPr>
        <w:pStyle w:val="BodyText"/>
        <w:spacing w:line="240" w:lineRule="auto" w:before="3"/>
        <w:ind w:right="1133"/>
        <w:jc w:val="left"/>
      </w:pPr>
      <w:r>
        <w:rPr>
          <w:rFonts w:ascii="宋体" w:hAnsi="宋体" w:cs="宋体" w:eastAsia="宋体" w:hint="default"/>
        </w:rPr>
        <w:t>146,182,437.75</w:t>
      </w:r>
      <w:r>
        <w:rPr/>
        <w:t>元（即尚未出资金额乘以本公司持有的联营企业的股权比例）。</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不重要的合营企业和联营企业的汇总财务信息" w:id="423"/>
      <w:bookmarkEnd w:id="423"/>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9"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127,776,729.59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130,695,682.23</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9"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-1,667,838.03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-1,575,631.79</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-1,667,838.03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-1,575,631.79</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合营企业或联营企业向本公司转移资金的能力存在重大限制的说明" w:id="424"/>
      <w:bookmarkEnd w:id="424"/>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6）合营企业或联营企业发生的超额亏损" w:id="425"/>
      <w:bookmarkEnd w:id="425"/>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7）与合营企业投资相关的未确认承诺" w:id="426"/>
      <w:bookmarkEnd w:id="426"/>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8）与合营企业或联营企业投资相关的或有负债" w:id="427"/>
      <w:bookmarkEnd w:id="427"/>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重要的共同经营" w:id="428"/>
      <w:bookmarkEnd w:id="428"/>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5、在未纳入合并财务报表范围的结构化主体中的权益" w:id="429"/>
      <w:bookmarkEnd w:id="429"/>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6、其他" w:id="430"/>
      <w:bookmarkEnd w:id="430"/>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133"/>
        <w:jc w:val="left"/>
        <w:rPr>
          <w:b w:val="0"/>
          <w:bCs w:val="0"/>
        </w:rPr>
      </w:pPr>
      <w:bookmarkStart w:name="十、与金融工具相关的风险" w:id="431"/>
      <w:bookmarkEnd w:id="431"/>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4"/>
        <w:jc w:val="left"/>
      </w:pPr>
      <w:r>
        <w:rPr/>
        <w:t>本集团的主要金融工具包括股权投资、借款、应收账款、应付账款等，各项金融工具的详细情况说明见本附注六相关项目。 </w:t>
      </w:r>
      <w:r>
        <w:rPr>
          <w:spacing w:val="-2"/>
        </w:rPr>
        <w:t>与这些金融工具有关的风险，以及本集团为降低这些风险所采取的风险管理政策如下所述。本集团管理层对这些风险敞口进</w:t>
      </w:r>
      <w:r>
        <w:rPr>
          <w:spacing w:val="-64"/>
        </w:rPr>
        <w:t> </w:t>
      </w:r>
      <w:r>
        <w:rPr>
          <w:spacing w:val="-64"/>
        </w:rPr>
      </w:r>
      <w:r>
        <w:rPr/>
        <w:t>行管理和监控以确保将上述风险控制在限定的范围之内。 </w:t>
      </w:r>
      <w:r>
        <w:rPr>
          <w:spacing w:val="-2"/>
        </w:rPr>
        <w:t>本集团采用敏感性分析技术分析风险变量的合理、可能变化对当期损益或股东权益可能产生的影响。由于任何风险变量很少</w:t>
      </w:r>
      <w:r>
        <w:rPr>
          <w:spacing w:val="-64"/>
        </w:rPr>
        <w:t> </w:t>
      </w:r>
      <w:r>
        <w:rPr>
          <w:spacing w:val="-64"/>
        </w:rPr>
      </w:r>
      <w:r>
        <w:rPr>
          <w:spacing w:val="-2"/>
        </w:rPr>
        <w:t>孤立地发生变化，而变量之间存在的相关性对某一风险变量的变化的最终影响金额将产生重大作用，因此下述内容是在假设</w:t>
      </w:r>
      <w:r>
        <w:rPr>
          <w:spacing w:val="-64"/>
        </w:rPr>
        <w:t> </w:t>
      </w:r>
      <w:r>
        <w:rPr>
          <w:spacing w:val="-64"/>
        </w:rPr>
      </w:r>
      <w:r>
        <w:rPr/>
        <w:t>每一变量的变化是在独立的情况下进行的。</w:t>
      </w:r>
    </w:p>
    <w:p>
      <w:pPr>
        <w:pStyle w:val="BodyText"/>
        <w:spacing w:line="240" w:lineRule="auto" w:before="19"/>
        <w:ind w:right="1133"/>
        <w:jc w:val="left"/>
      </w:pPr>
      <w:r>
        <w:rPr>
          <w:rFonts w:ascii="宋体" w:hAnsi="宋体" w:cs="宋体" w:eastAsia="宋体" w:hint="default"/>
        </w:rPr>
        <w:t>1.</w:t>
      </w:r>
      <w:r>
        <w:rPr/>
        <w:t>风险管理目标和政策</w:t>
      </w:r>
    </w:p>
    <w:p>
      <w:pPr>
        <w:pStyle w:val="BodyText"/>
        <w:spacing w:line="240" w:lineRule="auto" w:before="76"/>
        <w:ind w:right="1133"/>
        <w:jc w:val="left"/>
      </w:pPr>
      <w:r>
        <w:rPr>
          <w:rFonts w:ascii="宋体" w:hAnsi="宋体" w:cs="宋体" w:eastAsia="宋体" w:hint="default"/>
        </w:rPr>
        <w:t>1.</w:t>
      </w:r>
      <w:r>
        <w:rPr/>
        <w:t>市场风险</w:t>
      </w:r>
    </w:p>
    <w:p>
      <w:pPr>
        <w:pStyle w:val="BodyText"/>
        <w:spacing w:line="316" w:lineRule="auto" w:before="76"/>
        <w:ind w:right="1119"/>
        <w:jc w:val="left"/>
      </w:pPr>
      <w:r>
        <w:rPr>
          <w:rFonts w:ascii="宋体" w:hAnsi="宋体" w:cs="宋体" w:eastAsia="宋体" w:hint="default"/>
        </w:rPr>
        <w:t>1.</w:t>
      </w:r>
      <w:r>
        <w:rPr/>
        <w:t>外汇风险 </w:t>
      </w:r>
      <w:r>
        <w:rPr>
          <w:spacing w:val="-2"/>
        </w:rPr>
        <w:t>外汇风险指因汇率变动产生损失的风险。本公司承受外汇风险主要与美元有关，公司年末拥有金额较小的外币资产，该等外</w:t>
      </w:r>
      <w:r>
        <w:rPr>
          <w:spacing w:val="-63"/>
        </w:rPr>
        <w:t> </w:t>
      </w:r>
      <w:r>
        <w:rPr>
          <w:spacing w:val="-63"/>
        </w:rPr>
      </w:r>
      <w:r>
        <w:rPr/>
        <w:t>币余额的资产产生的外汇风险对本公司的经营业绩不会产生重要影响。</w:t>
      </w:r>
    </w:p>
    <w:p>
      <w:pPr>
        <w:pStyle w:val="BodyText"/>
        <w:spacing w:line="316" w:lineRule="auto" w:before="19"/>
        <w:ind w:right="0"/>
        <w:jc w:val="left"/>
      </w:pPr>
      <w:r>
        <w:rPr>
          <w:rFonts w:ascii="宋体" w:hAnsi="宋体" w:cs="宋体" w:eastAsia="宋体" w:hint="default"/>
        </w:rPr>
        <w:t>2.</w:t>
      </w:r>
      <w:r>
        <w:rPr/>
        <w:t>利率风险－现金流量变动风险 </w:t>
      </w:r>
      <w:r>
        <w:rPr>
          <w:spacing w:val="-2"/>
        </w:rPr>
        <w:t>利率风险，是指金融工具的公允价值或未来现金流量因市场利率变动而发生波动的风险。本公司面临的利率风险主要来源于</w:t>
      </w:r>
      <w:r>
        <w:rPr>
          <w:spacing w:val="-64"/>
        </w:rPr>
        <w:t> </w:t>
      </w:r>
      <w:r>
        <w:rPr>
          <w:spacing w:val="-64"/>
        </w:rPr>
      </w:r>
      <w:r>
        <w:rPr/>
        <w:t>银行短期借款。</w:t>
      </w:r>
    </w:p>
    <w:p>
      <w:pPr>
        <w:pStyle w:val="BodyText"/>
        <w:spacing w:line="316" w:lineRule="auto" w:before="19"/>
        <w:ind w:right="1131"/>
        <w:jc w:val="both"/>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日，公司短期借款余额</w:t>
      </w:r>
      <w:r>
        <w:rPr>
          <w:rFonts w:ascii="宋体" w:hAnsi="宋体" w:cs="宋体" w:eastAsia="宋体" w:hint="default"/>
        </w:rPr>
        <w:t>1,634,650,000.00</w:t>
      </w:r>
      <w:r>
        <w:rPr/>
        <w:t>元，利率维持在</w:t>
      </w:r>
      <w:r>
        <w:rPr>
          <w:rFonts w:ascii="宋体" w:hAnsi="宋体" w:cs="宋体" w:eastAsia="宋体" w:hint="default"/>
        </w:rPr>
        <w:t>4.3000%-6.5250%</w:t>
      </w:r>
      <w:r>
        <w:rPr/>
        <w:t>。如未来贷款利率上升或下降 </w:t>
      </w:r>
      <w:r>
        <w:rPr>
          <w:rFonts w:ascii="宋体" w:hAnsi="宋体" w:cs="宋体" w:eastAsia="宋体" w:hint="default"/>
          <w:spacing w:val="-2"/>
        </w:rPr>
        <w:t>10.00%</w:t>
      </w:r>
      <w:r>
        <w:rPr>
          <w:spacing w:val="-2"/>
        </w:rPr>
        <w:t>，则本公司的净利润将减少或增加</w:t>
      </w:r>
      <w:r>
        <w:rPr>
          <w:rFonts w:ascii="宋体" w:hAnsi="宋体" w:cs="宋体" w:eastAsia="宋体" w:hint="default"/>
          <w:spacing w:val="-2"/>
        </w:rPr>
        <w:t>8,546,282.70</w:t>
      </w:r>
      <w:r>
        <w:rPr>
          <w:spacing w:val="-2"/>
        </w:rPr>
        <w:t>元。管理层认为</w:t>
      </w:r>
      <w:r>
        <w:rPr>
          <w:rFonts w:ascii="宋体" w:hAnsi="宋体" w:cs="宋体" w:eastAsia="宋体" w:hint="default"/>
          <w:spacing w:val="-2"/>
        </w:rPr>
        <w:t>10.00%</w:t>
      </w:r>
      <w:r>
        <w:rPr>
          <w:spacing w:val="-2"/>
        </w:rPr>
        <w:t>波动比例合理反映了下一年度利率可能发生变</w:t>
      </w:r>
      <w:r>
        <w:rPr>
          <w:spacing w:val="-51"/>
        </w:rPr>
        <w:t> </w:t>
      </w:r>
      <w:r>
        <w:rPr>
          <w:spacing w:val="-51"/>
        </w:rPr>
      </w:r>
      <w:r>
        <w:rPr/>
        <w:t>动的合理范围。</w:t>
      </w:r>
    </w:p>
    <w:p>
      <w:pPr>
        <w:pStyle w:val="BodyText"/>
        <w:spacing w:line="316" w:lineRule="auto" w:before="19"/>
        <w:ind w:right="0"/>
        <w:jc w:val="left"/>
      </w:pPr>
      <w:r>
        <w:rPr>
          <w:rFonts w:ascii="宋体" w:hAnsi="宋体" w:cs="宋体" w:eastAsia="宋体" w:hint="default"/>
        </w:rPr>
        <w:t>3.</w:t>
      </w:r>
      <w:r>
        <w:rPr/>
        <w:t>其他价格风险 </w:t>
      </w:r>
      <w:r>
        <w:rPr>
          <w:spacing w:val="-2"/>
        </w:rPr>
        <w:t>本集团持有的分类为以公允价值计量且其变动计入当期损益、以公允价值计量且其变动计入其他综合收益的金融资产的投资</w:t>
      </w:r>
    </w:p>
    <w:p>
      <w:pPr>
        <w:pStyle w:val="BodyText"/>
        <w:spacing w:line="240" w:lineRule="auto" w:before="19"/>
        <w:ind w:right="0"/>
        <w:jc w:val="left"/>
      </w:pPr>
      <w:r>
        <w:rPr/>
        <w:t>（</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日或之前为可供出售金融资产和交易性金融资产）在资产负债表日以公允价值计量。因此，本集团承担着证</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3374"/>
        <w:jc w:val="left"/>
      </w:pPr>
      <w:r>
        <w:rPr/>
        <w:t>券市场变动的风险。本集团采取持有多种权益证券组合的方式降低权益证券投资的价格风险。 </w:t>
      </w:r>
      <w:r>
        <w:rPr>
          <w:rFonts w:ascii="宋体" w:hAnsi="宋体" w:cs="宋体" w:eastAsia="宋体" w:hint="default"/>
        </w:rPr>
        <w:t>1.</w:t>
      </w:r>
      <w:r>
        <w:rPr/>
        <w:t>信用风险</w:t>
      </w:r>
    </w:p>
    <w:p>
      <w:pPr>
        <w:pStyle w:val="BodyText"/>
        <w:spacing w:line="316" w:lineRule="auto" w:before="17"/>
        <w:ind w:right="1119"/>
        <w:jc w:val="left"/>
      </w:pPr>
      <w:r>
        <w:rPr>
          <w:spacing w:val="-2"/>
        </w:rPr>
        <w:t>信用风险是指金融工具的一方不履行义务，造成另一方发生财务损失的风险。本公司主要面临赊销导致的客户信用风险。在</w:t>
      </w:r>
      <w:r>
        <w:rPr>
          <w:spacing w:val="-62"/>
        </w:rPr>
        <w:t> </w:t>
      </w:r>
      <w:r>
        <w:rPr>
          <w:spacing w:val="-62"/>
        </w:rPr>
      </w:r>
      <w:r>
        <w:rPr>
          <w:spacing w:val="-2"/>
        </w:rPr>
        <w:t>签订新合同之前，本公司会对新客户的信用风险进行评估，包括外部信用评级和在某些情况下的银行资信证明（当此信息可</w:t>
      </w:r>
      <w:r>
        <w:rPr>
          <w:spacing w:val="-63"/>
        </w:rPr>
        <w:t> </w:t>
      </w:r>
      <w:r>
        <w:rPr>
          <w:spacing w:val="-63"/>
        </w:rPr>
      </w:r>
      <w:r>
        <w:rPr/>
        <w:t>获取时）。 公司通过对已有客户信用评级的季度监控以及应收账款账龄分析的月度审核来确保公司的整体信用风险在可控的范围内。 </w:t>
      </w:r>
      <w:r>
        <w:rPr>
          <w:rFonts w:ascii="宋体" w:hAnsi="宋体" w:cs="宋体" w:eastAsia="宋体" w:hint="default"/>
        </w:rPr>
        <w:t>2.</w:t>
      </w:r>
      <w:r>
        <w:rPr/>
        <w:t>流动风险 </w:t>
      </w:r>
      <w:r>
        <w:rPr>
          <w:spacing w:val="-2"/>
        </w:rPr>
        <w:t>管理流动风险时，本集团保持管理层认为充分的现金及现金等价物并对其进行监控，以满足本集团经营需要，并降低现金流</w:t>
      </w:r>
      <w:r>
        <w:rPr>
          <w:spacing w:val="-63"/>
        </w:rPr>
        <w:t> </w:t>
      </w:r>
      <w:r>
        <w:rPr>
          <w:spacing w:val="-63"/>
        </w:rPr>
      </w:r>
      <w:r>
        <w:rPr/>
        <w:t>量波动的影响。本集团管理层对银行借款的使用情况进行监控并确保遵守借款协议。 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日，本集团持有的金融负债按未折现剩余合同义务的到期期限分析如下：</w:t>
      </w:r>
    </w:p>
    <w:tbl>
      <w:tblPr>
        <w:tblW w:w="0" w:type="auto"/>
        <w:jc w:val="left"/>
        <w:tblInd w:w="148" w:type="dxa"/>
        <w:tblLayout w:type="fixed"/>
        <w:tblCellMar>
          <w:top w:w="0" w:type="dxa"/>
          <w:left w:w="0" w:type="dxa"/>
          <w:bottom w:w="0" w:type="dxa"/>
          <w:right w:w="0" w:type="dxa"/>
        </w:tblCellMar>
        <w:tblLook w:val="01E0"/>
      </w:tblPr>
      <w:tblGrid>
        <w:gridCol w:w="1251"/>
        <w:gridCol w:w="1688"/>
        <w:gridCol w:w="1589"/>
        <w:gridCol w:w="1472"/>
        <w:gridCol w:w="1531"/>
        <w:gridCol w:w="1688"/>
      </w:tblGrid>
      <w:tr>
        <w:trPr>
          <w:trHeight w:val="341" w:hRule="exact"/>
        </w:trPr>
        <w:tc>
          <w:tcPr>
            <w:tcW w:w="1251" w:type="dxa"/>
            <w:vMerge w:val="restart"/>
            <w:tcBorders>
              <w:top w:val="single" w:sz="4" w:space="0" w:color="000000"/>
              <w:left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9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3" w:hRule="exact"/>
        </w:trPr>
        <w:tc>
          <w:tcPr>
            <w:tcW w:w="1251"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2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至</w:t>
            </w:r>
            <w:r>
              <w:rPr>
                <w:rFonts w:ascii="宋体" w:hAnsi="宋体" w:cs="宋体" w:eastAsia="宋体" w:hint="default"/>
                <w:sz w:val="18"/>
                <w:szCs w:val="18"/>
              </w:rPr>
              <w:t>2</w:t>
            </w:r>
            <w:r>
              <w:rPr>
                <w:rFonts w:ascii="宋体" w:hAnsi="宋体" w:cs="宋体" w:eastAsia="宋体" w:hint="default"/>
                <w:sz w:val="18"/>
                <w:szCs w:val="18"/>
              </w:rPr>
              <w:t>年</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至</w:t>
            </w:r>
            <w:r>
              <w:rPr>
                <w:rFonts w:ascii="宋体" w:hAnsi="宋体" w:cs="宋体" w:eastAsia="宋体" w:hint="default"/>
                <w:sz w:val="18"/>
                <w:szCs w:val="18"/>
              </w:rPr>
              <w:t>3</w:t>
            </w:r>
            <w:r>
              <w:rPr>
                <w:rFonts w:ascii="宋体" w:hAnsi="宋体" w:cs="宋体" w:eastAsia="宋体" w:hint="default"/>
                <w:sz w:val="18"/>
                <w:szCs w:val="18"/>
              </w:rPr>
              <w:t>年</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spacing w:val="-1"/>
                <w:sz w:val="18"/>
              </w:rPr>
              <w:t>1,634,650,000.00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宋体" w:hAnsi="宋体" w:cs="宋体" w:eastAsia="宋体" w:hint="default"/>
                <w:sz w:val="18"/>
                <w:szCs w:val="18"/>
              </w:rPr>
            </w:pPr>
            <w:r>
              <w:rPr>
                <w:rFonts w:ascii="宋体"/>
                <w:spacing w:val="-1"/>
                <w:sz w:val="18"/>
              </w:rPr>
              <w:t>1,634,650,000.00</w:t>
            </w:r>
          </w:p>
        </w:tc>
      </w:tr>
      <w:tr>
        <w:trPr>
          <w:trHeight w:val="343"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61,522,868.51</w:t>
            </w:r>
          </w:p>
        </w:tc>
        <w:tc>
          <w:tcPr>
            <w:tcW w:w="1589"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61,522,868.51</w:t>
            </w:r>
          </w:p>
        </w:tc>
      </w:tr>
      <w:tr>
        <w:trPr>
          <w:trHeight w:val="341"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592,578,597.36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78,056,054.95</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42,324,572.21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89,798,687.18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802,757,911.70</w:t>
            </w:r>
          </w:p>
        </w:tc>
      </w:tr>
      <w:tr>
        <w:trPr>
          <w:trHeight w:val="343"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65,385,131.87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21,701,897.22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25,194,716.01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30,370,108.55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142,651,853.65</w:t>
            </w:r>
          </w:p>
        </w:tc>
      </w:tr>
      <w:tr>
        <w:trPr>
          <w:trHeight w:val="341"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1,150,950,000.00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1,150,950,000.00</w:t>
            </w:r>
          </w:p>
        </w:tc>
      </w:tr>
      <w:tr>
        <w:trPr>
          <w:trHeight w:val="343"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121,789,951.88</w:t>
            </w:r>
          </w:p>
        </w:tc>
        <w:tc>
          <w:tcPr>
            <w:tcW w:w="1589"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121,789,951.88</w:t>
            </w:r>
          </w:p>
        </w:tc>
      </w:tr>
      <w:tr>
        <w:trPr>
          <w:trHeight w:val="341"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605,871,738.49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101,886,647.59</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48,239,388.83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120,025,446.57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876,023,221.48</w:t>
            </w:r>
          </w:p>
        </w:tc>
      </w:tr>
      <w:tr>
        <w:trPr>
          <w:trHeight w:val="343"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111,528,713.72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56,796,226.09</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8,933,213.31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33,643,947.86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210,902,100.98</w:t>
            </w:r>
          </w:p>
        </w:tc>
      </w:tr>
    </w:tbl>
    <w:p>
      <w:pPr>
        <w:pStyle w:val="BodyText"/>
        <w:spacing w:line="240" w:lineRule="auto" w:before="19"/>
        <w:ind w:right="1133"/>
        <w:jc w:val="left"/>
      </w:pPr>
      <w:r>
        <w:rPr>
          <w:rFonts w:ascii="宋体" w:hAnsi="宋体" w:cs="宋体" w:eastAsia="宋体" w:hint="default"/>
        </w:rPr>
        <w:t>1.</w:t>
      </w:r>
      <w:r>
        <w:rPr/>
        <w:t>无金融资产转移。</w:t>
      </w:r>
    </w:p>
    <w:p>
      <w:pPr>
        <w:pStyle w:val="BodyText"/>
        <w:spacing w:line="240" w:lineRule="auto" w:before="76"/>
        <w:ind w:right="1133"/>
        <w:jc w:val="left"/>
      </w:pPr>
      <w:r>
        <w:rPr>
          <w:rFonts w:ascii="宋体" w:hAnsi="宋体" w:cs="宋体" w:eastAsia="宋体" w:hint="default"/>
        </w:rPr>
        <w:t>2.</w:t>
      </w:r>
      <w:r>
        <w:rPr/>
        <w:t>无金融资产与金融负债的抵销情况。</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bookmarkStart w:name="十一、公允价值的披露" w:id="432"/>
      <w:bookmarkEnd w:id="432"/>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以公允价值计量的资产和负债的期末公允价值" w:id="433"/>
      <w:bookmarkEnd w:id="433"/>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58"/>
        <w:gridCol w:w="1996"/>
        <w:gridCol w:w="1985"/>
        <w:gridCol w:w="1985"/>
        <w:gridCol w:w="1445"/>
      </w:tblGrid>
      <w:tr>
        <w:trPr>
          <w:trHeight w:val="206" w:hRule="exact"/>
        </w:trPr>
        <w:tc>
          <w:tcPr>
            <w:tcW w:w="2258" w:type="dxa"/>
            <w:tcBorders>
              <w:top w:val="single" w:sz="4" w:space="0" w:color="000000"/>
              <w:left w:val="single" w:sz="4" w:space="0" w:color="000000"/>
              <w:bottom w:val="nil" w:sz="6" w:space="0" w:color="auto"/>
              <w:right w:val="single" w:sz="4" w:space="0" w:color="000000"/>
            </w:tcBorders>
            <w:shd w:val="clear" w:color="auto" w:fill="D2D2D2"/>
          </w:tcPr>
          <w:p>
            <w:pPr/>
          </w:p>
        </w:tc>
        <w:tc>
          <w:tcPr>
            <w:tcW w:w="74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96" w:hRule="exact"/>
        </w:trPr>
        <w:tc>
          <w:tcPr>
            <w:tcW w:w="22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412" w:type="dxa"/>
            <w:gridSpan w:val="4"/>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58" w:type="dxa"/>
            <w:vMerge/>
            <w:tcBorders>
              <w:left w:val="single" w:sz="4" w:space="0" w:color="000000"/>
              <w:bottom w:val="nil" w:sz="6" w:space="0" w:color="auto"/>
              <w:right w:val="single" w:sz="4" w:space="0" w:color="000000"/>
            </w:tcBorders>
            <w:shd w:val="clear" w:color="auto" w:fill="D2D2D2"/>
          </w:tcPr>
          <w:p>
            <w:pPr/>
          </w:p>
        </w:tc>
        <w:tc>
          <w:tcPr>
            <w:tcW w:w="19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99"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86"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4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6" w:hRule="exact"/>
        </w:trPr>
        <w:tc>
          <w:tcPr>
            <w:tcW w:w="22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96"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44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40" w:right="0"/>
              <w:jc w:val="left"/>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（三）其他权益工具投资</w:t>
            </w:r>
          </w:p>
        </w:tc>
        <w:tc>
          <w:tcPr>
            <w:tcW w:w="19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12,224.08</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207,535,943.16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207,548,167.24</w:t>
            </w:r>
          </w:p>
        </w:tc>
      </w:tr>
      <w:tr>
        <w:trPr>
          <w:trHeight w:val="713"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持续以公允价值计量的资产 总额</w:t>
            </w:r>
          </w:p>
        </w:tc>
        <w:tc>
          <w:tcPr>
            <w:tcW w:w="19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12,224.08</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207,535,943.16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207,548,167.24</w:t>
            </w: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940" w:right="0"/>
              <w:jc w:val="left"/>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持续和非持续第一层次公允价值计量项目市价的确定依据" w:id="434"/>
      <w:bookmarkEnd w:id="434"/>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jc w:val="left"/>
      </w:pPr>
      <w:r>
        <w:rPr>
          <w:spacing w:val="-2"/>
        </w:rPr>
        <w:t>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日，公司持有的上市公司浙江金科文化产业股份有限公司</w:t>
      </w:r>
      <w:r>
        <w:rPr>
          <w:rFonts w:ascii="宋体" w:hAnsi="宋体" w:cs="宋体" w:eastAsia="宋体" w:hint="default"/>
          <w:spacing w:val="-2"/>
        </w:rPr>
        <w:t>3,832</w:t>
      </w:r>
      <w:r>
        <w:rPr>
          <w:spacing w:val="-2"/>
        </w:rPr>
        <w:t>股</w:t>
      </w:r>
      <w:r>
        <w:rPr>
          <w:rFonts w:ascii="宋体" w:hAnsi="宋体" w:cs="宋体" w:eastAsia="宋体" w:hint="default"/>
          <w:spacing w:val="-2"/>
        </w:rPr>
        <w:t>A</w:t>
      </w:r>
      <w:r>
        <w:rPr>
          <w:spacing w:val="-2"/>
        </w:rPr>
        <w:t>股上市股份，确定其股票的年末最后一</w:t>
      </w:r>
      <w:r>
        <w:rPr>
          <w:spacing w:val="-57"/>
        </w:rPr>
        <w:t> </w:t>
      </w:r>
      <w:r>
        <w:rPr>
          <w:spacing w:val="-57"/>
        </w:rPr>
      </w:r>
      <w:r>
        <w:rPr/>
        <w:t>个交易日的收盘价作为公允价值依据。</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持续和非持续第二层次公允价值计量项目，采用的估值技术和重要参数的定性及定量信" w:id="435"/>
      <w:bookmarkEnd w:id="435"/>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4、持续和非持续第三层次公允价值计量项目，采用的估值技术和重要参数的定性及定量信" w:id="436"/>
      <w:bookmarkEnd w:id="436"/>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jc w:val="both"/>
      </w:pPr>
      <w:r>
        <w:rPr>
          <w:spacing w:val="-2"/>
        </w:rPr>
        <w:t>公司所投资的权益工具采用收益法或者市场法进行估值不切实可行，且近期内该被投资公司并无引入外部投资者、股东之间</w:t>
      </w:r>
      <w:r>
        <w:rPr>
          <w:spacing w:val="-64"/>
        </w:rPr>
        <w:t> </w:t>
      </w:r>
      <w:r>
        <w:rPr>
          <w:spacing w:val="-64"/>
        </w:rPr>
      </w:r>
      <w:r>
        <w:rPr>
          <w:spacing w:val="-2"/>
        </w:rPr>
        <w:t>转让股权等可作为确定公允价值的参考依据的交易实际发生，公司认为其取得该项权益工具的成本作为公允价值最佳估计较</w:t>
      </w:r>
      <w:r>
        <w:rPr>
          <w:spacing w:val="-64"/>
        </w:rPr>
        <w:t> </w:t>
      </w:r>
      <w:r>
        <w:rPr>
          <w:spacing w:val="-64"/>
        </w:rPr>
      </w:r>
      <w:r>
        <w:rPr/>
        <w:t>为合理，故公司采用取得该项权益工具的成本作为其公允价值。</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5、持续的第三层次公允价值计量项目，期初与期末账面价值间的调节信息及不可观察参数" w:id="437"/>
      <w:bookmarkEnd w:id="437"/>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6、持续的公允价值计量项目，本期内发生各层级之间转换的，转换的原因及确定转换时点" w:id="438"/>
      <w:bookmarkEnd w:id="438"/>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7、本期内发生的估值技术变更及变更原因" w:id="439"/>
      <w:bookmarkEnd w:id="439"/>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8、不以公允价值计量的金融资产和金融负债的公允价值情况" w:id="440"/>
      <w:bookmarkEnd w:id="440"/>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bookmarkStart w:name="9、其他" w:id="441"/>
      <w:bookmarkEnd w:id="441"/>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关联方及关联交易" w:id="442"/>
      <w:bookmarkEnd w:id="442"/>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43"/>
      <w:bookmarkEnd w:id="44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984"/>
        <w:gridCol w:w="1205"/>
        <w:gridCol w:w="1913"/>
        <w:gridCol w:w="1275"/>
        <w:gridCol w:w="1595"/>
        <w:gridCol w:w="1595"/>
      </w:tblGrid>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宋体" w:hAnsi="宋体" w:cs="宋体" w:eastAsia="宋体" w:hint="default"/>
                <w:sz w:val="18"/>
                <w:szCs w:val="18"/>
              </w:rPr>
              <w:t>电子智能、投资开发等</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8" w:right="0"/>
              <w:jc w:val="left"/>
              <w:rPr>
                <w:rFonts w:ascii="Times New Roman" w:hAnsi="Times New Roman" w:cs="Times New Roman" w:eastAsia="Times New Roman" w:hint="default"/>
                <w:sz w:val="18"/>
                <w:szCs w:val="18"/>
              </w:rPr>
            </w:pPr>
            <w:r>
              <w:rPr>
                <w:rFonts w:ascii="Times New Roman"/>
                <w:sz w:val="18"/>
              </w:rPr>
              <w:t>25.54%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6" w:right="0"/>
              <w:jc w:val="left"/>
              <w:rPr>
                <w:rFonts w:ascii="Times New Roman" w:hAnsi="Times New Roman" w:cs="Times New Roman" w:eastAsia="Times New Roman" w:hint="default"/>
                <w:sz w:val="18"/>
                <w:szCs w:val="18"/>
              </w:rPr>
            </w:pPr>
            <w:r>
              <w:rPr>
                <w:rFonts w:ascii="Times New Roman"/>
                <w:sz w:val="18"/>
              </w:rPr>
              <w:t>25.54%</w:t>
            </w:r>
          </w:p>
        </w:tc>
      </w:tr>
    </w:tbl>
    <w:p>
      <w:pPr>
        <w:pStyle w:val="BodyText"/>
        <w:spacing w:line="357" w:lineRule="auto" w:before="49"/>
        <w:ind w:right="8054"/>
        <w:jc w:val="left"/>
      </w:pPr>
      <w:r>
        <w:rPr/>
        <w:t>本企业的母公司情况的说明 本企业最终控制方是王辉、刘健。 其他说明：</w:t>
      </w:r>
    </w:p>
    <w:p>
      <w:pPr>
        <w:spacing w:line="240" w:lineRule="auto" w:before="6"/>
        <w:rPr>
          <w:rFonts w:ascii="宋体" w:hAnsi="宋体" w:cs="宋体" w:eastAsia="宋体" w:hint="default"/>
          <w:sz w:val="20"/>
          <w:szCs w:val="20"/>
        </w:rPr>
      </w:pPr>
    </w:p>
    <w:p>
      <w:pPr>
        <w:spacing w:line="544" w:lineRule="auto" w:before="0"/>
        <w:ind w:left="152" w:right="4184" w:firstLine="0"/>
        <w:jc w:val="left"/>
        <w:rPr>
          <w:rFonts w:ascii="宋体" w:hAnsi="宋体" w:cs="宋体" w:eastAsia="宋体" w:hint="default"/>
          <w:sz w:val="21"/>
          <w:szCs w:val="21"/>
        </w:rPr>
      </w:pPr>
      <w:bookmarkStart w:name="2、本企业的子公司情况" w:id="444"/>
      <w:bookmarkEnd w:id="44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445"/>
      <w:bookmarkEnd w:id="445"/>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49"/>
        <w:ind w:right="2294"/>
        <w:jc w:val="left"/>
      </w:pPr>
      <w:r>
        <w:rPr/>
        <w:t>本企业重要的合营或联营企业详见附注九、</w:t>
      </w:r>
      <w:r>
        <w:rPr>
          <w:rFonts w:ascii="Times New Roman" w:hAnsi="Times New Roman" w:cs="Times New Roman" w:eastAsia="Times New Roman" w:hint="default"/>
        </w:rPr>
        <w:t>3</w:t>
      </w:r>
      <w:r>
        <w:rPr/>
        <w:t>、在合营安排或联营企业中的权益。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杭州银江医联网技术股份有限公司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北京欧迈特科技股份有限公司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上海银江智慧智能化技术有限公司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厦门银江智慧城市技术股份有限公司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浙江贤谷互联网技术有限公司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浙江智尔信息技术有限公司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杭州清普信息技术有限公司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北京银江瑞讯科技有限公司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杭州银江智慧产业创业投资合伙企业（有限合伙）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安徽新网讯科技发展有限公司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其他关联方情况" w:id="446"/>
      <w:bookmarkEnd w:id="44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银江孵化器股份有限公司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系银江科技集团有限公司控制的公司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杭州动享互联网技术有限公司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系银江科技集团有限公司的联营企业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浙江中网智慧水务科技有限公司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系银江科技集团有限公司控制的公司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浙江银创旅游宝科技有限公司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系银江科技集团有限公司控制的公司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浙江银创教育宝科技有限公司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系银江科技集团有限公司控制的公司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交通宝互联网技术有限公司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系银江科技集团有限公司控制的公司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城市宝互联网技术有限公司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系银江科技集团有限公司控制的公司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智谷创业园有限公司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系银江科技集团有限公司控制的公司</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关联交易情况" w:id="447"/>
      <w:bookmarkEnd w:id="44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购销商品、提供和接受劳务的关联交易" w:id="448"/>
      <w:bookmarkEnd w:id="44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63"/>
        <w:gridCol w:w="1558"/>
        <w:gridCol w:w="1702"/>
        <w:gridCol w:w="850"/>
        <w:gridCol w:w="853"/>
        <w:gridCol w:w="1346"/>
      </w:tblGrid>
      <w:tr>
        <w:trPr>
          <w:trHeight w:val="715"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1" w:right="59" w:hanging="92"/>
              <w:jc w:val="left"/>
              <w:rPr>
                <w:rFonts w:ascii="宋体" w:hAnsi="宋体" w:cs="宋体" w:eastAsia="宋体" w:hint="default"/>
                <w:sz w:val="18"/>
                <w:szCs w:val="18"/>
              </w:rPr>
            </w:pPr>
            <w:r>
              <w:rPr>
                <w:rFonts w:ascii="宋体" w:hAnsi="宋体" w:cs="宋体" w:eastAsia="宋体" w:hint="default"/>
                <w:sz w:val="18"/>
                <w:szCs w:val="18"/>
              </w:rPr>
              <w:t>获批的交 易额度</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62"/>
              <w:jc w:val="left"/>
              <w:rPr>
                <w:rFonts w:ascii="宋体" w:hAnsi="宋体" w:cs="宋体" w:eastAsia="宋体" w:hint="default"/>
                <w:sz w:val="18"/>
                <w:szCs w:val="18"/>
              </w:rPr>
            </w:pPr>
            <w:r>
              <w:rPr>
                <w:rFonts w:ascii="宋体" w:hAnsi="宋体" w:cs="宋体" w:eastAsia="宋体" w:hint="default"/>
                <w:sz w:val="18"/>
                <w:szCs w:val="18"/>
              </w:rPr>
              <w:t>是否超过 交易额度</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杭州清普信息技术有限公司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厦门银江智慧城市技术股份有限公司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2,495,600.00</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杭州动享互联网技术有限公司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855,500.00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浙江中网智慧水务科技有限公司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3,950,400.00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浙江银创旅游宝科技有限公司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交通宝互联网技术有限公司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765,500.00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3,858,700.00</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北京欧迈特科技股份有限公司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1,021,900.00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1,322,300.00</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银江孵化器股份有限公司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1,630,800.00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874,600.00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63"/>
        <w:gridCol w:w="1558"/>
        <w:gridCol w:w="1702"/>
        <w:gridCol w:w="850"/>
        <w:gridCol w:w="853"/>
        <w:gridCol w:w="1346"/>
      </w:tblGrid>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上海银江智慧智能化技术有限公司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4,621,300.00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安徽新网讯科技发展有限公司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10,495,200.00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4,558,600.00</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北京银江瑞讯科技有限公司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13,184,300.00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52,071,000.00</w:t>
            </w:r>
          </w:p>
        </w:tc>
      </w:tr>
    </w:tbl>
    <w:p>
      <w:pPr>
        <w:pStyle w:val="BodyText"/>
        <w:spacing w:line="240" w:lineRule="auto" w:before="49"/>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63"/>
        <w:gridCol w:w="2410"/>
        <w:gridCol w:w="1985"/>
        <w:gridCol w:w="1913"/>
      </w:tblGrid>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交通宝互联网技术有限公司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28,100.00</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浙江智尔信息技术有限公司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浙江银创教育宝科技有限公司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浙江中网智慧水务科技有限公司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厦门银江智慧城市技术股份有限公司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城市宝互联网技术有限公司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2,202,900.00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上海银江智慧智能化技术有限公司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2,571,700.00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94,300.00</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智谷创业园有限公司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建造合同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38,338,700.00</w:t>
            </w:r>
          </w:p>
        </w:tc>
      </w:tr>
    </w:tbl>
    <w:p>
      <w:pPr>
        <w:pStyle w:val="BodyText"/>
        <w:spacing w:line="240" w:lineRule="auto" w:before="49"/>
        <w:ind w:right="1133"/>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关联受托管理/承包及委托管理/出包情况" w:id="449"/>
      <w:bookmarkEnd w:id="449"/>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关联租赁情况" w:id="450"/>
      <w:bookmarkEnd w:id="450"/>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本公司作为出租方：</w:t>
      </w:r>
    </w:p>
    <w:p>
      <w:pPr>
        <w:pStyle w:val="BodyText"/>
        <w:spacing w:line="240" w:lineRule="auto" w:before="117"/>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交通宝互联网技术有限公司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经营租出资产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厦门银江智慧城市技术股份 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经营租出资产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274,900.00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954"/>
        <w:jc w:val="left"/>
      </w:pPr>
      <w:r>
        <w:rPr/>
        <w:t>本公司作为承租方：无 关联租赁情况说明</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bookmarkStart w:name="（4）关联担保情况" w:id="451"/>
      <w:bookmarkEnd w:id="451"/>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3"/>
        <w:jc w:val="left"/>
      </w:pPr>
      <w:r>
        <w:rPr/>
        <w:t>本公司作为被担保方</w:t>
      </w:r>
    </w:p>
    <w:p>
      <w:pPr>
        <w:pStyle w:val="BodyText"/>
        <w:spacing w:line="240" w:lineRule="auto" w:before="117"/>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38" w:lineRule="auto" w:before="49"/>
        <w:ind w:right="1124"/>
        <w:jc w:val="left"/>
      </w:pPr>
      <w:r>
        <w:rPr/>
        <w:t>关联担保情况说明 注（</w:t>
      </w:r>
      <w:r>
        <w:rPr>
          <w:rFonts w:ascii="宋体" w:hAnsi="宋体" w:cs="宋体" w:eastAsia="宋体" w:hint="default"/>
        </w:rPr>
        <w:t>1</w:t>
      </w:r>
      <w:r>
        <w:rPr/>
        <w:t>）</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27</w:t>
      </w:r>
      <w:r>
        <w:rPr/>
        <w:t>日，银江科技集团有限公司与中国工商银行股份有限公司杭州庆春路支行签订的最高额</w:t>
      </w:r>
      <w:r>
        <w:rPr>
          <w:rFonts w:ascii="宋体" w:hAnsi="宋体" w:cs="宋体" w:eastAsia="宋体" w:hint="default"/>
        </w:rPr>
        <w:t>30,000.00</w:t>
      </w:r>
      <w:r>
        <w:rPr/>
        <w:t>万元</w:t>
      </w:r>
      <w:r>
        <w:rPr>
          <w:spacing w:val="-3"/>
        </w:rPr>
        <w:t> </w:t>
      </w:r>
      <w:r>
        <w:rPr>
          <w:spacing w:val="-2"/>
        </w:rPr>
        <w:t>的</w:t>
      </w:r>
      <w:r>
        <w:rPr>
          <w:rFonts w:ascii="宋体" w:hAnsi="宋体" w:cs="宋体" w:eastAsia="宋体" w:hint="default"/>
          <w:spacing w:val="-2"/>
        </w:rPr>
        <w:t>2018</w:t>
      </w:r>
      <w:r>
        <w:rPr>
          <w:spacing w:val="-2"/>
        </w:rPr>
        <w:t>年庆春（保）字</w:t>
      </w:r>
      <w:r>
        <w:rPr>
          <w:rFonts w:ascii="宋体" w:hAnsi="宋体" w:cs="宋体" w:eastAsia="宋体" w:hint="default"/>
          <w:spacing w:val="-2"/>
        </w:rPr>
        <w:t>0012</w:t>
      </w:r>
      <w:r>
        <w:rPr>
          <w:spacing w:val="-2"/>
        </w:rPr>
        <w:t>号《最高额保证合同》。</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16</w:t>
      </w:r>
      <w:r>
        <w:rPr>
          <w:spacing w:val="-2"/>
        </w:rPr>
        <w:t>日，银江科技集团有限公司与中国工商银行股份有限公司</w:t>
      </w:r>
    </w:p>
    <w:p>
      <w:pPr>
        <w:pStyle w:val="BodyText"/>
        <w:spacing w:line="316" w:lineRule="auto" w:before="2"/>
        <w:ind w:right="1129"/>
        <w:jc w:val="both"/>
      </w:pPr>
      <w:r>
        <w:rPr>
          <w:spacing w:val="-2"/>
        </w:rPr>
        <w:t>杭州庆春路支行签订编号为</w:t>
      </w:r>
      <w:r>
        <w:rPr>
          <w:rFonts w:ascii="宋体" w:hAnsi="宋体" w:cs="宋体" w:eastAsia="宋体" w:hint="default"/>
          <w:spacing w:val="-2"/>
        </w:rPr>
        <w:t>2018</w:t>
      </w:r>
      <w:r>
        <w:rPr>
          <w:spacing w:val="-2"/>
        </w:rPr>
        <w:t>年庆春（保）字</w:t>
      </w:r>
      <w:r>
        <w:rPr>
          <w:rFonts w:ascii="宋体" w:hAnsi="宋体" w:cs="宋体" w:eastAsia="宋体" w:hint="default"/>
          <w:spacing w:val="-2"/>
        </w:rPr>
        <w:t>0012-1</w:t>
      </w:r>
      <w:r>
        <w:rPr>
          <w:spacing w:val="-2"/>
        </w:rPr>
        <w:t>号补充协议，协议主要内容为将主合同约定的最高额担保余额提高到</w:t>
      </w:r>
      <w:r>
        <w:rPr>
          <w:spacing w:val="-57"/>
        </w:rPr>
        <w:t> </w:t>
      </w:r>
      <w:r>
        <w:rPr>
          <w:spacing w:val="-57"/>
        </w:rPr>
      </w:r>
      <w:r>
        <w:rPr>
          <w:rFonts w:ascii="宋体" w:hAnsi="宋体" w:cs="宋体" w:eastAsia="宋体" w:hint="default"/>
        </w:rPr>
        <w:t>32,000.00</w:t>
      </w:r>
      <w:r>
        <w:rPr/>
        <w:t>万元。</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w:t>
      </w:r>
      <w:r>
        <w:rPr/>
        <w:t>日，银江科技集团有限公司与中国工商银行股份有限公司杭州庆春路支行签订编号为</w:t>
      </w:r>
      <w:r>
        <w:rPr>
          <w:rFonts w:ascii="宋体" w:hAnsi="宋体" w:cs="宋体" w:eastAsia="宋体" w:hint="default"/>
        </w:rPr>
        <w:t>2018</w:t>
      </w:r>
      <w:r>
        <w:rPr/>
        <w:t>年庆</w:t>
      </w:r>
      <w:r>
        <w:rPr>
          <w:spacing w:val="-3"/>
        </w:rPr>
        <w:t> </w:t>
      </w:r>
      <w:r>
        <w:rPr/>
        <w:t>春（保）字</w:t>
      </w:r>
      <w:r>
        <w:rPr>
          <w:rFonts w:ascii="宋体" w:hAnsi="宋体" w:cs="宋体" w:eastAsia="宋体" w:hint="default"/>
        </w:rPr>
        <w:t>0012-2</w:t>
      </w:r>
      <w:r>
        <w:rPr/>
        <w:t>号补充协议，协议主要内容为将主合同约定的最高额担保余额提高到</w:t>
      </w:r>
      <w:r>
        <w:rPr>
          <w:rFonts w:ascii="宋体" w:hAnsi="宋体" w:cs="宋体" w:eastAsia="宋体" w:hint="default"/>
        </w:rPr>
        <w:t>43,000.00</w:t>
      </w:r>
      <w:r>
        <w:rPr/>
        <w:t>万元，同时担保期限延长</w:t>
      </w:r>
      <w:r>
        <w:rPr>
          <w:spacing w:val="-87"/>
        </w:rPr>
        <w:t> </w:t>
      </w:r>
      <w:r>
        <w:rPr/>
        <w:t>至</w:t>
      </w:r>
      <w:r>
        <w:rPr>
          <w:rFonts w:ascii="宋体" w:hAnsi="宋体" w:cs="宋体" w:eastAsia="宋体" w:hint="default"/>
        </w:rPr>
        <w:t>2023</w:t>
      </w:r>
      <w:r>
        <w:rPr/>
        <w:t>年</w:t>
      </w:r>
      <w:r>
        <w:rPr>
          <w:rFonts w:ascii="宋体" w:hAnsi="宋体" w:cs="宋体" w:eastAsia="宋体" w:hint="default"/>
        </w:rPr>
        <w:t>5</w:t>
      </w:r>
      <w:r>
        <w:rPr/>
        <w:t>月</w:t>
      </w:r>
      <w:r>
        <w:rPr>
          <w:rFonts w:ascii="宋体" w:hAnsi="宋体" w:cs="宋体" w:eastAsia="宋体" w:hint="default"/>
        </w:rPr>
        <w:t>27</w:t>
      </w:r>
      <w:r>
        <w:rPr/>
        <w:t>日。上述担保合同为公司以下期借款提供担保：</w:t>
      </w:r>
    </w:p>
    <w:p>
      <w:pPr>
        <w:pStyle w:val="BodyText"/>
        <w:spacing w:line="316" w:lineRule="auto" w:before="19"/>
        <w:ind w:right="1133"/>
        <w:jc w:val="left"/>
      </w:pPr>
      <w:r>
        <w:rPr>
          <w:spacing w:val="-2"/>
        </w:rPr>
        <w:t>①为公司金额为</w:t>
      </w:r>
      <w:r>
        <w:rPr>
          <w:rFonts w:ascii="宋体" w:hAnsi="宋体" w:cs="宋体" w:eastAsia="宋体" w:hint="default"/>
          <w:spacing w:val="-2"/>
        </w:rPr>
        <w:t>7,000.00</w:t>
      </w:r>
      <w:r>
        <w:rPr>
          <w:spacing w:val="-2"/>
        </w:rPr>
        <w:t>万元（期限为</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29</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24</w:t>
      </w:r>
      <w:r>
        <w:rPr>
          <w:spacing w:val="-2"/>
        </w:rPr>
        <w:t>日）的短期借款提供担保，截至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w:t>
      </w:r>
      <w:r>
        <w:rPr>
          <w:spacing w:val="-47"/>
        </w:rPr>
        <w:t> </w:t>
      </w:r>
      <w:r>
        <w:rPr>
          <w:spacing w:val="-47"/>
        </w:rPr>
      </w:r>
      <w:r>
        <w:rPr/>
        <w:t>合同担保下的短期借款余额为</w:t>
      </w:r>
      <w:r>
        <w:rPr>
          <w:rFonts w:ascii="宋体" w:hAnsi="宋体" w:cs="宋体" w:eastAsia="宋体" w:hint="default"/>
        </w:rPr>
        <w:t>7,000.00</w:t>
      </w:r>
      <w:r>
        <w:rPr/>
        <w:t>万元，该短期借款所附的其他担保事项详见附注六、</w:t>
      </w:r>
      <w:r>
        <w:rPr>
          <w:rFonts w:ascii="宋体" w:hAnsi="宋体" w:cs="宋体" w:eastAsia="宋体" w:hint="default"/>
        </w:rPr>
        <w:t>51</w:t>
      </w:r>
      <w:r>
        <w:rPr/>
        <w:t>。</w:t>
      </w:r>
    </w:p>
    <w:p>
      <w:pPr>
        <w:pStyle w:val="BodyText"/>
        <w:spacing w:line="316" w:lineRule="auto" w:before="19"/>
        <w:ind w:right="1124"/>
        <w:jc w:val="left"/>
      </w:pPr>
      <w:r>
        <w:rPr/>
        <w:t>②为公司金额为</w:t>
      </w:r>
      <w:r>
        <w:rPr>
          <w:rFonts w:ascii="宋体" w:hAnsi="宋体" w:cs="宋体" w:eastAsia="宋体" w:hint="default"/>
        </w:rPr>
        <w:t>3,000.00</w:t>
      </w:r>
      <w:r>
        <w:rPr/>
        <w:t>万元（期限为</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1</w:t>
      </w:r>
      <w:r>
        <w:rPr/>
        <w:t>日至</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28</w:t>
      </w:r>
      <w:r>
        <w:rPr/>
        <w:t>日）的短期借款提供担保，截至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日，以上 合同担保下的短期借款余额为</w:t>
      </w:r>
      <w:r>
        <w:rPr>
          <w:rFonts w:ascii="宋体" w:hAnsi="宋体" w:cs="宋体" w:eastAsia="宋体" w:hint="default"/>
        </w:rPr>
        <w:t>3,000.00</w:t>
      </w:r>
      <w:r>
        <w:rPr/>
        <w:t>万元。</w:t>
      </w:r>
    </w:p>
    <w:p>
      <w:pPr>
        <w:pStyle w:val="BodyText"/>
        <w:spacing w:line="316" w:lineRule="auto" w:before="19"/>
        <w:ind w:right="1133"/>
        <w:jc w:val="left"/>
      </w:pPr>
      <w:r>
        <w:rPr>
          <w:spacing w:val="-2"/>
        </w:rPr>
        <w:t>③为公司金额为</w:t>
      </w:r>
      <w:r>
        <w:rPr>
          <w:rFonts w:ascii="宋体" w:hAnsi="宋体" w:cs="宋体" w:eastAsia="宋体" w:hint="default"/>
          <w:spacing w:val="-2"/>
        </w:rPr>
        <w:t>5,000.00</w:t>
      </w:r>
      <w:r>
        <w:rPr>
          <w:spacing w:val="-2"/>
        </w:rPr>
        <w:t>万元（期限为</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4</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w:t>
      </w:r>
      <w:r>
        <w:rPr>
          <w:spacing w:val="-2"/>
        </w:rPr>
        <w:t>日）的短期借款提供担保，截至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日，以上合</w:t>
      </w:r>
      <w:r>
        <w:rPr>
          <w:spacing w:val="-44"/>
        </w:rPr>
        <w:t> </w:t>
      </w:r>
      <w:r>
        <w:rPr>
          <w:spacing w:val="-44"/>
        </w:rPr>
      </w:r>
      <w:r>
        <w:rPr/>
        <w:t>同担保下的短期借款余额为</w:t>
      </w:r>
      <w:r>
        <w:rPr>
          <w:rFonts w:ascii="宋体" w:hAnsi="宋体" w:cs="宋体" w:eastAsia="宋体" w:hint="default"/>
        </w:rPr>
        <w:t>5,000.00</w:t>
      </w:r>
      <w:r>
        <w:rPr/>
        <w:t>万元。</w:t>
      </w:r>
    </w:p>
    <w:p>
      <w:pPr>
        <w:pStyle w:val="BodyText"/>
        <w:spacing w:line="316" w:lineRule="auto" w:before="19"/>
        <w:ind w:right="1133"/>
        <w:jc w:val="left"/>
      </w:pPr>
      <w:r>
        <w:rPr>
          <w:spacing w:val="-2"/>
        </w:rPr>
        <w:t>④为公司金额为</w:t>
      </w:r>
      <w:r>
        <w:rPr>
          <w:rFonts w:ascii="宋体" w:hAnsi="宋体" w:cs="宋体" w:eastAsia="宋体" w:hint="default"/>
          <w:spacing w:val="-2"/>
        </w:rPr>
        <w:t>5,000.00</w:t>
      </w:r>
      <w:r>
        <w:rPr>
          <w:spacing w:val="-2"/>
        </w:rPr>
        <w:t>万元（期限为</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15</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12</w:t>
      </w:r>
      <w:r>
        <w:rPr>
          <w:spacing w:val="-2"/>
        </w:rPr>
        <w:t>日）的短期借款提供担保，截至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w:t>
      </w:r>
      <w:r>
        <w:rPr>
          <w:spacing w:val="-47"/>
        </w:rPr>
        <w:t> </w:t>
      </w:r>
      <w:r>
        <w:rPr>
          <w:spacing w:val="-47"/>
        </w:rPr>
      </w:r>
      <w:r>
        <w:rPr/>
        <w:t>合同担保下的短期借款余额为</w:t>
      </w:r>
      <w:r>
        <w:rPr>
          <w:rFonts w:ascii="宋体" w:hAnsi="宋体" w:cs="宋体" w:eastAsia="宋体" w:hint="default"/>
        </w:rPr>
        <w:t>5,000.00</w:t>
      </w:r>
      <w:r>
        <w:rPr/>
        <w:t>万元。</w:t>
      </w:r>
    </w:p>
    <w:p>
      <w:pPr>
        <w:pStyle w:val="BodyText"/>
        <w:spacing w:line="316" w:lineRule="auto" w:before="19"/>
        <w:ind w:right="1124"/>
        <w:jc w:val="left"/>
      </w:pPr>
      <w:r>
        <w:rPr/>
        <w:t>⑤为公司金额为</w:t>
      </w:r>
      <w:r>
        <w:rPr>
          <w:rFonts w:ascii="宋体" w:hAnsi="宋体" w:cs="宋体" w:eastAsia="宋体" w:hint="default"/>
        </w:rPr>
        <w:t>6,000.00</w:t>
      </w:r>
      <w:r>
        <w:rPr/>
        <w:t>万元（期限为</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18</w:t>
      </w:r>
      <w:r>
        <w:rPr/>
        <w:t>日至</w:t>
      </w:r>
      <w:r>
        <w:rPr>
          <w:rFonts w:ascii="宋体" w:hAnsi="宋体" w:cs="宋体" w:eastAsia="宋体" w:hint="default"/>
        </w:rPr>
        <w:t>2020</w:t>
      </w:r>
      <w:r>
        <w:rPr/>
        <w:t>年</w:t>
      </w:r>
      <w:r>
        <w:rPr>
          <w:rFonts w:ascii="宋体" w:hAnsi="宋体" w:cs="宋体" w:eastAsia="宋体" w:hint="default"/>
        </w:rPr>
        <w:t>6</w:t>
      </w:r>
      <w:r>
        <w:rPr/>
        <w:t>月</w:t>
      </w:r>
      <w:r>
        <w:rPr>
          <w:rFonts w:ascii="宋体" w:hAnsi="宋体" w:cs="宋体" w:eastAsia="宋体" w:hint="default"/>
        </w:rPr>
        <w:t>1</w:t>
      </w:r>
      <w:r>
        <w:rPr/>
        <w:t>日）的短期借款提供担保，截至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日，以上 合同担保下的短期借款余额为</w:t>
      </w:r>
      <w:r>
        <w:rPr>
          <w:rFonts w:ascii="宋体" w:hAnsi="宋体" w:cs="宋体" w:eastAsia="宋体" w:hint="default"/>
        </w:rPr>
        <w:t>6,000.00</w:t>
      </w:r>
      <w:r>
        <w:rPr/>
        <w:t>万元，该短期借款所附的其他担保事项详见附注六、</w:t>
      </w:r>
      <w:r>
        <w:rPr>
          <w:rFonts w:ascii="宋体" w:hAnsi="宋体" w:cs="宋体" w:eastAsia="宋体" w:hint="default"/>
        </w:rPr>
        <w:t>51</w:t>
      </w:r>
      <w:r>
        <w:rPr/>
        <w:t>。</w:t>
      </w:r>
    </w:p>
    <w:p>
      <w:pPr>
        <w:pStyle w:val="BodyText"/>
        <w:spacing w:line="316" w:lineRule="auto" w:before="19"/>
        <w:ind w:right="1124"/>
        <w:jc w:val="left"/>
      </w:pPr>
      <w:r>
        <w:rPr/>
        <w:t>⑥为公司金额为</w:t>
      </w:r>
      <w:r>
        <w:rPr>
          <w:rFonts w:ascii="宋体" w:hAnsi="宋体" w:cs="宋体" w:eastAsia="宋体" w:hint="default"/>
        </w:rPr>
        <w:t>4,000.00</w:t>
      </w:r>
      <w:r>
        <w:rPr/>
        <w:t>万元（期限为</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30</w:t>
      </w:r>
      <w:r>
        <w:rPr/>
        <w:t>日至</w:t>
      </w:r>
      <w:r>
        <w:rPr>
          <w:rFonts w:ascii="宋体" w:hAnsi="宋体" w:cs="宋体" w:eastAsia="宋体" w:hint="default"/>
        </w:rPr>
        <w:t>2020</w:t>
      </w:r>
      <w:r>
        <w:rPr/>
        <w:t>年</w:t>
      </w:r>
      <w:r>
        <w:rPr>
          <w:rFonts w:ascii="宋体" w:hAnsi="宋体" w:cs="宋体" w:eastAsia="宋体" w:hint="default"/>
        </w:rPr>
        <w:t>6</w:t>
      </w:r>
      <w:r>
        <w:rPr/>
        <w:t>月</w:t>
      </w:r>
      <w:r>
        <w:rPr>
          <w:rFonts w:ascii="宋体" w:hAnsi="宋体" w:cs="宋体" w:eastAsia="宋体" w:hint="default"/>
        </w:rPr>
        <w:t>1</w:t>
      </w:r>
      <w:r>
        <w:rPr/>
        <w:t>日）的短期借款提供担保，截至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日，以上 合同担保下的短期借款余额为</w:t>
      </w:r>
      <w:r>
        <w:rPr>
          <w:rFonts w:ascii="宋体" w:hAnsi="宋体" w:cs="宋体" w:eastAsia="宋体" w:hint="default"/>
        </w:rPr>
        <w:t>4,000.00</w:t>
      </w:r>
      <w:r>
        <w:rPr/>
        <w:t>万元，该短期借款所附的其他担保事项详见附注六、</w:t>
      </w:r>
      <w:r>
        <w:rPr>
          <w:rFonts w:ascii="宋体" w:hAnsi="宋体" w:cs="宋体" w:eastAsia="宋体" w:hint="default"/>
        </w:rPr>
        <w:t>51</w:t>
      </w:r>
      <w:r>
        <w:rPr/>
        <w:t>。</w:t>
      </w:r>
    </w:p>
    <w:p>
      <w:pPr>
        <w:pStyle w:val="BodyText"/>
        <w:spacing w:line="316" w:lineRule="auto" w:before="19"/>
        <w:ind w:right="1133"/>
        <w:jc w:val="left"/>
      </w:pPr>
      <w:r>
        <w:rPr>
          <w:spacing w:val="-2"/>
        </w:rPr>
        <w:t>⑦为公司金额为</w:t>
      </w:r>
      <w:r>
        <w:rPr>
          <w:rFonts w:ascii="宋体" w:hAnsi="宋体" w:cs="宋体" w:eastAsia="宋体" w:hint="default"/>
          <w:spacing w:val="-2"/>
        </w:rPr>
        <w:t>3,000.00</w:t>
      </w:r>
      <w:r>
        <w:rPr>
          <w:spacing w:val="-2"/>
        </w:rPr>
        <w:t>万元（期限为</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30</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26</w:t>
      </w:r>
      <w:r>
        <w:rPr>
          <w:spacing w:val="-2"/>
        </w:rPr>
        <w:t>日）的短期借款提供担保，截至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w:t>
      </w:r>
      <w:r>
        <w:rPr>
          <w:spacing w:val="-47"/>
        </w:rPr>
        <w:t> </w:t>
      </w:r>
      <w:r>
        <w:rPr>
          <w:spacing w:val="-47"/>
        </w:rPr>
      </w:r>
      <w:r>
        <w:rPr/>
        <w:t>合同担保下的短期借款余额为</w:t>
      </w:r>
      <w:r>
        <w:rPr>
          <w:rFonts w:ascii="宋体" w:hAnsi="宋体" w:cs="宋体" w:eastAsia="宋体" w:hint="default"/>
        </w:rPr>
        <w:t>3,000.00</w:t>
      </w:r>
      <w:r>
        <w:rPr/>
        <w:t>万元，该短期借款所附的其他担保事项详见附注六、</w:t>
      </w:r>
      <w:r>
        <w:rPr>
          <w:rFonts w:ascii="宋体" w:hAnsi="宋体" w:cs="宋体" w:eastAsia="宋体" w:hint="default"/>
        </w:rPr>
        <w:t>51</w:t>
      </w:r>
      <w:r>
        <w:rPr/>
        <w:t>。</w:t>
      </w:r>
    </w:p>
    <w:p>
      <w:pPr>
        <w:pStyle w:val="BodyText"/>
        <w:spacing w:line="316" w:lineRule="auto" w:before="19"/>
        <w:ind w:right="1133"/>
        <w:jc w:val="left"/>
      </w:pPr>
      <w:r>
        <w:rPr>
          <w:spacing w:val="-2"/>
        </w:rPr>
        <w:t>⑧为公司金额为</w:t>
      </w:r>
      <w:r>
        <w:rPr>
          <w:rFonts w:ascii="宋体" w:hAnsi="宋体" w:cs="宋体" w:eastAsia="宋体" w:hint="default"/>
          <w:spacing w:val="-2"/>
        </w:rPr>
        <w:t>2,000.00</w:t>
      </w:r>
      <w:r>
        <w:rPr>
          <w:spacing w:val="-2"/>
        </w:rPr>
        <w:t>万元（期限为</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19</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14</w:t>
      </w:r>
      <w:r>
        <w:rPr>
          <w:spacing w:val="-2"/>
        </w:rPr>
        <w:t>日）的短期借款提供担保，截至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w:t>
      </w:r>
      <w:r>
        <w:rPr>
          <w:spacing w:val="-47"/>
        </w:rPr>
        <w:t> </w:t>
      </w:r>
      <w:r>
        <w:rPr>
          <w:spacing w:val="-47"/>
        </w:rPr>
      </w:r>
      <w:r>
        <w:rPr/>
        <w:t>合同担保下的短期借款余额为</w:t>
      </w:r>
      <w:r>
        <w:rPr>
          <w:rFonts w:ascii="宋体" w:hAnsi="宋体" w:cs="宋体" w:eastAsia="宋体" w:hint="default"/>
        </w:rPr>
        <w:t>2,000.00</w:t>
      </w:r>
      <w:r>
        <w:rPr/>
        <w:t>万元，该短期借款所附的其他担保事项详见附注六、</w:t>
      </w:r>
      <w:r>
        <w:rPr>
          <w:rFonts w:ascii="宋体" w:hAnsi="宋体" w:cs="宋体" w:eastAsia="宋体" w:hint="default"/>
        </w:rPr>
        <w:t>51</w:t>
      </w:r>
      <w:r>
        <w:rPr/>
        <w:t>。</w:t>
      </w:r>
    </w:p>
    <w:p>
      <w:pPr>
        <w:pStyle w:val="BodyText"/>
        <w:spacing w:line="316" w:lineRule="auto" w:before="19"/>
        <w:ind w:right="0"/>
        <w:jc w:val="left"/>
      </w:pPr>
      <w:r>
        <w:rPr>
          <w:spacing w:val="-2"/>
        </w:rPr>
        <w:t>⑨为公司金额为</w:t>
      </w:r>
      <w:r>
        <w:rPr>
          <w:rFonts w:ascii="宋体" w:hAnsi="宋体" w:cs="宋体" w:eastAsia="宋体" w:hint="default"/>
          <w:spacing w:val="-2"/>
        </w:rPr>
        <w:t>5,000.00</w:t>
      </w:r>
      <w:r>
        <w:rPr>
          <w:spacing w:val="-2"/>
        </w:rPr>
        <w:t>万元（期限为</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25</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16</w:t>
      </w:r>
      <w:r>
        <w:rPr>
          <w:spacing w:val="-2"/>
        </w:rPr>
        <w:t>日）的短期借款提供担保，截至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w:t>
      </w:r>
      <w:r>
        <w:rPr>
          <w:spacing w:val="-46"/>
        </w:rPr>
        <w:t> </w:t>
      </w:r>
      <w:r>
        <w:rPr>
          <w:spacing w:val="-46"/>
        </w:rPr>
      </w:r>
      <w:r>
        <w:rPr/>
        <w:t>上合同担保下的短期借款余额为</w:t>
      </w:r>
      <w:r>
        <w:rPr>
          <w:rFonts w:ascii="宋体" w:hAnsi="宋体" w:cs="宋体" w:eastAsia="宋体" w:hint="default"/>
        </w:rPr>
        <w:t>5,000.00</w:t>
      </w:r>
      <w:r>
        <w:rPr/>
        <w:t>万元，该短期借款所附的其他担保事项详见附注六、</w:t>
      </w:r>
      <w:r>
        <w:rPr>
          <w:rFonts w:ascii="宋体" w:hAnsi="宋体" w:cs="宋体" w:eastAsia="宋体" w:hint="default"/>
        </w:rPr>
        <w:t>51</w:t>
      </w:r>
      <w:r>
        <w:rPr/>
        <w:t>。 注（</w:t>
      </w:r>
      <w:r>
        <w:rPr>
          <w:rFonts w:ascii="宋体" w:hAnsi="宋体" w:cs="宋体" w:eastAsia="宋体" w:hint="default"/>
        </w:rPr>
        <w:t>2</w:t>
      </w:r>
      <w:r>
        <w:rPr/>
        <w:t>）</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19</w:t>
      </w:r>
      <w:r>
        <w:rPr/>
        <w:t>日，银江科技集团有限公司与中国银行股份有限公司杭州钱江新城支行签订的最高额为</w:t>
      </w:r>
      <w:r>
        <w:rPr>
          <w:rFonts w:ascii="宋体" w:hAnsi="宋体" w:cs="宋体" w:eastAsia="宋体" w:hint="default"/>
        </w:rPr>
        <w:t>30,000.00</w:t>
      </w:r>
      <w:r>
        <w:rPr/>
        <w:t>万元</w:t>
      </w:r>
      <w:r>
        <w:rPr>
          <w:spacing w:val="-3"/>
        </w:rPr>
        <w:t> </w:t>
      </w:r>
      <w:r>
        <w:rPr>
          <w:spacing w:val="-2"/>
        </w:rPr>
        <w:t>的编号为</w:t>
      </w:r>
      <w:r>
        <w:rPr>
          <w:rFonts w:ascii="宋体" w:hAnsi="宋体" w:cs="宋体" w:eastAsia="宋体" w:hint="default"/>
          <w:spacing w:val="-2"/>
        </w:rPr>
        <w:t>18QRB031</w:t>
      </w:r>
      <w:r>
        <w:rPr>
          <w:spacing w:val="-2"/>
        </w:rPr>
        <w:t>的《最高额保证合同》，合同到期后担保事项履行完毕。</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14</w:t>
      </w:r>
      <w:r>
        <w:rPr>
          <w:spacing w:val="-2"/>
        </w:rPr>
        <w:t>日，银江科技集团有限公司与中国</w:t>
      </w:r>
      <w:r>
        <w:rPr>
          <w:spacing w:val="-59"/>
        </w:rPr>
        <w:t> </w:t>
      </w:r>
      <w:r>
        <w:rPr>
          <w:spacing w:val="-59"/>
        </w:rPr>
      </w:r>
      <w:r>
        <w:rPr>
          <w:spacing w:val="-3"/>
        </w:rPr>
        <w:t>银行钱江新城支行签订的最高额为</w:t>
      </w:r>
      <w:r>
        <w:rPr>
          <w:rFonts w:ascii="宋体" w:hAnsi="宋体" w:cs="宋体" w:eastAsia="宋体" w:hint="default"/>
          <w:spacing w:val="-3"/>
        </w:rPr>
        <w:t>30,000.00</w:t>
      </w:r>
      <w:r>
        <w:rPr>
          <w:spacing w:val="-3"/>
        </w:rPr>
        <w:t>万元，编号为</w:t>
      </w:r>
      <w:r>
        <w:rPr>
          <w:rFonts w:ascii="宋体" w:hAnsi="宋体" w:cs="宋体" w:eastAsia="宋体" w:hint="default"/>
          <w:spacing w:val="-3"/>
        </w:rPr>
        <w:t>19QYZD002</w:t>
      </w:r>
      <w:r>
        <w:rPr>
          <w:spacing w:val="-3"/>
        </w:rPr>
        <w:t>的《最高额保证合同》，为公司以下短期借款提供担保：</w:t>
      </w:r>
    </w:p>
    <w:p>
      <w:pPr>
        <w:pStyle w:val="BodyText"/>
        <w:spacing w:line="316" w:lineRule="auto" w:before="18"/>
        <w:ind w:right="1133"/>
        <w:jc w:val="left"/>
      </w:pPr>
      <w:r>
        <w:rPr>
          <w:spacing w:val="-2"/>
        </w:rPr>
        <w:t>①为公司金额为</w:t>
      </w:r>
      <w:r>
        <w:rPr>
          <w:rFonts w:ascii="宋体" w:hAnsi="宋体" w:cs="宋体" w:eastAsia="宋体" w:hint="default"/>
          <w:spacing w:val="-2"/>
        </w:rPr>
        <w:t>3,000.00</w:t>
      </w:r>
      <w:r>
        <w:rPr>
          <w:spacing w:val="-2"/>
        </w:rPr>
        <w:t>万元（期限为</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5</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w:t>
      </w:r>
      <w:r>
        <w:rPr>
          <w:spacing w:val="-2"/>
        </w:rPr>
        <w:t>日）的短期借款提供担保，截至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日，以上合</w:t>
      </w:r>
      <w:r>
        <w:rPr>
          <w:spacing w:val="-44"/>
        </w:rPr>
        <w:t> </w:t>
      </w:r>
      <w:r>
        <w:rPr>
          <w:spacing w:val="-44"/>
        </w:rPr>
      </w:r>
      <w:r>
        <w:rPr/>
        <w:t>同担保下的短期借款余额为</w:t>
      </w:r>
      <w:r>
        <w:rPr>
          <w:rFonts w:ascii="宋体" w:hAnsi="宋体" w:cs="宋体" w:eastAsia="宋体" w:hint="default"/>
        </w:rPr>
        <w:t>3,000.00</w:t>
      </w:r>
      <w:r>
        <w:rPr/>
        <w:t>万元。</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0"/>
        <w:jc w:val="left"/>
      </w:pPr>
      <w:r>
        <w:rPr>
          <w:spacing w:val="-2"/>
        </w:rPr>
        <w:t>②为公司金额为</w:t>
      </w:r>
      <w:r>
        <w:rPr>
          <w:rFonts w:ascii="宋体" w:hAnsi="宋体" w:cs="宋体" w:eastAsia="宋体" w:hint="default"/>
          <w:spacing w:val="-2"/>
        </w:rPr>
        <w:t>3,000.00</w:t>
      </w:r>
      <w:r>
        <w:rPr>
          <w:spacing w:val="-2"/>
        </w:rPr>
        <w:t>万元（期限为</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18</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13</w:t>
      </w:r>
      <w:r>
        <w:rPr>
          <w:spacing w:val="-2"/>
        </w:rPr>
        <w:t>日）的短期借款提供担保，截至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w:t>
      </w:r>
      <w:r>
        <w:rPr>
          <w:spacing w:val="-46"/>
        </w:rPr>
        <w:t> </w:t>
      </w:r>
      <w:r>
        <w:rPr>
          <w:spacing w:val="-46"/>
        </w:rPr>
      </w:r>
      <w:r>
        <w:rPr/>
        <w:t>上合同担保下的短期借款余额为</w:t>
      </w:r>
      <w:r>
        <w:rPr>
          <w:rFonts w:ascii="宋体" w:hAnsi="宋体" w:cs="宋体" w:eastAsia="宋体" w:hint="default"/>
        </w:rPr>
        <w:t>3,000.00</w:t>
      </w:r>
      <w:r>
        <w:rPr/>
        <w:t>万元。 </w:t>
      </w:r>
      <w:r>
        <w:rPr>
          <w:spacing w:val="-2"/>
        </w:rPr>
        <w:t>注（</w:t>
      </w:r>
      <w:r>
        <w:rPr>
          <w:rFonts w:ascii="宋体" w:hAnsi="宋体" w:cs="宋体" w:eastAsia="宋体" w:hint="default"/>
          <w:spacing w:val="-2"/>
        </w:rPr>
        <w:t>3</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25</w:t>
      </w:r>
      <w:r>
        <w:rPr>
          <w:spacing w:val="-2"/>
        </w:rPr>
        <w:t>日，银江科技集团有限公司与上海浦东发展银行杭州分行保俶支行签订的最高额</w:t>
      </w:r>
      <w:r>
        <w:rPr>
          <w:rFonts w:ascii="宋体" w:hAnsi="宋体" w:cs="宋体" w:eastAsia="宋体" w:hint="default"/>
          <w:spacing w:val="-2"/>
        </w:rPr>
        <w:t>5,000.00</w:t>
      </w:r>
      <w:r>
        <w:rPr>
          <w:spacing w:val="-2"/>
        </w:rPr>
        <w:t>万元的编号为</w:t>
      </w:r>
      <w:r>
        <w:rPr>
          <w:spacing w:val="-56"/>
        </w:rPr>
        <w:t> </w:t>
      </w:r>
      <w:r>
        <w:rPr>
          <w:spacing w:val="-56"/>
        </w:rPr>
      </w:r>
      <w:r>
        <w:rPr>
          <w:rFonts w:ascii="宋体" w:hAnsi="宋体" w:cs="宋体" w:eastAsia="宋体" w:hint="default"/>
          <w:spacing w:val="-2"/>
        </w:rPr>
        <w:t>ZB9503201700000006</w:t>
      </w:r>
      <w:r>
        <w:rPr>
          <w:spacing w:val="-2"/>
        </w:rPr>
        <w:t>的《最高额保证合同》，该合同已经在</w:t>
      </w:r>
      <w:r>
        <w:rPr>
          <w:rFonts w:ascii="宋体" w:hAnsi="宋体" w:cs="宋体" w:eastAsia="宋体" w:hint="default"/>
          <w:spacing w:val="-2"/>
        </w:rPr>
        <w:t>2019</w:t>
      </w:r>
      <w:r>
        <w:rPr>
          <w:spacing w:val="-2"/>
        </w:rPr>
        <w:t>年度终止，该合同下的担保事项履行完毕。</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10</w:t>
      </w:r>
      <w:r>
        <w:rPr>
          <w:spacing w:val="-2"/>
        </w:rPr>
        <w:t>日，</w:t>
      </w:r>
      <w:r>
        <w:rPr>
          <w:spacing w:val="-47"/>
        </w:rPr>
        <w:t> </w:t>
      </w:r>
      <w:r>
        <w:rPr/>
        <w:t>银江科技集团有限公司与上海浦东发展银行杭州分行保俶支行签订的最高额为</w:t>
      </w:r>
      <w:r>
        <w:rPr>
          <w:rFonts w:ascii="宋体" w:hAnsi="宋体" w:cs="宋体" w:eastAsia="宋体" w:hint="default"/>
        </w:rPr>
        <w:t>8,000.00</w:t>
      </w:r>
      <w:r>
        <w:rPr/>
        <w:t>万元，编号为</w:t>
      </w:r>
      <w:r>
        <w:rPr>
          <w:rFonts w:ascii="宋体" w:hAnsi="宋体" w:cs="宋体" w:eastAsia="宋体" w:hint="default"/>
        </w:rPr>
        <w:t>ZB9503201900000011</w:t>
      </w:r>
      <w:r>
        <w:rPr>
          <w:rFonts w:ascii="宋体" w:hAnsi="宋体" w:cs="宋体" w:eastAsia="宋体" w:hint="default"/>
          <w:spacing w:val="-16"/>
        </w:rPr>
        <w:t> </w:t>
      </w:r>
      <w:r>
        <w:rPr>
          <w:rFonts w:ascii="宋体" w:hAnsi="宋体" w:cs="宋体" w:eastAsia="宋体" w:hint="default"/>
          <w:spacing w:val="-16"/>
        </w:rPr>
      </w:r>
      <w:r>
        <w:rPr/>
        <w:t>的《最高额保证合同》，为公司以下短期借款提供担保：</w:t>
      </w:r>
    </w:p>
    <w:p>
      <w:pPr>
        <w:pStyle w:val="BodyText"/>
        <w:spacing w:line="316" w:lineRule="auto" w:before="19"/>
        <w:ind w:right="1133"/>
        <w:jc w:val="left"/>
      </w:pPr>
      <w:r>
        <w:rPr>
          <w:spacing w:val="-2"/>
        </w:rPr>
        <w:t>①为公司金额为</w:t>
      </w:r>
      <w:r>
        <w:rPr>
          <w:rFonts w:ascii="宋体" w:hAnsi="宋体" w:cs="宋体" w:eastAsia="宋体" w:hint="default"/>
          <w:spacing w:val="-2"/>
        </w:rPr>
        <w:t>3,000.00</w:t>
      </w:r>
      <w:r>
        <w:rPr>
          <w:spacing w:val="-2"/>
        </w:rPr>
        <w:t>万元（期限为</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15</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15</w:t>
      </w:r>
      <w:r>
        <w:rPr>
          <w:spacing w:val="-2"/>
        </w:rPr>
        <w:t>日）的短期借款提供担保，截至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w:t>
      </w:r>
      <w:r>
        <w:rPr>
          <w:spacing w:val="-47"/>
        </w:rPr>
        <w:t> </w:t>
      </w:r>
      <w:r>
        <w:rPr>
          <w:spacing w:val="-47"/>
        </w:rPr>
      </w:r>
      <w:r>
        <w:rPr/>
        <w:t>合同担保下的短期借款余额为</w:t>
      </w:r>
      <w:r>
        <w:rPr>
          <w:rFonts w:ascii="宋体" w:hAnsi="宋体" w:cs="宋体" w:eastAsia="宋体" w:hint="default"/>
        </w:rPr>
        <w:t>3,000.00</w:t>
      </w:r>
      <w:r>
        <w:rPr/>
        <w:t>万元。</w:t>
      </w:r>
    </w:p>
    <w:p>
      <w:pPr>
        <w:pStyle w:val="BodyText"/>
        <w:spacing w:line="316" w:lineRule="auto" w:before="19"/>
        <w:ind w:right="1133"/>
        <w:jc w:val="left"/>
      </w:pPr>
      <w:r>
        <w:rPr>
          <w:spacing w:val="-2"/>
        </w:rPr>
        <w:t>②为公司金额为</w:t>
      </w:r>
      <w:r>
        <w:rPr>
          <w:rFonts w:ascii="宋体" w:hAnsi="宋体" w:cs="宋体" w:eastAsia="宋体" w:hint="default"/>
          <w:spacing w:val="-2"/>
        </w:rPr>
        <w:t>2,300.00</w:t>
      </w:r>
      <w:r>
        <w:rPr>
          <w:spacing w:val="-2"/>
        </w:rPr>
        <w:t>万元（期限为</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28</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28</w:t>
      </w:r>
      <w:r>
        <w:rPr>
          <w:spacing w:val="-2"/>
        </w:rPr>
        <w:t>日）的短期借款提供担保，截至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w:t>
      </w:r>
      <w:r>
        <w:rPr>
          <w:spacing w:val="-47"/>
        </w:rPr>
        <w:t> </w:t>
      </w:r>
      <w:r>
        <w:rPr>
          <w:spacing w:val="-47"/>
        </w:rPr>
      </w:r>
      <w:r>
        <w:rPr/>
        <w:t>合同担保下的短期借款余额为</w:t>
      </w:r>
      <w:r>
        <w:rPr>
          <w:rFonts w:ascii="宋体" w:hAnsi="宋体" w:cs="宋体" w:eastAsia="宋体" w:hint="default"/>
        </w:rPr>
        <w:t>2,300.00</w:t>
      </w:r>
      <w:r>
        <w:rPr/>
        <w:t>万元。</w:t>
      </w:r>
    </w:p>
    <w:p>
      <w:pPr>
        <w:pStyle w:val="BodyText"/>
        <w:spacing w:line="319" w:lineRule="auto" w:before="19"/>
        <w:ind w:right="1036"/>
        <w:jc w:val="left"/>
      </w:pPr>
      <w:r>
        <w:rPr>
          <w:spacing w:val="-2"/>
        </w:rPr>
        <w:t>③为公司金额为</w:t>
      </w:r>
      <w:r>
        <w:rPr>
          <w:rFonts w:ascii="宋体" w:hAnsi="宋体" w:cs="宋体" w:eastAsia="宋体" w:hint="default"/>
          <w:spacing w:val="-2"/>
        </w:rPr>
        <w:t>2,700.00</w:t>
      </w:r>
      <w:r>
        <w:rPr>
          <w:spacing w:val="-2"/>
        </w:rPr>
        <w:t>万元（期限为</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17</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17</w:t>
      </w:r>
      <w:r>
        <w:rPr>
          <w:spacing w:val="-2"/>
        </w:rPr>
        <w:t>日）的短期借款提供担保，截至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w:t>
      </w:r>
      <w:r>
        <w:rPr>
          <w:spacing w:val="-47"/>
        </w:rPr>
        <w:t> </w:t>
      </w:r>
      <w:r>
        <w:rPr>
          <w:spacing w:val="-47"/>
        </w:rPr>
      </w:r>
      <w:r>
        <w:rPr/>
        <w:t>合同担保下的短期借款余额为</w:t>
      </w:r>
      <w:r>
        <w:rPr>
          <w:rFonts w:ascii="宋体" w:hAnsi="宋体" w:cs="宋体" w:eastAsia="宋体" w:hint="default"/>
        </w:rPr>
        <w:t>2,700.00</w:t>
      </w:r>
      <w:r>
        <w:rPr/>
        <w:t>万元。</w:t>
      </w:r>
      <w:r>
        <w:rPr>
          <w:spacing w:val="-87"/>
        </w:rPr>
        <w:t> </w:t>
      </w:r>
      <w:r>
        <w:rPr>
          <w:spacing w:val="-2"/>
        </w:rPr>
        <w:t>注（</w:t>
      </w:r>
      <w:r>
        <w:rPr>
          <w:rFonts w:ascii="宋体" w:hAnsi="宋体" w:cs="宋体" w:eastAsia="宋体" w:hint="default"/>
          <w:spacing w:val="-2"/>
        </w:rPr>
        <w:t>4</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19</w:t>
      </w:r>
      <w:r>
        <w:rPr>
          <w:spacing w:val="-2"/>
        </w:rPr>
        <w:t>日，银江科技集团有限公司与中信银行股份有限公司杭州分行签订的最高额</w:t>
      </w:r>
      <w:r>
        <w:rPr>
          <w:rFonts w:ascii="宋体" w:hAnsi="宋体" w:cs="宋体" w:eastAsia="宋体" w:hint="default"/>
          <w:spacing w:val="-2"/>
        </w:rPr>
        <w:t>19,500.00</w:t>
      </w:r>
      <w:r>
        <w:rPr>
          <w:spacing w:val="-2"/>
        </w:rPr>
        <w:t>万元的</w:t>
      </w:r>
      <w:r>
        <w:rPr>
          <w:rFonts w:ascii="宋体" w:hAnsi="宋体" w:cs="宋体" w:eastAsia="宋体" w:hint="default"/>
          <w:spacing w:val="-2"/>
        </w:rPr>
        <w:t>2018</w:t>
      </w:r>
      <w:r>
        <w:rPr>
          <w:spacing w:val="-2"/>
        </w:rPr>
        <w:t>信银</w:t>
      </w:r>
      <w:r>
        <w:rPr>
          <w:spacing w:val="-56"/>
        </w:rPr>
        <w:t> </w:t>
      </w:r>
      <w:r>
        <w:rPr>
          <w:spacing w:val="-2"/>
        </w:rPr>
        <w:t>杭玉最保字第</w:t>
      </w:r>
      <w:r>
        <w:rPr>
          <w:rFonts w:ascii="宋体" w:hAnsi="宋体" w:cs="宋体" w:eastAsia="宋体" w:hint="default"/>
          <w:spacing w:val="-2"/>
        </w:rPr>
        <w:t>811088156176</w:t>
      </w:r>
      <w:r>
        <w:rPr>
          <w:spacing w:val="-2"/>
        </w:rPr>
        <w:t>号《最高额保证合同》，合同到期后担保事项履行完毕。</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25</w:t>
      </w:r>
      <w:r>
        <w:rPr>
          <w:spacing w:val="-2"/>
        </w:rPr>
        <w:t>日，银江科技集团有限公</w:t>
      </w:r>
      <w:r>
        <w:rPr>
          <w:spacing w:val="-52"/>
        </w:rPr>
        <w:t> </w:t>
      </w:r>
      <w:r>
        <w:rPr>
          <w:spacing w:val="-52"/>
        </w:rPr>
      </w:r>
      <w:r>
        <w:rPr>
          <w:spacing w:val="-4"/>
        </w:rPr>
        <w:t>司与中信银行杭州分行签订了最高额为</w:t>
      </w:r>
      <w:r>
        <w:rPr>
          <w:rFonts w:ascii="宋体" w:hAnsi="宋体" w:cs="宋体" w:eastAsia="宋体" w:hint="default"/>
          <w:spacing w:val="-4"/>
        </w:rPr>
        <w:t>19,500.00</w:t>
      </w:r>
      <w:r>
        <w:rPr>
          <w:spacing w:val="-4"/>
        </w:rPr>
        <w:t>万元，编号为</w:t>
      </w:r>
      <w:r>
        <w:rPr>
          <w:rFonts w:ascii="宋体" w:hAnsi="宋体" w:cs="宋体" w:eastAsia="宋体" w:hint="default"/>
          <w:spacing w:val="-4"/>
        </w:rPr>
        <w:t>2019</w:t>
      </w:r>
      <w:r>
        <w:rPr>
          <w:spacing w:val="-4"/>
        </w:rPr>
        <w:t>信银杭玉最保字第</w:t>
      </w:r>
      <w:r>
        <w:rPr>
          <w:rFonts w:ascii="宋体" w:hAnsi="宋体" w:cs="宋体" w:eastAsia="宋体" w:hint="default"/>
          <w:spacing w:val="-4"/>
        </w:rPr>
        <w:t>811088207850</w:t>
      </w:r>
      <w:r>
        <w:rPr>
          <w:spacing w:val="-4"/>
        </w:rPr>
        <w:t>号的《最高额保证合同》，</w:t>
      </w:r>
      <w:r>
        <w:rPr/>
        <w:t> 为公司以下短期借款提供担保：</w:t>
      </w:r>
    </w:p>
    <w:p>
      <w:pPr>
        <w:pStyle w:val="BodyText"/>
        <w:spacing w:line="316" w:lineRule="auto" w:before="17"/>
        <w:ind w:right="1124"/>
        <w:jc w:val="left"/>
      </w:pPr>
      <w:r>
        <w:rPr/>
        <w:t>①为公司金额为</w:t>
      </w:r>
      <w:r>
        <w:rPr>
          <w:rFonts w:ascii="宋体" w:hAnsi="宋体" w:cs="宋体" w:eastAsia="宋体" w:hint="default"/>
        </w:rPr>
        <w:t>5,000.00</w:t>
      </w:r>
      <w:r>
        <w:rPr/>
        <w:t>万元（期限为</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9</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28</w:t>
      </w:r>
      <w:r>
        <w:rPr/>
        <w:t>日）的短期借款提供担保，截至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日，以上 合同担保下的短期借款余额为</w:t>
      </w:r>
      <w:r>
        <w:rPr>
          <w:rFonts w:ascii="宋体" w:hAnsi="宋体" w:cs="宋体" w:eastAsia="宋体" w:hint="default"/>
        </w:rPr>
        <w:t>5,000.00</w:t>
      </w:r>
      <w:r>
        <w:rPr/>
        <w:t>万元。</w:t>
      </w:r>
    </w:p>
    <w:p>
      <w:pPr>
        <w:pStyle w:val="BodyText"/>
        <w:spacing w:line="316" w:lineRule="auto" w:before="19"/>
        <w:ind w:right="1124"/>
        <w:jc w:val="left"/>
      </w:pPr>
      <w:r>
        <w:rPr/>
        <w:t>②为公司金额为</w:t>
      </w:r>
      <w:r>
        <w:rPr>
          <w:rFonts w:ascii="宋体" w:hAnsi="宋体" w:cs="宋体" w:eastAsia="宋体" w:hint="default"/>
        </w:rPr>
        <w:t>6,000.00</w:t>
      </w:r>
      <w:r>
        <w:rPr/>
        <w:t>万元（期限为</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19</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31</w:t>
      </w:r>
      <w:r>
        <w:rPr/>
        <w:t>日）的短期借款提供担保，截至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日，以 上合同担保下的短期借款余额为</w:t>
      </w:r>
      <w:r>
        <w:rPr>
          <w:rFonts w:ascii="宋体" w:hAnsi="宋体" w:cs="宋体" w:eastAsia="宋体" w:hint="default"/>
        </w:rPr>
        <w:t>6,000.00</w:t>
      </w:r>
      <w:r>
        <w:rPr/>
        <w:t>万元。 </w:t>
      </w:r>
      <w:r>
        <w:rPr>
          <w:spacing w:val="4"/>
        </w:rPr>
        <w:t>注（</w:t>
      </w:r>
      <w:r>
        <w:rPr>
          <w:rFonts w:ascii="宋体" w:hAnsi="宋体" w:cs="宋体" w:eastAsia="宋体" w:hint="default"/>
          <w:spacing w:val="4"/>
        </w:rPr>
        <w:t>5</w:t>
      </w:r>
      <w:r>
        <w:rPr>
          <w:spacing w:val="4"/>
        </w:rPr>
        <w:t>）</w:t>
      </w:r>
      <w:r>
        <w:rPr>
          <w:rFonts w:ascii="宋体" w:hAnsi="宋体" w:cs="宋体" w:eastAsia="宋体" w:hint="default"/>
          <w:spacing w:val="4"/>
        </w:rPr>
        <w:t>2017</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10</w:t>
      </w:r>
      <w:r>
        <w:rPr>
          <w:spacing w:val="4"/>
        </w:rPr>
        <w:t>日，银江科技集团有限公司与杭州联合农村商业银行股份有限公司科技支行签订的保证担保金额为</w:t>
      </w:r>
      <w:r>
        <w:rPr>
          <w:spacing w:val="-72"/>
        </w:rPr>
        <w:t> </w:t>
      </w:r>
      <w:r>
        <w:rPr>
          <w:spacing w:val="-72"/>
        </w:rPr>
      </w:r>
      <w:r>
        <w:rPr>
          <w:rFonts w:ascii="宋体" w:hAnsi="宋体" w:cs="宋体" w:eastAsia="宋体" w:hint="default"/>
        </w:rPr>
        <w:t>7,000.00</w:t>
      </w:r>
      <w:r>
        <w:rPr/>
        <w:t>万元的杭联银（科技）最保字第</w:t>
      </w:r>
      <w:r>
        <w:rPr>
          <w:rFonts w:ascii="宋体" w:hAnsi="宋体" w:cs="宋体" w:eastAsia="宋体" w:hint="default"/>
        </w:rPr>
        <w:t>801132017001987</w:t>
      </w:r>
      <w:r>
        <w:rPr/>
        <w:t>《最高额保证合同》，合同到期后担保事项履行完毕。</w:t>
      </w:r>
      <w:r>
        <w:rPr>
          <w:rFonts w:ascii="宋体" w:hAnsi="宋体" w:cs="宋体" w:eastAsia="宋体" w:hint="default"/>
        </w:rPr>
        <w:t>2019</w:t>
      </w:r>
      <w:r>
        <w:rPr/>
        <w:t>年</w:t>
      </w:r>
      <w:r>
        <w:rPr>
          <w:rFonts w:ascii="宋体" w:hAnsi="宋体" w:cs="宋体" w:eastAsia="宋体" w:hint="default"/>
        </w:rPr>
        <w:t>2</w:t>
      </w:r>
      <w:r>
        <w:rPr>
          <w:rFonts w:ascii="宋体" w:hAnsi="宋体" w:cs="宋体" w:eastAsia="宋体" w:hint="default"/>
          <w:spacing w:val="-11"/>
        </w:rPr>
        <w:t> </w:t>
      </w:r>
      <w:r>
        <w:rPr>
          <w:spacing w:val="-2"/>
        </w:rPr>
        <w:t>月</w:t>
      </w:r>
      <w:r>
        <w:rPr>
          <w:rFonts w:ascii="宋体" w:hAnsi="宋体" w:cs="宋体" w:eastAsia="宋体" w:hint="default"/>
          <w:spacing w:val="-2"/>
        </w:rPr>
        <w:t>13</w:t>
      </w:r>
      <w:r>
        <w:rPr>
          <w:spacing w:val="-2"/>
        </w:rPr>
        <w:t>日，银江科技集团有限公司与杭州联合农村商业银行科技支行签订的最高额为</w:t>
      </w:r>
      <w:r>
        <w:rPr>
          <w:rFonts w:ascii="宋体" w:hAnsi="宋体" w:cs="宋体" w:eastAsia="宋体" w:hint="default"/>
          <w:spacing w:val="-2"/>
        </w:rPr>
        <w:t>7,000.00</w:t>
      </w:r>
      <w:r>
        <w:rPr>
          <w:spacing w:val="-2"/>
        </w:rPr>
        <w:t>万元，编号为杭联银（科技）最</w:t>
      </w:r>
      <w:r>
        <w:rPr>
          <w:spacing w:val="-57"/>
        </w:rPr>
        <w:t> </w:t>
      </w:r>
      <w:r>
        <w:rPr>
          <w:spacing w:val="-57"/>
        </w:rPr>
      </w:r>
      <w:r>
        <w:rPr/>
        <w:t>保字第</w:t>
      </w:r>
      <w:r>
        <w:rPr>
          <w:rFonts w:ascii="宋体" w:hAnsi="宋体" w:cs="宋体" w:eastAsia="宋体" w:hint="default"/>
        </w:rPr>
        <w:t>8011320190002187</w:t>
      </w:r>
      <w:r>
        <w:rPr/>
        <w:t>号的《最高额保证合同》，为公司以下短期借款提供担保：</w:t>
      </w:r>
    </w:p>
    <w:p>
      <w:pPr>
        <w:pStyle w:val="BodyText"/>
        <w:spacing w:line="316" w:lineRule="auto" w:before="19"/>
        <w:ind w:right="1133"/>
        <w:jc w:val="left"/>
      </w:pPr>
      <w:r>
        <w:rPr>
          <w:spacing w:val="-2"/>
        </w:rPr>
        <w:t>①为公司金额为</w:t>
      </w:r>
      <w:r>
        <w:rPr>
          <w:rFonts w:ascii="宋体" w:hAnsi="宋体" w:cs="宋体" w:eastAsia="宋体" w:hint="default"/>
          <w:spacing w:val="-2"/>
        </w:rPr>
        <w:t>2,000.00</w:t>
      </w:r>
      <w:r>
        <w:rPr>
          <w:spacing w:val="-2"/>
        </w:rPr>
        <w:t>万元（期限为</w:t>
      </w:r>
      <w:r>
        <w:rPr>
          <w:rFonts w:ascii="宋体" w:hAnsi="宋体" w:cs="宋体" w:eastAsia="宋体" w:hint="default"/>
          <w:spacing w:val="-2"/>
        </w:rPr>
        <w:t>2019</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28</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27</w:t>
      </w:r>
      <w:r>
        <w:rPr>
          <w:spacing w:val="-2"/>
        </w:rPr>
        <w:t>日）的短期借款提供担保，截至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w:t>
      </w:r>
      <w:r>
        <w:rPr>
          <w:spacing w:val="-50"/>
        </w:rPr>
        <w:t> </w:t>
      </w:r>
      <w:r>
        <w:rPr>
          <w:spacing w:val="-50"/>
        </w:rPr>
      </w:r>
      <w:r>
        <w:rPr/>
        <w:t>合同担保下的短期借款余额为</w:t>
      </w:r>
      <w:r>
        <w:rPr>
          <w:rFonts w:ascii="宋体" w:hAnsi="宋体" w:cs="宋体" w:eastAsia="宋体" w:hint="default"/>
        </w:rPr>
        <w:t>2,000.00</w:t>
      </w:r>
      <w:r>
        <w:rPr/>
        <w:t>万元。</w:t>
      </w:r>
    </w:p>
    <w:p>
      <w:pPr>
        <w:pStyle w:val="BodyText"/>
        <w:spacing w:line="316" w:lineRule="auto" w:before="19"/>
        <w:ind w:right="1124"/>
        <w:jc w:val="left"/>
      </w:pPr>
      <w:r>
        <w:rPr/>
        <w:t>②为公司金额为</w:t>
      </w:r>
      <w:r>
        <w:rPr>
          <w:rFonts w:ascii="宋体" w:hAnsi="宋体" w:cs="宋体" w:eastAsia="宋体" w:hint="default"/>
        </w:rPr>
        <w:t>500.00</w:t>
      </w:r>
      <w:r>
        <w:rPr/>
        <w:t>万元（期限为</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1</w:t>
      </w:r>
      <w:r>
        <w:rPr/>
        <w:t>日至</w:t>
      </w:r>
      <w:r>
        <w:rPr>
          <w:rFonts w:ascii="宋体" w:hAnsi="宋体" w:cs="宋体" w:eastAsia="宋体" w:hint="default"/>
        </w:rPr>
        <w:t>2020</w:t>
      </w:r>
      <w:r>
        <w:rPr/>
        <w:t>年</w:t>
      </w:r>
      <w:r>
        <w:rPr>
          <w:rFonts w:ascii="宋体" w:hAnsi="宋体" w:cs="宋体" w:eastAsia="宋体" w:hint="default"/>
        </w:rPr>
        <w:t>6</w:t>
      </w:r>
      <w:r>
        <w:rPr/>
        <w:t>月</w:t>
      </w:r>
      <w:r>
        <w:rPr>
          <w:rFonts w:ascii="宋体" w:hAnsi="宋体" w:cs="宋体" w:eastAsia="宋体" w:hint="default"/>
        </w:rPr>
        <w:t>30</w:t>
      </w:r>
      <w:r>
        <w:rPr/>
        <w:t>日）的短期借款提供担保，截至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日，以上合 同担保下的短期借款余额为</w:t>
      </w:r>
      <w:r>
        <w:rPr>
          <w:rFonts w:ascii="宋体" w:hAnsi="宋体" w:cs="宋体" w:eastAsia="宋体" w:hint="default"/>
        </w:rPr>
        <w:t>500.00</w:t>
      </w:r>
      <w:r>
        <w:rPr/>
        <w:t>万元。</w:t>
      </w:r>
      <w:r>
        <w:rPr>
          <w:spacing w:val="-86"/>
        </w:rPr>
        <w:t> </w:t>
      </w:r>
      <w:r>
        <w:rPr>
          <w:spacing w:val="2"/>
        </w:rPr>
        <w:t>注（</w:t>
      </w:r>
      <w:r>
        <w:rPr>
          <w:rFonts w:ascii="宋体" w:hAnsi="宋体" w:cs="宋体" w:eastAsia="宋体" w:hint="default"/>
          <w:spacing w:val="2"/>
        </w:rPr>
        <w:t>6</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20</w:t>
      </w:r>
      <w:r>
        <w:rPr>
          <w:spacing w:val="2"/>
        </w:rPr>
        <w:t>日，银江科技集团有限公司与民生银行杭州分行签订的最高额为</w:t>
      </w:r>
      <w:r>
        <w:rPr>
          <w:rFonts w:ascii="宋体" w:hAnsi="宋体" w:cs="宋体" w:eastAsia="宋体" w:hint="default"/>
          <w:spacing w:val="2"/>
        </w:rPr>
        <w:t>12,000.00</w:t>
      </w:r>
      <w:r>
        <w:rPr>
          <w:spacing w:val="2"/>
        </w:rPr>
        <w:t>万元，编号为公高保字第</w:t>
      </w:r>
      <w:r>
        <w:rPr>
          <w:spacing w:val="-55"/>
        </w:rPr>
        <w:t> </w:t>
      </w:r>
      <w:r>
        <w:rPr>
          <w:spacing w:val="-55"/>
        </w:rPr>
      </w:r>
      <w:r>
        <w:rPr>
          <w:rFonts w:ascii="宋体" w:hAnsi="宋体" w:cs="宋体" w:eastAsia="宋体" w:hint="default"/>
        </w:rPr>
        <w:t>99072019B75006</w:t>
      </w:r>
      <w:r>
        <w:rPr/>
        <w:t>号的《最高额保证合同》，为公司以下短期借款提供担保：</w:t>
      </w:r>
    </w:p>
    <w:p>
      <w:pPr>
        <w:pStyle w:val="BodyText"/>
        <w:spacing w:line="316" w:lineRule="auto" w:before="19"/>
        <w:ind w:right="1133"/>
        <w:jc w:val="left"/>
      </w:pPr>
      <w:r>
        <w:rPr>
          <w:spacing w:val="-2"/>
        </w:rPr>
        <w:t>①为公司金额为</w:t>
      </w:r>
      <w:r>
        <w:rPr>
          <w:rFonts w:ascii="宋体" w:hAnsi="宋体" w:cs="宋体" w:eastAsia="宋体" w:hint="default"/>
          <w:spacing w:val="-2"/>
        </w:rPr>
        <w:t>5,000.00</w:t>
      </w:r>
      <w:r>
        <w:rPr>
          <w:spacing w:val="-2"/>
        </w:rPr>
        <w:t>万元（期限为</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21</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21</w:t>
      </w:r>
      <w:r>
        <w:rPr>
          <w:spacing w:val="-2"/>
        </w:rPr>
        <w:t>日）的短期借款提供担保，截至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w:t>
      </w:r>
      <w:r>
        <w:rPr>
          <w:spacing w:val="-47"/>
        </w:rPr>
        <w:t> </w:t>
      </w:r>
      <w:r>
        <w:rPr>
          <w:spacing w:val="-47"/>
        </w:rPr>
      </w:r>
      <w:r>
        <w:rPr/>
        <w:t>合同担保下的短期借款余额为</w:t>
      </w:r>
      <w:r>
        <w:rPr>
          <w:rFonts w:ascii="宋体" w:hAnsi="宋体" w:cs="宋体" w:eastAsia="宋体" w:hint="default"/>
        </w:rPr>
        <w:t>5,000.00</w:t>
      </w:r>
      <w:r>
        <w:rPr/>
        <w:t>万元。</w:t>
      </w:r>
    </w:p>
    <w:p>
      <w:pPr>
        <w:pStyle w:val="BodyText"/>
        <w:spacing w:line="316" w:lineRule="auto" w:before="19"/>
        <w:ind w:right="1133"/>
        <w:jc w:val="left"/>
      </w:pPr>
      <w:r>
        <w:rPr>
          <w:spacing w:val="-2"/>
        </w:rPr>
        <w:t>②为公司金额为</w:t>
      </w:r>
      <w:r>
        <w:rPr>
          <w:rFonts w:ascii="宋体" w:hAnsi="宋体" w:cs="宋体" w:eastAsia="宋体" w:hint="default"/>
          <w:spacing w:val="-2"/>
        </w:rPr>
        <w:t>5,000.00</w:t>
      </w:r>
      <w:r>
        <w:rPr>
          <w:spacing w:val="-2"/>
        </w:rPr>
        <w:t>万元（期限为</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23</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23</w:t>
      </w:r>
      <w:r>
        <w:rPr>
          <w:spacing w:val="-2"/>
        </w:rPr>
        <w:t>日）的短期借款提供担保，截至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w:t>
      </w:r>
      <w:r>
        <w:rPr>
          <w:spacing w:val="-47"/>
        </w:rPr>
        <w:t> </w:t>
      </w:r>
      <w:r>
        <w:rPr>
          <w:spacing w:val="-47"/>
        </w:rPr>
      </w:r>
      <w:r>
        <w:rPr/>
        <w:t>合同担保下的短期借款余额为</w:t>
      </w:r>
      <w:r>
        <w:rPr>
          <w:rFonts w:ascii="宋体" w:hAnsi="宋体" w:cs="宋体" w:eastAsia="宋体" w:hint="default"/>
        </w:rPr>
        <w:t>5,000.00</w:t>
      </w:r>
      <w:r>
        <w:rPr/>
        <w:t>万元。</w:t>
      </w:r>
    </w:p>
    <w:p>
      <w:pPr>
        <w:pStyle w:val="BodyText"/>
        <w:spacing w:line="319" w:lineRule="auto" w:before="19"/>
        <w:ind w:right="1124"/>
        <w:jc w:val="left"/>
      </w:pPr>
      <w:r>
        <w:rPr>
          <w:spacing w:val="-6"/>
        </w:rPr>
        <w:t>注（</w:t>
      </w:r>
      <w:r>
        <w:rPr>
          <w:rFonts w:ascii="宋体" w:hAnsi="宋体" w:cs="宋体" w:eastAsia="宋体" w:hint="default"/>
          <w:spacing w:val="-6"/>
        </w:rPr>
        <w:t>7</w:t>
      </w:r>
      <w:r>
        <w:rPr>
          <w:spacing w:val="-6"/>
        </w:rPr>
        <w:t>）</w:t>
      </w:r>
      <w:r>
        <w:rPr>
          <w:rFonts w:ascii="宋体" w:hAnsi="宋体" w:cs="宋体" w:eastAsia="宋体" w:hint="default"/>
          <w:spacing w:val="-6"/>
        </w:rPr>
        <w:t>2019</w:t>
      </w:r>
      <w:r>
        <w:rPr>
          <w:spacing w:val="-6"/>
        </w:rPr>
        <w:t>年</w:t>
      </w:r>
      <w:r>
        <w:rPr>
          <w:rFonts w:ascii="宋体" w:hAnsi="宋体" w:cs="宋体" w:eastAsia="宋体" w:hint="default"/>
          <w:spacing w:val="-6"/>
        </w:rPr>
        <w:t>6</w:t>
      </w:r>
      <w:r>
        <w:rPr>
          <w:spacing w:val="-6"/>
        </w:rPr>
        <w:t>月</w:t>
      </w:r>
      <w:r>
        <w:rPr>
          <w:rFonts w:ascii="宋体" w:hAnsi="宋体" w:cs="宋体" w:eastAsia="宋体" w:hint="default"/>
          <w:spacing w:val="-6"/>
        </w:rPr>
        <w:t>20</w:t>
      </w:r>
      <w:r>
        <w:rPr>
          <w:spacing w:val="-6"/>
        </w:rPr>
        <w:t>日，银江科技集团有限公司与交通银行杭州莫干山路支行签订的最高额为</w:t>
      </w:r>
      <w:r>
        <w:rPr>
          <w:rFonts w:ascii="宋体" w:hAnsi="宋体" w:cs="宋体" w:eastAsia="宋体" w:hint="default"/>
          <w:spacing w:val="-6"/>
        </w:rPr>
        <w:t>5,000.00</w:t>
      </w:r>
      <w:r>
        <w:rPr>
          <w:spacing w:val="-6"/>
        </w:rPr>
        <w:t>万元，编号为</w:t>
      </w:r>
      <w:r>
        <w:rPr>
          <w:rFonts w:ascii="宋体" w:hAnsi="宋体" w:cs="宋体" w:eastAsia="宋体" w:hint="default"/>
          <w:spacing w:val="-6"/>
        </w:rPr>
        <w:t>2019019-1</w:t>
      </w:r>
      <w:r>
        <w:rPr>
          <w:rFonts w:ascii="宋体" w:hAnsi="宋体" w:cs="宋体" w:eastAsia="宋体" w:hint="default"/>
          <w:spacing w:val="-44"/>
        </w:rPr>
        <w:t> </w:t>
      </w:r>
      <w:r>
        <w:rPr>
          <w:rFonts w:ascii="宋体" w:hAnsi="宋体" w:cs="宋体" w:eastAsia="宋体" w:hint="default"/>
          <w:spacing w:val="-44"/>
        </w:rPr>
      </w:r>
      <w:r>
        <w:rPr/>
        <w:t>的《最高额保证合同》，为公司金额为</w:t>
      </w:r>
      <w:r>
        <w:rPr>
          <w:rFonts w:ascii="宋体" w:hAnsi="宋体" w:cs="宋体" w:eastAsia="宋体" w:hint="default"/>
        </w:rPr>
        <w:t>5,000.00</w:t>
      </w:r>
      <w:r>
        <w:rPr/>
        <w:t>万元（期限为</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27</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7</w:t>
      </w:r>
      <w:r>
        <w:rPr/>
        <w:t>日）的短期借款提供担保，截 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日，担保的短期借款余额为</w:t>
      </w:r>
      <w:r>
        <w:rPr>
          <w:rFonts w:ascii="宋体" w:hAnsi="宋体" w:cs="宋体" w:eastAsia="宋体" w:hint="default"/>
        </w:rPr>
        <w:t>5,000.00</w:t>
      </w:r>
      <w:r>
        <w:rPr/>
        <w:t>万元。 </w:t>
      </w:r>
      <w:r>
        <w:rPr>
          <w:spacing w:val="4"/>
        </w:rPr>
        <w:t>注（</w:t>
      </w:r>
      <w:r>
        <w:rPr>
          <w:rFonts w:ascii="宋体" w:hAnsi="宋体" w:cs="宋体" w:eastAsia="宋体" w:hint="default"/>
          <w:spacing w:val="4"/>
        </w:rPr>
        <w:t>8</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9</w:t>
      </w:r>
      <w:r>
        <w:rPr>
          <w:spacing w:val="4"/>
        </w:rPr>
        <w:t>日，银江科技集团有限公司与中国农业银行杭州解放路支行签订的最高额为</w:t>
      </w:r>
      <w:r>
        <w:rPr>
          <w:rFonts w:ascii="宋体" w:hAnsi="宋体" w:cs="宋体" w:eastAsia="宋体" w:hint="default"/>
          <w:spacing w:val="4"/>
        </w:rPr>
        <w:t>13,500.00</w:t>
      </w:r>
      <w:r>
        <w:rPr>
          <w:spacing w:val="4"/>
        </w:rPr>
        <w:t>万元，编号为</w:t>
      </w:r>
      <w:r>
        <w:rPr>
          <w:spacing w:val="-79"/>
        </w:rPr>
        <w:t> </w:t>
      </w:r>
      <w:r>
        <w:rPr>
          <w:spacing w:val="-79"/>
        </w:rPr>
      </w:r>
      <w:r>
        <w:rPr>
          <w:rFonts w:ascii="宋体" w:hAnsi="宋体" w:cs="宋体" w:eastAsia="宋体" w:hint="default"/>
        </w:rPr>
        <w:t>33100520190001568</w:t>
      </w:r>
      <w:r>
        <w:rPr/>
        <w:t>的《最高额保证合同》，为公司金额为</w:t>
      </w:r>
      <w:r>
        <w:rPr>
          <w:rFonts w:ascii="宋体" w:hAnsi="宋体" w:cs="宋体" w:eastAsia="宋体" w:hint="default"/>
        </w:rPr>
        <w:t>6,000.00</w:t>
      </w:r>
      <w:r>
        <w:rPr/>
        <w:t>万元（期限为</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11</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10</w:t>
      </w:r>
      <w:r>
        <w:rPr/>
        <w:t>日）的短 期借款提供担保，截至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日，担保的短期借款余额为</w:t>
      </w:r>
      <w:r>
        <w:rPr>
          <w:rFonts w:ascii="宋体" w:hAnsi="宋体" w:cs="宋体" w:eastAsia="宋体" w:hint="default"/>
        </w:rPr>
        <w:t>6,000.00</w:t>
      </w:r>
      <w:r>
        <w:rPr/>
        <w:t>万元。</w:t>
      </w:r>
    </w:p>
    <w:p>
      <w:pPr>
        <w:pStyle w:val="BodyText"/>
        <w:spacing w:line="316" w:lineRule="auto" w:before="17"/>
        <w:ind w:right="1133"/>
        <w:jc w:val="left"/>
      </w:pPr>
      <w:r>
        <w:rPr>
          <w:spacing w:val="-3"/>
        </w:rPr>
        <w:t>注（</w:t>
      </w:r>
      <w:r>
        <w:rPr>
          <w:rFonts w:ascii="宋体" w:hAnsi="宋体" w:cs="宋体" w:eastAsia="宋体" w:hint="default"/>
          <w:spacing w:val="-3"/>
        </w:rPr>
        <w:t>9</w:t>
      </w:r>
      <w:r>
        <w:rPr>
          <w:spacing w:val="-3"/>
        </w:rPr>
        <w:t>）</w:t>
      </w:r>
      <w:r>
        <w:rPr>
          <w:rFonts w:ascii="宋体" w:hAnsi="宋体" w:cs="宋体" w:eastAsia="宋体" w:hint="default"/>
          <w:spacing w:val="-3"/>
        </w:rPr>
        <w:t>2018</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7</w:t>
      </w:r>
      <w:r>
        <w:rPr>
          <w:spacing w:val="-3"/>
        </w:rPr>
        <w:t>日，银江科技集团有限公司与宁波银行杭州分行签订的最高额为</w:t>
      </w:r>
      <w:r>
        <w:rPr>
          <w:rFonts w:ascii="宋体" w:hAnsi="宋体" w:cs="宋体" w:eastAsia="宋体" w:hint="default"/>
          <w:spacing w:val="-3"/>
        </w:rPr>
        <w:t>10,000.00</w:t>
      </w:r>
      <w:r>
        <w:rPr>
          <w:spacing w:val="-3"/>
        </w:rPr>
        <w:t>万元，编号为</w:t>
      </w:r>
      <w:r>
        <w:rPr>
          <w:rFonts w:ascii="宋体" w:hAnsi="宋体" w:cs="宋体" w:eastAsia="宋体" w:hint="default"/>
          <w:spacing w:val="-3"/>
        </w:rPr>
        <w:t>07100KB20188552</w:t>
      </w:r>
      <w:r>
        <w:rPr>
          <w:rFonts w:ascii="宋体" w:hAnsi="宋体" w:cs="宋体" w:eastAsia="宋体" w:hint="default"/>
          <w:spacing w:val="-65"/>
        </w:rPr>
        <w:t> </w:t>
      </w:r>
      <w:r>
        <w:rPr>
          <w:rFonts w:ascii="宋体" w:hAnsi="宋体" w:cs="宋体" w:eastAsia="宋体" w:hint="default"/>
          <w:spacing w:val="-65"/>
        </w:rPr>
      </w:r>
      <w:r>
        <w:rPr/>
        <w:t>的《最高额保证合同》，为公司以下短期借款提供担保：</w:t>
      </w:r>
    </w:p>
    <w:p>
      <w:pPr>
        <w:pStyle w:val="BodyText"/>
        <w:spacing w:line="316" w:lineRule="auto" w:before="19"/>
        <w:ind w:right="1133"/>
        <w:jc w:val="left"/>
      </w:pPr>
      <w:r>
        <w:rPr>
          <w:spacing w:val="-2"/>
        </w:rPr>
        <w:t>①为公司金额为</w:t>
      </w:r>
      <w:r>
        <w:rPr>
          <w:rFonts w:ascii="宋体" w:hAnsi="宋体" w:cs="宋体" w:eastAsia="宋体" w:hint="default"/>
          <w:spacing w:val="-2"/>
        </w:rPr>
        <w:t>2,000.00</w:t>
      </w:r>
      <w:r>
        <w:rPr>
          <w:spacing w:val="-2"/>
        </w:rPr>
        <w:t>万元（期限为</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23</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23</w:t>
      </w:r>
      <w:r>
        <w:rPr>
          <w:spacing w:val="-2"/>
        </w:rPr>
        <w:t>日）的短期借款提供担保，截至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w:t>
      </w:r>
      <w:r>
        <w:rPr>
          <w:spacing w:val="-47"/>
        </w:rPr>
        <w:t> </w:t>
      </w:r>
      <w:r>
        <w:rPr>
          <w:spacing w:val="-47"/>
        </w:rPr>
      </w:r>
      <w:r>
        <w:rPr/>
        <w:t>合同担保下的短期借款余额为</w:t>
      </w:r>
      <w:r>
        <w:rPr>
          <w:rFonts w:ascii="宋体" w:hAnsi="宋体" w:cs="宋体" w:eastAsia="宋体" w:hint="default"/>
        </w:rPr>
        <w:t>2,000.00</w:t>
      </w:r>
      <w:r>
        <w:rPr/>
        <w:t>万元。</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3"/>
        <w:jc w:val="left"/>
      </w:pPr>
      <w:r>
        <w:rPr>
          <w:spacing w:val="-2"/>
        </w:rPr>
        <w:t>②为公司金额为</w:t>
      </w:r>
      <w:r>
        <w:rPr>
          <w:rFonts w:ascii="宋体" w:hAnsi="宋体" w:cs="宋体" w:eastAsia="宋体" w:hint="default"/>
          <w:spacing w:val="-2"/>
        </w:rPr>
        <w:t>3,000.00</w:t>
      </w:r>
      <w:r>
        <w:rPr>
          <w:spacing w:val="-2"/>
        </w:rPr>
        <w:t>万元（期限为</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21</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21</w:t>
      </w:r>
      <w:r>
        <w:rPr>
          <w:spacing w:val="-2"/>
        </w:rPr>
        <w:t>日）的短期借款提供担保，截至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w:t>
      </w:r>
      <w:r>
        <w:rPr>
          <w:spacing w:val="-47"/>
        </w:rPr>
        <w:t> </w:t>
      </w:r>
      <w:r>
        <w:rPr>
          <w:spacing w:val="-47"/>
        </w:rPr>
      </w:r>
      <w:r>
        <w:rPr/>
        <w:t>合同担保下的短期借款余额为</w:t>
      </w:r>
      <w:r>
        <w:rPr>
          <w:rFonts w:ascii="宋体" w:hAnsi="宋体" w:cs="宋体" w:eastAsia="宋体" w:hint="default"/>
        </w:rPr>
        <w:t>3,000.00</w:t>
      </w:r>
      <w:r>
        <w:rPr/>
        <w:t>万元。</w:t>
      </w:r>
      <w:r>
        <w:rPr>
          <w:spacing w:val="-87"/>
        </w:rPr>
        <w:t> </w:t>
      </w:r>
      <w:r>
        <w:rPr>
          <w:spacing w:val="-2"/>
        </w:rPr>
        <w:t>注（</w:t>
      </w:r>
      <w:r>
        <w:rPr>
          <w:rFonts w:ascii="宋体" w:hAnsi="宋体" w:cs="宋体" w:eastAsia="宋体" w:hint="default"/>
          <w:spacing w:val="-2"/>
        </w:rPr>
        <w:t>10</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16</w:t>
      </w:r>
      <w:r>
        <w:rPr>
          <w:spacing w:val="-2"/>
        </w:rPr>
        <w:t>日，银江科技集团有限公司与恒丰银行杭州分行签订的最高额为</w:t>
      </w:r>
      <w:r>
        <w:rPr>
          <w:rFonts w:ascii="宋体" w:hAnsi="宋体" w:cs="宋体" w:eastAsia="宋体" w:hint="default"/>
          <w:spacing w:val="-2"/>
        </w:rPr>
        <w:t>10,000.00</w:t>
      </w:r>
      <w:r>
        <w:rPr>
          <w:spacing w:val="-2"/>
        </w:rPr>
        <w:t>万元，编号为</w:t>
      </w:r>
      <w:r>
        <w:rPr>
          <w:rFonts w:ascii="宋体" w:hAnsi="宋体" w:cs="宋体" w:eastAsia="宋体" w:hint="default"/>
          <w:spacing w:val="-2"/>
        </w:rPr>
        <w:t>2019</w:t>
      </w:r>
      <w:r>
        <w:rPr>
          <w:spacing w:val="-2"/>
        </w:rPr>
        <w:t>年恒银杭</w:t>
      </w:r>
      <w:r>
        <w:rPr>
          <w:spacing w:val="-49"/>
        </w:rPr>
        <w:t> </w:t>
      </w:r>
      <w:r>
        <w:rPr>
          <w:spacing w:val="-49"/>
        </w:rPr>
      </w:r>
      <w:r>
        <w:rPr/>
        <w:t>借高保字第</w:t>
      </w:r>
      <w:r>
        <w:rPr>
          <w:rFonts w:ascii="宋体" w:hAnsi="宋体" w:cs="宋体" w:eastAsia="宋体" w:hint="default"/>
        </w:rPr>
        <w:t>002108010011</w:t>
      </w:r>
      <w:r>
        <w:rPr/>
        <w:t>号的《最高额保证合同》，为公司以下短期借款提供担保：</w:t>
      </w:r>
    </w:p>
    <w:p>
      <w:pPr>
        <w:pStyle w:val="BodyText"/>
        <w:spacing w:line="316" w:lineRule="auto" w:before="17"/>
        <w:ind w:right="1133"/>
        <w:jc w:val="left"/>
      </w:pPr>
      <w:r>
        <w:rPr>
          <w:spacing w:val="-2"/>
        </w:rPr>
        <w:t>①为公司金额为</w:t>
      </w:r>
      <w:r>
        <w:rPr>
          <w:rFonts w:ascii="宋体" w:hAnsi="宋体" w:cs="宋体" w:eastAsia="宋体" w:hint="default"/>
          <w:spacing w:val="-2"/>
        </w:rPr>
        <w:t>4,000.00</w:t>
      </w:r>
      <w:r>
        <w:rPr>
          <w:spacing w:val="-2"/>
        </w:rPr>
        <w:t>万元（期限为</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16</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16</w:t>
      </w:r>
      <w:r>
        <w:rPr>
          <w:spacing w:val="-2"/>
        </w:rPr>
        <w:t>日）的短期借款提供担保，截至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日，以上</w:t>
      </w:r>
      <w:r>
        <w:rPr>
          <w:spacing w:val="-47"/>
        </w:rPr>
        <w:t> </w:t>
      </w:r>
      <w:r>
        <w:rPr>
          <w:spacing w:val="-47"/>
        </w:rPr>
      </w:r>
      <w:r>
        <w:rPr/>
        <w:t>合同担保下的短期借款余额为</w:t>
      </w:r>
      <w:r>
        <w:rPr>
          <w:rFonts w:ascii="宋体" w:hAnsi="宋体" w:cs="宋体" w:eastAsia="宋体" w:hint="default"/>
        </w:rPr>
        <w:t>4,000.00</w:t>
      </w:r>
      <w:r>
        <w:rPr/>
        <w:t>万元。</w:t>
      </w:r>
    </w:p>
    <w:p>
      <w:pPr>
        <w:pStyle w:val="BodyText"/>
        <w:spacing w:line="316" w:lineRule="auto" w:before="19"/>
        <w:ind w:right="1133"/>
        <w:jc w:val="left"/>
      </w:pPr>
      <w:r>
        <w:rPr>
          <w:spacing w:val="-2"/>
        </w:rPr>
        <w:t>②为公司金额为</w:t>
      </w:r>
      <w:r>
        <w:rPr>
          <w:rFonts w:ascii="宋体" w:hAnsi="宋体" w:cs="宋体" w:eastAsia="宋体" w:hint="default"/>
          <w:spacing w:val="-2"/>
        </w:rPr>
        <w:t>4,000.00</w:t>
      </w:r>
      <w:r>
        <w:rPr>
          <w:spacing w:val="-2"/>
        </w:rPr>
        <w:t>万元（期限为</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10</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10</w:t>
      </w:r>
      <w:r>
        <w:rPr>
          <w:spacing w:val="-2"/>
        </w:rPr>
        <w:t>日）的短期借款提供担保，截至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日，以</w:t>
      </w:r>
      <w:r>
        <w:rPr>
          <w:spacing w:val="-46"/>
        </w:rPr>
        <w:t> </w:t>
      </w:r>
      <w:r>
        <w:rPr>
          <w:spacing w:val="-46"/>
        </w:rPr>
      </w:r>
      <w:r>
        <w:rPr/>
        <w:t>上合同担保下的短期借款余额为</w:t>
      </w:r>
      <w:r>
        <w:rPr>
          <w:rFonts w:ascii="宋体" w:hAnsi="宋体" w:cs="宋体" w:eastAsia="宋体" w:hint="default"/>
        </w:rPr>
        <w:t>4,000.00</w:t>
      </w:r>
      <w:r>
        <w:rPr/>
        <w:t>万元。</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5）关联方资金拆借" w:id="452"/>
      <w:bookmarkEnd w:id="452"/>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6）关联方资产转让、债务重组情况" w:id="453"/>
      <w:bookmarkEnd w:id="453"/>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智谷创业园有限公司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受让固定资产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3" w:right="0"/>
              <w:jc w:val="left"/>
              <w:rPr>
                <w:rFonts w:ascii="Times New Roman" w:hAnsi="Times New Roman" w:cs="Times New Roman" w:eastAsia="Times New Roman" w:hint="default"/>
                <w:sz w:val="18"/>
                <w:szCs w:val="18"/>
              </w:rPr>
            </w:pPr>
            <w:r>
              <w:rPr>
                <w:rFonts w:ascii="Times New Roman"/>
                <w:sz w:val="18"/>
              </w:rPr>
              <w:t>345,714,300.00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304,761,900.00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7）关键管理人员报酬" w:id="454"/>
      <w:bookmarkEnd w:id="454"/>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5,999,400.00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5,081,900.00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8）其他关联交易" w:id="455"/>
      <w:bookmarkEnd w:id="455"/>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jc w:val="left"/>
      </w:pPr>
      <w:r>
        <w:rPr>
          <w:spacing w:val="-2"/>
        </w:rPr>
        <w:t>本年公司向杭州银江智慧产业创业投资合伙企业（有限合伙）增资</w:t>
      </w:r>
      <w:r>
        <w:rPr>
          <w:rFonts w:ascii="宋体" w:hAnsi="宋体" w:cs="宋体" w:eastAsia="宋体" w:hint="default"/>
          <w:spacing w:val="-2"/>
        </w:rPr>
        <w:t>0.23</w:t>
      </w:r>
      <w:r>
        <w:rPr>
          <w:spacing w:val="-2"/>
        </w:rPr>
        <w:t>亿元。截至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日，公司总计向杭州银江智</w:t>
      </w:r>
      <w:r>
        <w:rPr>
          <w:spacing w:val="-58"/>
        </w:rPr>
        <w:t> </w:t>
      </w:r>
      <w:r>
        <w:rPr>
          <w:spacing w:val="-58"/>
        </w:rPr>
      </w:r>
      <w:r>
        <w:rPr/>
        <w:t>慧产业创业投资合伙企业（有限合伙）投资</w:t>
      </w:r>
      <w:r>
        <w:rPr>
          <w:rFonts w:ascii="宋体" w:hAnsi="宋体" w:cs="宋体" w:eastAsia="宋体" w:hint="default"/>
        </w:rPr>
        <w:t>5.44</w:t>
      </w:r>
      <w:r>
        <w:rPr/>
        <w:t>亿元。</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6、关联方应收应付款项" w:id="456"/>
      <w:bookmarkEnd w:id="45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应收项目" w:id="457"/>
      <w:bookmarkEnd w:id="45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2977"/>
        <w:gridCol w:w="1702"/>
        <w:gridCol w:w="1133"/>
        <w:gridCol w:w="1561"/>
        <w:gridCol w:w="1061"/>
      </w:tblGrid>
      <w:tr>
        <w:trPr>
          <w:trHeight w:val="401" w:hRule="exact"/>
        </w:trPr>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2977"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浙江智尔信息技术有限公司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1,875.00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交通宝互联网技术有限公司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76,832.85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3,841.64</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城市宝互联网技术有限公司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2,335,021.76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188,401.04</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上海银江智慧智能化技术有限公司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智谷创业园有限公司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135,850,000.00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6,792,500.00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厦门银江智慧城市技术股份有限公司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324,749.99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36"/>
        <w:gridCol w:w="2977"/>
        <w:gridCol w:w="1702"/>
        <w:gridCol w:w="1133"/>
        <w:gridCol w:w="1561"/>
        <w:gridCol w:w="1061"/>
      </w:tblGrid>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安徽新网讯科技发展有限公司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981,803.05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杭州动享互联网技术有限公司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14,670.46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55,000.00</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北京银江瑞讯科技有限公司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9,727,497.21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5,430,433.80</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浙江贤谷互联网技术有限公司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448,250.75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1" w:right="0"/>
              <w:jc w:val="left"/>
              <w:rPr>
                <w:rFonts w:ascii="Times New Roman" w:hAnsi="Times New Roman" w:cs="Times New Roman" w:eastAsia="Times New Roman" w:hint="default"/>
                <w:sz w:val="18"/>
                <w:szCs w:val="18"/>
              </w:rPr>
            </w:pPr>
            <w:r>
              <w:rPr>
                <w:rFonts w:ascii="Times New Roman"/>
                <w:sz w:val="18"/>
              </w:rPr>
              <w:t>22,912.54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安徽新网讯科技发展有限公司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163,236.00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10,866.55</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城市宝互联网技术有限公司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483,645.04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24,182.25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应付项目" w:id="458"/>
      <w:bookmarkEnd w:id="45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3262"/>
        <w:gridCol w:w="2213"/>
        <w:gridCol w:w="2393"/>
      </w:tblGrid>
      <w:tr>
        <w:trPr>
          <w:trHeight w:val="40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城市宝互联网技术有限公司</w:t>
            </w:r>
          </w:p>
        </w:tc>
        <w:tc>
          <w:tcPr>
            <w:tcW w:w="221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49,061.29</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安徽新网讯科技发展有限公司</w:t>
            </w:r>
          </w:p>
        </w:tc>
        <w:tc>
          <w:tcPr>
            <w:tcW w:w="221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335,894.49</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厦门银江智慧城市技术股份有限公司</w:t>
            </w:r>
          </w:p>
        </w:tc>
        <w:tc>
          <w:tcPr>
            <w:tcW w:w="221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2,200,914.60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银江孵化器股份有限公司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15,470.40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15,470.40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北京欧迈特科技股份有限公司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19,306.00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杭州银江医联网技术股份有限公司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149,558.80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149,558.80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交通宝互联网技术有限公司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1,984,540.71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2,106,848.52</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浙江智尔信息技术有限公司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113,075.00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上海银江智慧智能化技术有限公司</w:t>
            </w:r>
          </w:p>
        </w:tc>
        <w:tc>
          <w:tcPr>
            <w:tcW w:w="221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杭州动享互联网技术有限公司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58,210.47</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银江孵化器股份有限公司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14,328.68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102,566.10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杭州清普信息技术有限公司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24,000.00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杭州银江医联网技术股份有限公司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413,931.00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133,931.00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7、关联方承诺" w:id="459"/>
      <w:bookmarkEnd w:id="459"/>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bookmarkStart w:name="8、其他" w:id="460"/>
      <w:bookmarkEnd w:id="46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461"/>
      <w:bookmarkEnd w:id="461"/>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2"/>
      <w:bookmarkEnd w:id="46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5"/>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101"/>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38" w:lineRule="auto" w:before="49"/>
        <w:ind w:right="1124"/>
        <w:jc w:val="left"/>
      </w:pPr>
      <w:r>
        <w:rPr/>
        <w:t>其他说明 </w:t>
      </w:r>
      <w:r>
        <w:rPr>
          <w:rFonts w:ascii="宋体" w:hAnsi="宋体" w:cs="宋体" w:eastAsia="宋体" w:hint="default"/>
        </w:rPr>
        <w:t>1</w:t>
      </w:r>
      <w:r>
        <w:rPr/>
        <w:t>、</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w:t>
      </w:r>
      <w:r>
        <w:rPr/>
        <w:t>日，公司第四届董事会第六次会议审议通过《关于</w:t>
      </w:r>
      <w:r>
        <w:rPr>
          <w:rFonts w:ascii="宋体" w:hAnsi="宋体" w:cs="宋体" w:eastAsia="宋体" w:hint="default"/>
        </w:rPr>
        <w:t>&lt;</w:t>
      </w:r>
      <w:r>
        <w:rPr/>
        <w:t>银江股份有限公司</w:t>
      </w:r>
      <w:r>
        <w:rPr>
          <w:rFonts w:ascii="宋体" w:hAnsi="宋体" w:cs="宋体" w:eastAsia="宋体" w:hint="default"/>
        </w:rPr>
        <w:t>2017</w:t>
      </w:r>
      <w:r>
        <w:rPr/>
        <w:t>年股票期权激励计划（草案）</w:t>
      </w:r>
      <w:r>
        <w:rPr>
          <w:rFonts w:ascii="宋体" w:hAnsi="宋体" w:cs="宋体" w:eastAsia="宋体" w:hint="default"/>
        </w:rPr>
        <w:t>&gt;</w:t>
      </w:r>
      <w:r>
        <w:rPr/>
        <w:t>及 </w:t>
      </w:r>
      <w:r>
        <w:rPr>
          <w:spacing w:val="-2"/>
        </w:rPr>
        <w:t>其摘要的议案》、《关于</w:t>
      </w:r>
      <w:r>
        <w:rPr>
          <w:rFonts w:ascii="宋体" w:hAnsi="宋体" w:cs="宋体" w:eastAsia="宋体" w:hint="default"/>
          <w:spacing w:val="-2"/>
        </w:rPr>
        <w:t>&lt;</w:t>
      </w:r>
      <w:r>
        <w:rPr>
          <w:spacing w:val="-2"/>
        </w:rPr>
        <w:t>银江股份有限公司</w:t>
      </w:r>
      <w:r>
        <w:rPr>
          <w:rFonts w:ascii="宋体" w:hAnsi="宋体" w:cs="宋体" w:eastAsia="宋体" w:hint="default"/>
          <w:spacing w:val="-2"/>
        </w:rPr>
        <w:t>2017</w:t>
      </w:r>
      <w:r>
        <w:rPr>
          <w:spacing w:val="-2"/>
        </w:rPr>
        <w:t>年股票期权激励计划实施考核管理办法</w:t>
      </w:r>
      <w:r>
        <w:rPr>
          <w:rFonts w:ascii="宋体" w:hAnsi="宋体" w:cs="宋体" w:eastAsia="宋体" w:hint="default"/>
          <w:spacing w:val="-2"/>
        </w:rPr>
        <w:t>&gt;</w:t>
      </w:r>
      <w:r>
        <w:rPr>
          <w:spacing w:val="-2"/>
        </w:rPr>
        <w:t>的议案》和《关于提请股东大会授</w:t>
      </w:r>
    </w:p>
    <w:p>
      <w:pPr>
        <w:pStyle w:val="BodyText"/>
        <w:spacing w:line="316" w:lineRule="auto" w:before="2"/>
        <w:ind w:right="1034"/>
        <w:jc w:val="left"/>
      </w:pPr>
      <w:r>
        <w:rPr/>
        <w:t>权董事会办理公司</w:t>
      </w:r>
      <w:r>
        <w:rPr>
          <w:rFonts w:ascii="宋体" w:hAnsi="宋体" w:cs="宋体" w:eastAsia="宋体" w:hint="default"/>
        </w:rPr>
        <w:t>2017</w:t>
      </w:r>
      <w:r>
        <w:rPr/>
        <w:t>年股票期权激励计划有关事项的议案》。 </w:t>
      </w:r>
      <w:r>
        <w:rPr>
          <w:rFonts w:ascii="宋体" w:hAnsi="宋体" w:cs="宋体" w:eastAsia="宋体" w:hint="default"/>
          <w:spacing w:val="-2"/>
        </w:rPr>
        <w:t>2</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28</w:t>
      </w:r>
      <w:r>
        <w:rPr>
          <w:spacing w:val="-2"/>
        </w:rPr>
        <w:t>日，公司</w:t>
      </w:r>
      <w:r>
        <w:rPr>
          <w:rFonts w:ascii="宋体" w:hAnsi="宋体" w:cs="宋体" w:eastAsia="宋体" w:hint="default"/>
          <w:spacing w:val="-2"/>
        </w:rPr>
        <w:t>2017</w:t>
      </w:r>
      <w:r>
        <w:rPr>
          <w:spacing w:val="-2"/>
        </w:rPr>
        <w:t>年第四次临时股东大会审议通过《关于</w:t>
      </w:r>
      <w:r>
        <w:rPr>
          <w:rFonts w:ascii="宋体" w:hAnsi="宋体" w:cs="宋体" w:eastAsia="宋体" w:hint="default"/>
          <w:spacing w:val="-2"/>
        </w:rPr>
        <w:t>&lt;</w:t>
      </w:r>
      <w:r>
        <w:rPr>
          <w:spacing w:val="-2"/>
        </w:rPr>
        <w:t>银江股份有限公司</w:t>
      </w:r>
      <w:r>
        <w:rPr>
          <w:rFonts w:ascii="宋体" w:hAnsi="宋体" w:cs="宋体" w:eastAsia="宋体" w:hint="default"/>
          <w:spacing w:val="-2"/>
        </w:rPr>
        <w:t>2017</w:t>
      </w:r>
      <w:r>
        <w:rPr>
          <w:spacing w:val="-2"/>
        </w:rPr>
        <w:t>年股票期权激励计划（草案）</w:t>
      </w:r>
      <w:r>
        <w:rPr>
          <w:rFonts w:ascii="宋体" w:hAnsi="宋体" w:cs="宋体" w:eastAsia="宋体" w:hint="default"/>
          <w:spacing w:val="-2"/>
        </w:rPr>
        <w:t>&gt;</w:t>
      </w:r>
      <w:r>
        <w:rPr>
          <w:rFonts w:ascii="宋体" w:hAnsi="宋体" w:cs="宋体" w:eastAsia="宋体" w:hint="default"/>
          <w:spacing w:val="-56"/>
        </w:rPr>
        <w:t> </w:t>
      </w:r>
      <w:r>
        <w:rPr>
          <w:spacing w:val="-2"/>
        </w:rPr>
        <w:t>及其摘要的议案》、《关于</w:t>
      </w:r>
      <w:r>
        <w:rPr>
          <w:rFonts w:ascii="宋体" w:hAnsi="宋体" w:cs="宋体" w:eastAsia="宋体" w:hint="default"/>
          <w:spacing w:val="-2"/>
        </w:rPr>
        <w:t>&lt;</w:t>
      </w:r>
      <w:r>
        <w:rPr>
          <w:spacing w:val="-2"/>
        </w:rPr>
        <w:t>银江股份有限公司</w:t>
      </w:r>
      <w:r>
        <w:rPr>
          <w:rFonts w:ascii="宋体" w:hAnsi="宋体" w:cs="宋体" w:eastAsia="宋体" w:hint="default"/>
          <w:spacing w:val="-2"/>
        </w:rPr>
        <w:t>2017</w:t>
      </w:r>
      <w:r>
        <w:rPr>
          <w:spacing w:val="-2"/>
        </w:rPr>
        <w:t>年股票期权激励计划实施考核管理办法</w:t>
      </w:r>
      <w:r>
        <w:rPr>
          <w:rFonts w:ascii="宋体" w:hAnsi="宋体" w:cs="宋体" w:eastAsia="宋体" w:hint="default"/>
          <w:spacing w:val="-2"/>
        </w:rPr>
        <w:t>&gt;</w:t>
      </w:r>
      <w:r>
        <w:rPr>
          <w:spacing w:val="-2"/>
        </w:rPr>
        <w:t>的议案》和《关于提请股东大会</w:t>
      </w:r>
      <w:r>
        <w:rPr>
          <w:spacing w:val="-61"/>
        </w:rPr>
        <w:t> </w:t>
      </w:r>
      <w:r>
        <w:rPr>
          <w:spacing w:val="-61"/>
        </w:rPr>
      </w:r>
      <w:r>
        <w:rPr/>
        <w:t>授权董事会办理公司</w:t>
      </w:r>
      <w:r>
        <w:rPr>
          <w:rFonts w:ascii="宋体" w:hAnsi="宋体" w:cs="宋体" w:eastAsia="宋体" w:hint="default"/>
        </w:rPr>
        <w:t>2017</w:t>
      </w:r>
      <w:r>
        <w:rPr/>
        <w:t>年股票期权激励计划有关事项的议案》。 </w:t>
      </w:r>
      <w:r>
        <w:rPr>
          <w:rFonts w:ascii="宋体" w:hAnsi="宋体" w:cs="宋体" w:eastAsia="宋体" w:hint="default"/>
          <w:spacing w:val="-2"/>
        </w:rPr>
        <w:t>3</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22</w:t>
      </w:r>
      <w:r>
        <w:rPr>
          <w:spacing w:val="-2"/>
        </w:rPr>
        <w:t>日，公司第四届董事会第八会议审议通过《关于调整公司</w:t>
      </w:r>
      <w:r>
        <w:rPr>
          <w:rFonts w:ascii="宋体" w:hAnsi="宋体" w:cs="宋体" w:eastAsia="宋体" w:hint="default"/>
          <w:spacing w:val="-2"/>
        </w:rPr>
        <w:t>2017</w:t>
      </w:r>
      <w:r>
        <w:rPr>
          <w:spacing w:val="-2"/>
        </w:rPr>
        <w:t>年股票期权激励计划授予激励对象名单及授予</w:t>
      </w:r>
      <w:r>
        <w:rPr>
          <w:spacing w:val="-58"/>
        </w:rPr>
        <w:t> </w:t>
      </w:r>
      <w:r>
        <w:rPr>
          <w:spacing w:val="-58"/>
        </w:rPr>
      </w:r>
      <w:r>
        <w:rPr>
          <w:spacing w:val="-2"/>
        </w:rPr>
        <w:t>数量的议案》和《关于向</w:t>
      </w:r>
      <w:r>
        <w:rPr>
          <w:rFonts w:ascii="宋体" w:hAnsi="宋体" w:cs="宋体" w:eastAsia="宋体" w:hint="default"/>
          <w:spacing w:val="-2"/>
        </w:rPr>
        <w:t>2017</w:t>
      </w:r>
      <w:r>
        <w:rPr>
          <w:spacing w:val="-2"/>
        </w:rPr>
        <w:t>年股票期权激励计划激励对象授予股票期权的议案》。上述两项议案的主要内容为：原激励对</w:t>
      </w:r>
      <w:r>
        <w:rPr>
          <w:spacing w:val="-64"/>
        </w:rPr>
        <w:t> </w:t>
      </w:r>
      <w:r>
        <w:rPr>
          <w:spacing w:val="-64"/>
        </w:rPr>
      </w:r>
      <w:r>
        <w:rPr/>
        <w:t>象王占军、王黎丽和王如晟</w:t>
      </w:r>
      <w:r>
        <w:rPr>
          <w:rFonts w:ascii="宋体" w:hAnsi="宋体" w:cs="宋体" w:eastAsia="宋体" w:hint="default"/>
        </w:rPr>
        <w:t>3</w:t>
      </w:r>
      <w:r>
        <w:rPr/>
        <w:t>人因个人原因离职，不再满足成为激励对象的条件。根据公司《</w:t>
      </w:r>
      <w:r>
        <w:rPr>
          <w:rFonts w:ascii="宋体" w:hAnsi="宋体" w:cs="宋体" w:eastAsia="宋体" w:hint="default"/>
        </w:rPr>
        <w:t>2017</w:t>
      </w:r>
      <w:r>
        <w:rPr/>
        <w:t>年股票期权激励计划（草</w:t>
      </w:r>
      <w:r>
        <w:rPr>
          <w:spacing w:val="-84"/>
        </w:rPr>
        <w:t> </w:t>
      </w:r>
      <w:r>
        <w:rPr>
          <w:spacing w:val="-2"/>
        </w:rPr>
        <w:t>案）》，需对激励对象人数和股票期权授予数量进行调整。经上述调整后，本次获授股票期权的激励对象由</w:t>
      </w:r>
      <w:r>
        <w:rPr>
          <w:rFonts w:ascii="宋体" w:hAnsi="宋体" w:cs="宋体" w:eastAsia="宋体" w:hint="default"/>
          <w:spacing w:val="-2"/>
        </w:rPr>
        <w:t>306</w:t>
      </w:r>
      <w:r>
        <w:rPr>
          <w:spacing w:val="-2"/>
        </w:rPr>
        <w:t>人调整为</w:t>
      </w:r>
      <w:r>
        <w:rPr>
          <w:rFonts w:ascii="宋体" w:hAnsi="宋体" w:cs="宋体" w:eastAsia="宋体" w:hint="default"/>
          <w:spacing w:val="-2"/>
        </w:rPr>
        <w:t>303</w:t>
      </w:r>
      <w:r>
        <w:rPr>
          <w:rFonts w:ascii="宋体" w:hAnsi="宋体" w:cs="宋体" w:eastAsia="宋体" w:hint="default"/>
          <w:spacing w:val="-55"/>
        </w:rPr>
        <w:t> </w:t>
      </w:r>
      <w:r>
        <w:rPr/>
        <w:t>人，授予股票期权由</w:t>
      </w:r>
      <w:r>
        <w:rPr>
          <w:rFonts w:ascii="宋体" w:hAnsi="宋体" w:cs="宋体" w:eastAsia="宋体" w:hint="default"/>
        </w:rPr>
        <w:t>1729</w:t>
      </w:r>
      <w:r>
        <w:rPr/>
        <w:t>万份调整为</w:t>
      </w:r>
      <w:r>
        <w:rPr>
          <w:rFonts w:ascii="宋体" w:hAnsi="宋体" w:cs="宋体" w:eastAsia="宋体" w:hint="default"/>
        </w:rPr>
        <w:t>1718</w:t>
      </w:r>
      <w:r>
        <w:rPr/>
        <w:t>万份，并计划以</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25</w:t>
      </w:r>
      <w:r>
        <w:rPr/>
        <w:t>日为授予日，授予</w:t>
      </w:r>
      <w:r>
        <w:rPr>
          <w:rFonts w:ascii="宋体" w:hAnsi="宋体" w:cs="宋体" w:eastAsia="宋体" w:hint="default"/>
        </w:rPr>
        <w:t>303</w:t>
      </w:r>
      <w:r>
        <w:rPr/>
        <w:t>名激励对象</w:t>
      </w:r>
      <w:r>
        <w:rPr>
          <w:rFonts w:ascii="宋体" w:hAnsi="宋体" w:cs="宋体" w:eastAsia="宋体" w:hint="default"/>
        </w:rPr>
        <w:t>1718</w:t>
      </w:r>
      <w:r>
        <w:rPr/>
        <w:t>万份股票期权， 行权价格为</w:t>
      </w:r>
      <w:r>
        <w:rPr>
          <w:rFonts w:ascii="宋体" w:hAnsi="宋体" w:cs="宋体" w:eastAsia="宋体" w:hint="default"/>
        </w:rPr>
        <w:t>13.14</w:t>
      </w:r>
      <w:r>
        <w:rPr/>
        <w:t>元。 </w:t>
      </w:r>
      <w:r>
        <w:rPr>
          <w:rFonts w:ascii="宋体" w:hAnsi="宋体" w:cs="宋体" w:eastAsia="宋体" w:hint="default"/>
        </w:rPr>
        <w:t>4</w:t>
      </w:r>
      <w:r>
        <w:rPr/>
        <w:t>、</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19</w:t>
      </w:r>
      <w:r>
        <w:rPr/>
        <w:t>日，公司第三期股票期权激励计划经深圳证券交易所、中国证券登记结算有限责任公司深圳分公司审核确</w:t>
      </w:r>
      <w:r>
        <w:rPr>
          <w:spacing w:val="-85"/>
        </w:rPr>
        <w:t> </w:t>
      </w:r>
      <w:r>
        <w:rPr>
          <w:spacing w:val="-85"/>
        </w:rPr>
      </w:r>
      <w:r>
        <w:rPr>
          <w:spacing w:val="-2"/>
        </w:rPr>
        <w:t>认，银江股份有限公司（以下简称“公司”）已完成《</w:t>
      </w:r>
      <w:r>
        <w:rPr>
          <w:rFonts w:ascii="宋体" w:hAnsi="宋体" w:cs="宋体" w:eastAsia="宋体" w:hint="default"/>
          <w:spacing w:val="-2"/>
        </w:rPr>
        <w:t>2017</w:t>
      </w:r>
      <w:r>
        <w:rPr>
          <w:spacing w:val="-2"/>
        </w:rPr>
        <w:t>年股票期权激励计划（草案）》股票期权的授予登记工作，期权</w:t>
      </w:r>
      <w:r>
        <w:rPr>
          <w:spacing w:val="-71"/>
        </w:rPr>
        <w:t> </w:t>
      </w:r>
      <w:r>
        <w:rPr>
          <w:spacing w:val="-71"/>
        </w:rPr>
      </w:r>
      <w:r>
        <w:rPr/>
        <w:t>简称：银江</w:t>
      </w:r>
      <w:r>
        <w:rPr>
          <w:rFonts w:ascii="宋体" w:hAnsi="宋体" w:cs="宋体" w:eastAsia="宋体" w:hint="default"/>
        </w:rPr>
        <w:t>JLC3</w:t>
      </w:r>
      <w:r>
        <w:rPr/>
        <w:t>，期权代码：</w:t>
      </w:r>
      <w:r>
        <w:rPr>
          <w:rFonts w:ascii="宋体" w:hAnsi="宋体" w:cs="宋体" w:eastAsia="宋体" w:hint="default"/>
        </w:rPr>
        <w:t>036262</w:t>
      </w:r>
      <w:r>
        <w:rPr/>
        <w:t>。</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以权益结算的股份支付情况" w:id="463"/>
      <w:bookmarkEnd w:id="46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101"/>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28,572,917.00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6,564,048.50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以现金结算的股份支付情况" w:id="464"/>
      <w:bookmarkEnd w:id="46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4、股份支付的修改、终止情况" w:id="465"/>
      <w:bookmarkEnd w:id="465"/>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8345" w:firstLine="0"/>
        <w:jc w:val="left"/>
        <w:rPr>
          <w:rFonts w:ascii="宋体" w:hAnsi="宋体" w:cs="宋体" w:eastAsia="宋体" w:hint="default"/>
          <w:sz w:val="21"/>
          <w:szCs w:val="21"/>
        </w:rPr>
      </w:pPr>
      <w:bookmarkStart w:name="5、其他" w:id="466"/>
      <w:bookmarkEnd w:id="46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467"/>
      <w:bookmarkEnd w:id="467"/>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68"/>
      <w:bookmarkEnd w:id="46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4"/>
        <w:ind w:right="1133"/>
        <w:jc w:val="left"/>
      </w:pPr>
      <w:r>
        <w:rPr/>
        <w:t>资产负债表日存在的重要承诺</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日，本集团无需要披露的重大承诺事项。</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或有事项" w:id="469"/>
      <w:bookmarkEnd w:id="46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资产负债表日存在的重要或有事项" w:id="470"/>
      <w:bookmarkEnd w:id="47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日，本集团无需要披露的重大或有事项。</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公司没有需要披露的重要或有事项，也应予以说明" w:id="471"/>
      <w:bookmarkEnd w:id="47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公司不存在需要披露的重要或有事项。</w:t>
      </w:r>
    </w:p>
    <w:p>
      <w:pPr>
        <w:spacing w:line="240" w:lineRule="auto" w:before="0"/>
        <w:rPr>
          <w:rFonts w:ascii="宋体" w:hAnsi="宋体" w:cs="宋体" w:eastAsia="宋体" w:hint="default"/>
          <w:sz w:val="18"/>
          <w:szCs w:val="18"/>
        </w:rPr>
      </w:pPr>
    </w:p>
    <w:p>
      <w:pPr>
        <w:spacing w:line="487" w:lineRule="auto" w:before="118"/>
        <w:ind w:left="152" w:right="7863" w:firstLine="0"/>
        <w:jc w:val="left"/>
        <w:rPr>
          <w:rFonts w:ascii="宋体" w:hAnsi="宋体" w:cs="宋体" w:eastAsia="宋体" w:hint="default"/>
          <w:sz w:val="21"/>
          <w:szCs w:val="21"/>
        </w:rPr>
      </w:pPr>
      <w:bookmarkStart w:name="3、其他" w:id="472"/>
      <w:bookmarkEnd w:id="47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473"/>
      <w:bookmarkEnd w:id="473"/>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474"/>
      <w:bookmarkEnd w:id="47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2"/>
        <w:ind w:left="7208" w:right="1131"/>
        <w:jc w:val="right"/>
      </w:pPr>
      <w:r>
        <w:rPr/>
        <w:pict>
          <v:shape style="position:absolute;margin-left:405.313019pt;margin-top:58.57172pt;width:76.5pt;height:170.55pt;mso-position-horizontal-relative:page;mso-position-vertical-relative:paragraph;z-index:-11852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6"/>
                      <w:szCs w:val="26"/>
                    </w:rPr>
                  </w:pPr>
                </w:p>
                <w:p>
                  <w:pPr>
                    <w:pStyle w:val="BodyText"/>
                    <w:spacing w:line="240" w:lineRule="auto"/>
                    <w:ind w:left="0" w:right="0"/>
                    <w:jc w:val="left"/>
                  </w:pPr>
                  <w:r>
                    <w:rPr/>
                    <w:t>、</w:t>
                  </w:r>
                </w:p>
              </w:txbxContent>
            </v:textbox>
            <w10:wrap type="none"/>
          </v:shape>
        </w:pict>
      </w: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4595"/>
        <w:gridCol w:w="1419"/>
        <w:gridCol w:w="1063"/>
      </w:tblGrid>
      <w:tr>
        <w:trPr>
          <w:trHeight w:val="161"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4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4" w:right="74"/>
              <w:jc w:val="left"/>
              <w:rPr>
                <w:rFonts w:ascii="宋体" w:hAnsi="宋体" w:cs="宋体" w:eastAsia="宋体" w:hint="default"/>
                <w:sz w:val="18"/>
                <w:szCs w:val="18"/>
              </w:rPr>
            </w:pPr>
            <w:r>
              <w:rPr>
                <w:rFonts w:ascii="宋体" w:hAnsi="宋体" w:cs="宋体" w:eastAsia="宋体" w:hint="default"/>
                <w:sz w:val="18"/>
                <w:szCs w:val="18"/>
              </w:rPr>
              <w:t>对财务状况和经 营成果的影响数</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无法估计影 响数的原因</w:t>
            </w:r>
          </w:p>
        </w:tc>
      </w:tr>
      <w:tr>
        <w:trPr>
          <w:trHeight w:val="391"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419"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161"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361" w:hRule="exact"/>
        </w:trPr>
        <w:tc>
          <w:tcPr>
            <w:tcW w:w="2493" w:type="dxa"/>
            <w:vMerge w:val="restart"/>
            <w:tcBorders>
              <w:top w:val="single" w:sz="4" w:space="0" w:color="000000"/>
              <w:left w:val="single" w:sz="4" w:space="0" w:color="000000"/>
              <w:right w:val="single" w:sz="4" w:space="0" w:color="000000"/>
            </w:tcBorders>
            <w:shd w:val="clear" w:color="auto" w:fill="D2D2D2"/>
          </w:tcPr>
          <w:p>
            <w:pPr/>
          </w:p>
        </w:tc>
        <w:tc>
          <w:tcPr>
            <w:tcW w:w="4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日，公司召开第五届董事会第二次会议和</w:t>
            </w:r>
          </w:p>
        </w:tc>
        <w:tc>
          <w:tcPr>
            <w:tcW w:w="1419" w:type="dxa"/>
            <w:vMerge w:val="restart"/>
            <w:tcBorders>
              <w:top w:val="single" w:sz="4" w:space="0" w:color="000000"/>
              <w:left w:val="single" w:sz="4" w:space="0" w:color="000000"/>
              <w:right w:val="single" w:sz="4" w:space="0" w:color="000000"/>
            </w:tcBorders>
          </w:tcPr>
          <w:p>
            <w:pPr>
              <w:pStyle w:val="TableParagraph"/>
              <w:spacing w:line="3410" w:lineRule="exact"/>
              <w:ind w:left="2" w:right="-50"/>
              <w:jc w:val="left"/>
              <w:rPr>
                <w:rFonts w:ascii="宋体" w:hAnsi="宋体" w:cs="宋体" w:eastAsia="宋体" w:hint="default"/>
                <w:sz w:val="20"/>
                <w:szCs w:val="20"/>
              </w:rPr>
            </w:pPr>
            <w:r>
              <w:rPr>
                <w:rFonts w:ascii="宋体" w:hAnsi="宋体" w:cs="宋体" w:eastAsia="宋体" w:hint="default"/>
                <w:position w:val="-67"/>
                <w:sz w:val="20"/>
                <w:szCs w:val="20"/>
              </w:rPr>
              <w:pict>
                <v:group style="width:70.350pt;height:170.55pt;mso-position-horizontal-relative:char;mso-position-vertical-relative:line" coordorigin="0,0" coordsize="1407,3411">
                  <v:group style="position:absolute;left:0;top:0;width:1407;height:3411" coordorigin="0,0" coordsize="1407,3411">
                    <v:shape style="position:absolute;left:0;top:0;width:1407;height:3411" coordorigin="0,0" coordsize="1407,3411" path="m0,3411l1407,3411,1407,0,0,0,0,3411xe" filled="true" fillcolor="#ffffff" stroked="false">
                      <v:path arrowok="t"/>
                      <v:fill type="solid"/>
                    </v:shape>
                  </v:group>
                </v:group>
              </w:pict>
            </w:r>
            <w:r>
              <w:rPr>
                <w:rFonts w:ascii="宋体" w:hAnsi="宋体" w:cs="宋体" w:eastAsia="宋体" w:hint="default"/>
                <w:position w:val="-67"/>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063" w:type="dxa"/>
            <w:vMerge w:val="restart"/>
            <w:tcBorders>
              <w:top w:val="single" w:sz="4" w:space="0" w:color="000000"/>
              <w:left w:val="single" w:sz="4" w:space="0" w:color="000000"/>
              <w:right w:val="single" w:sz="4" w:space="0" w:color="000000"/>
            </w:tcBorders>
          </w:tcPr>
          <w:p>
            <w:pPr/>
          </w:p>
        </w:tc>
      </w:tr>
      <w:tr>
        <w:trPr>
          <w:trHeight w:val="306" w:hRule="exact"/>
        </w:trPr>
        <w:tc>
          <w:tcPr>
            <w:tcW w:w="2493" w:type="dxa"/>
            <w:vMerge/>
            <w:tcBorders>
              <w:left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第五届监事会第二次会议，审议通过《关于终止公开发行</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可转换公司债券事项的议案</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《关于公司符合非公开发行</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股股票条件的议案</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《关</w:t>
            </w:r>
            <w:r>
              <w:rPr>
                <w:rFonts w:ascii="宋体" w:hAnsi="宋体" w:cs="宋体" w:eastAsia="宋体" w:hint="default"/>
                <w:spacing w:val="2"/>
                <w:sz w:val="18"/>
                <w:szCs w:val="18"/>
              </w:rPr>
              <w:t>于</w:t>
            </w:r>
            <w:r>
              <w:rPr>
                <w:rFonts w:ascii="宋体" w:hAnsi="宋体" w:cs="宋体" w:eastAsia="宋体" w:hint="default"/>
                <w:sz w:val="18"/>
                <w:szCs w:val="18"/>
              </w:rPr>
              <w:t>公司非公开发行</w:t>
            </w:r>
            <w:r>
              <w:rPr>
                <w:rFonts w:ascii="宋体" w:hAnsi="宋体" w:cs="宋体" w:eastAsia="宋体" w:hint="default"/>
                <w:spacing w:val="-44"/>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股股票方</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案的议案</w:t>
            </w:r>
            <w:r>
              <w:rPr>
                <w:rFonts w:ascii="宋体" w:hAnsi="宋体" w:cs="宋体" w:eastAsia="宋体" w:hint="default"/>
                <w:spacing w:val="-92"/>
                <w:sz w:val="18"/>
                <w:szCs w:val="18"/>
              </w:rPr>
              <w:t>》、</w:t>
            </w:r>
            <w:r>
              <w:rPr>
                <w:rFonts w:ascii="宋体" w:hAnsi="宋体" w:cs="宋体" w:eastAsia="宋体" w:hint="default"/>
                <w:sz w:val="18"/>
                <w:szCs w:val="18"/>
              </w:rPr>
              <w:t>《关于公司非公</w:t>
            </w:r>
            <w:r>
              <w:rPr>
                <w:rFonts w:ascii="宋体" w:hAnsi="宋体" w:cs="宋体" w:eastAsia="宋体" w:hint="default"/>
                <w:spacing w:val="2"/>
                <w:sz w:val="18"/>
                <w:szCs w:val="18"/>
              </w:rPr>
              <w:t>开</w:t>
            </w:r>
            <w:r>
              <w:rPr>
                <w:rFonts w:ascii="宋体" w:hAnsi="宋体" w:cs="宋体" w:eastAsia="宋体" w:hint="default"/>
                <w:sz w:val="18"/>
                <w:szCs w:val="18"/>
              </w:rPr>
              <w:t>发行</w:t>
            </w:r>
            <w:r>
              <w:rPr>
                <w:rFonts w:ascii="宋体" w:hAnsi="宋体" w:cs="宋体" w:eastAsia="宋体" w:hint="default"/>
                <w:spacing w:val="-44"/>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股股票预案的议案》</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《关于公司非公开发行</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股股票方案论证分析报告的议</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《关于公司非公开发行</w:t>
            </w:r>
            <w:r>
              <w:rPr>
                <w:rFonts w:ascii="宋体" w:hAnsi="宋体" w:cs="宋体" w:eastAsia="宋体" w:hint="default"/>
                <w:spacing w:val="-44"/>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z w:val="18"/>
                <w:szCs w:val="18"/>
              </w:rPr>
              <w:t> </w:t>
            </w:r>
            <w:r>
              <w:rPr>
                <w:rFonts w:ascii="宋体" w:hAnsi="宋体" w:cs="宋体" w:eastAsia="宋体" w:hint="default"/>
                <w:sz w:val="18"/>
                <w:szCs w:val="18"/>
              </w:rPr>
              <w:t>股股票募集资金使用的可行</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07" w:hRule="exact"/>
        </w:trPr>
        <w:tc>
          <w:tcPr>
            <w:tcW w:w="2493" w:type="dxa"/>
            <w:vMerge/>
            <w:tcBorders>
              <w:left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性分析报告的议案</w:t>
            </w:r>
            <w:r>
              <w:rPr>
                <w:rFonts w:ascii="宋体" w:hAnsi="宋体" w:cs="宋体" w:eastAsia="宋体" w:hint="default"/>
                <w:spacing w:val="-92"/>
                <w:sz w:val="18"/>
                <w:szCs w:val="18"/>
              </w:rPr>
              <w:t>》、</w:t>
            </w:r>
            <w:r>
              <w:rPr>
                <w:rFonts w:ascii="宋体" w:hAnsi="宋体" w:cs="宋体" w:eastAsia="宋体" w:hint="default"/>
                <w:sz w:val="18"/>
                <w:szCs w:val="18"/>
              </w:rPr>
              <w:t>《关于</w:t>
            </w:r>
            <w:r>
              <w:rPr>
                <w:rFonts w:ascii="宋体" w:hAnsi="宋体" w:cs="宋体" w:eastAsia="宋体" w:hint="default"/>
                <w:spacing w:val="2"/>
                <w:sz w:val="18"/>
                <w:szCs w:val="18"/>
              </w:rPr>
              <w:t>前</w:t>
            </w:r>
            <w:r>
              <w:rPr>
                <w:rFonts w:ascii="宋体" w:hAnsi="宋体" w:cs="宋体" w:eastAsia="宋体" w:hint="default"/>
                <w:sz w:val="18"/>
                <w:szCs w:val="18"/>
              </w:rPr>
              <w:t>次募集资金使用情况报告的</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2"/>
                <w:sz w:val="18"/>
                <w:szCs w:val="18"/>
              </w:rPr>
              <w:t>》、</w:t>
            </w:r>
            <w:r>
              <w:rPr>
                <w:rFonts w:ascii="宋体" w:hAnsi="宋体" w:cs="宋体" w:eastAsia="宋体" w:hint="default"/>
                <w:sz w:val="18"/>
                <w:szCs w:val="18"/>
              </w:rPr>
              <w:t>《关于公司非公开发行</w:t>
            </w:r>
            <w:r>
              <w:rPr>
                <w:rFonts w:ascii="宋体" w:hAnsi="宋体" w:cs="宋体" w:eastAsia="宋体" w:hint="default"/>
                <w:spacing w:val="-42"/>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股股票摊薄即期回报、采</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07" w:hRule="exact"/>
        </w:trPr>
        <w:tc>
          <w:tcPr>
            <w:tcW w:w="2493" w:type="dxa"/>
            <w:vMerge/>
            <w:tcBorders>
              <w:left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取填补措施及相关承诺的议案</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《关于公司未来三年股东</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254" w:hRule="exact"/>
        </w:trPr>
        <w:tc>
          <w:tcPr>
            <w:tcW w:w="2493" w:type="dxa"/>
            <w:vMerge/>
            <w:tcBorders>
              <w:left w:val="single" w:sz="4" w:space="0" w:color="000000"/>
              <w:bottom w:val="nil" w:sz="6" w:space="0" w:color="auto"/>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回报规划（</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《关于提请股东大</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94"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4595" w:type="dxa"/>
            <w:tcBorders>
              <w:top w:val="nil" w:sz="6" w:space="0" w:color="auto"/>
              <w:left w:val="single" w:sz="9" w:space="0" w:color="D2D2D2"/>
              <w:bottom w:val="nil" w:sz="6" w:space="0" w:color="auto"/>
              <w:right w:val="single" w:sz="4" w:space="0" w:color="000000"/>
            </w:tcBorders>
          </w:tcPr>
          <w:p>
            <w:pPr>
              <w:pStyle w:val="TableParagraph"/>
              <w:spacing w:line="240" w:lineRule="auto" w:before="67"/>
              <w:ind w:left="18" w:right="0"/>
              <w:jc w:val="left"/>
              <w:rPr>
                <w:rFonts w:ascii="宋体" w:hAnsi="宋体" w:cs="宋体" w:eastAsia="宋体" w:hint="default"/>
                <w:sz w:val="18"/>
                <w:szCs w:val="18"/>
              </w:rPr>
            </w:pPr>
            <w:r>
              <w:rPr>
                <w:rFonts w:ascii="宋体" w:hAnsi="宋体" w:cs="宋体" w:eastAsia="宋体" w:hint="default"/>
                <w:sz w:val="18"/>
                <w:szCs w:val="18"/>
              </w:rPr>
              <w:t>会授权董事会全权办理公司非公开发行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股股票具体事宜</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288" w:hRule="exact"/>
        </w:trPr>
        <w:tc>
          <w:tcPr>
            <w:tcW w:w="2493" w:type="dxa"/>
            <w:vMerge w:val="restart"/>
            <w:tcBorders>
              <w:top w:val="nil" w:sz="6" w:space="0" w:color="auto"/>
              <w:left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t>的议案》以及《关于公司设立募集资金专项存储账户的议</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并提请召开</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第一</w:t>
            </w:r>
            <w:r>
              <w:rPr>
                <w:rFonts w:ascii="宋体" w:hAnsi="宋体" w:cs="宋体" w:eastAsia="宋体" w:hint="default"/>
                <w:spacing w:val="-3"/>
                <w:sz w:val="18"/>
                <w:szCs w:val="18"/>
              </w:rPr>
              <w:t>次</w:t>
            </w:r>
            <w:r>
              <w:rPr>
                <w:rFonts w:ascii="宋体" w:hAnsi="宋体" w:cs="宋体" w:eastAsia="宋体" w:hint="default"/>
                <w:sz w:val="18"/>
                <w:szCs w:val="18"/>
              </w:rPr>
              <w:t>临时股东大会</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日，公司召开了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年第一次临时股东大会，审议通</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07" w:hRule="exact"/>
        </w:trPr>
        <w:tc>
          <w:tcPr>
            <w:tcW w:w="2493" w:type="dxa"/>
            <w:vMerge/>
            <w:tcBorders>
              <w:left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过上述决议。上述决议主要内容为公司拟向证监会申请向</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不超过三十五名符合中国证监会规定条件的特定对象定向</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股股票，拟募集不超过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亿元（含本数）人民币</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07" w:hRule="exact"/>
        </w:trPr>
        <w:tc>
          <w:tcPr>
            <w:tcW w:w="2493" w:type="dxa"/>
            <w:vMerge/>
            <w:tcBorders>
              <w:left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募集资金用于募投项目。本次非公开发行股票数量按照募</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集资金总额除以发行价格确定，且不超过本次发行前总股</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本的</w:t>
            </w:r>
            <w:r>
              <w:rPr>
                <w:rFonts w:ascii="宋体" w:hAnsi="宋体" w:cs="宋体" w:eastAsia="宋体" w:hint="default"/>
                <w:spacing w:val="-44"/>
                <w:sz w:val="18"/>
                <w:szCs w:val="18"/>
              </w:rPr>
              <w:t> </w:t>
            </w:r>
            <w:r>
              <w:rPr>
                <w:rFonts w:ascii="Times New Roman" w:hAnsi="Times New Roman" w:cs="Times New Roman" w:eastAsia="Times New Roman" w:hint="default"/>
                <w:spacing w:val="-7"/>
                <w:sz w:val="18"/>
                <w:szCs w:val="18"/>
              </w:rPr>
              <w:t>30%</w:t>
            </w:r>
            <w:r>
              <w:rPr>
                <w:rFonts w:ascii="宋体" w:hAnsi="宋体" w:cs="宋体" w:eastAsia="宋体" w:hint="default"/>
                <w:spacing w:val="-7"/>
                <w:sz w:val="18"/>
                <w:szCs w:val="18"/>
              </w:rPr>
              <w:t>，即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196,736,725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股。公司认为本次定向发行股票</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07" w:hRule="exact"/>
        </w:trPr>
        <w:tc>
          <w:tcPr>
            <w:tcW w:w="2493" w:type="dxa"/>
            <w:vMerge/>
            <w:tcBorders>
              <w:left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所募集的资金到位后将极大增强公司资金实力，为公司业</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9"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务的长期增长提供资金支持。此外，本次募集资金部分用</w:t>
            </w:r>
          </w:p>
        </w:tc>
        <w:tc>
          <w:tcPr>
            <w:tcW w:w="1419"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shape style="position:absolute;margin-left:252.26001pt;margin-top:72.47998pt;width:229.55pt;height:111.3pt;mso-position-horizontal-relative:page;mso-position-vertical-relative:page;z-index:-1185160" type="#_x0000_t202" filled="false" stroked="false">
            <v:textbox inset="0,0,0,0">
              <w:txbxContent>
                <w:p>
                  <w:pPr>
                    <w:pStyle w:val="BodyText"/>
                    <w:spacing w:line="240" w:lineRule="auto" w:before="8"/>
                    <w:ind w:left="0" w:right="0"/>
                    <w:jc w:val="left"/>
                  </w:pPr>
                  <w:r>
                    <w:rPr/>
                    <w:t>能够极大地缓解公司当前流动资金压力，</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493"/>
        <w:gridCol w:w="4595"/>
        <w:gridCol w:w="1419"/>
        <w:gridCol w:w="1063"/>
      </w:tblGrid>
      <w:tr>
        <w:trPr>
          <w:trHeight w:val="315" w:hRule="exact"/>
        </w:trPr>
        <w:tc>
          <w:tcPr>
            <w:tcW w:w="2493" w:type="dxa"/>
            <w:vMerge w:val="restart"/>
            <w:tcBorders>
              <w:top w:val="single" w:sz="4" w:space="0" w:color="000000"/>
              <w:left w:val="single" w:sz="4" w:space="0" w:color="000000"/>
              <w:right w:val="single" w:sz="4" w:space="0" w:color="000000"/>
            </w:tcBorders>
            <w:shd w:val="clear" w:color="auto" w:fill="D2D2D2"/>
          </w:tcPr>
          <w:p>
            <w:pPr/>
          </w:p>
        </w:tc>
        <w:tc>
          <w:tcPr>
            <w:tcW w:w="4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于补充流动资金，</w:t>
            </w:r>
          </w:p>
        </w:tc>
        <w:tc>
          <w:tcPr>
            <w:tcW w:w="1419" w:type="dxa"/>
            <w:vMerge w:val="restart"/>
            <w:tcBorders>
              <w:top w:val="single" w:sz="4" w:space="0" w:color="000000"/>
              <w:left w:val="single" w:sz="4" w:space="0" w:color="000000"/>
              <w:right w:val="single" w:sz="4" w:space="0" w:color="000000"/>
            </w:tcBorders>
          </w:tcPr>
          <w:p>
            <w:pPr>
              <w:pStyle w:val="TableParagraph"/>
              <w:spacing w:line="2225" w:lineRule="exact"/>
              <w:ind w:left="2" w:right="-50"/>
              <w:jc w:val="left"/>
              <w:rPr>
                <w:rFonts w:ascii="宋体" w:hAnsi="宋体" w:cs="宋体" w:eastAsia="宋体" w:hint="default"/>
                <w:sz w:val="20"/>
                <w:szCs w:val="20"/>
              </w:rPr>
            </w:pPr>
            <w:r>
              <w:rPr>
                <w:rFonts w:ascii="宋体" w:hAnsi="宋体" w:cs="宋体" w:eastAsia="宋体" w:hint="default"/>
                <w:position w:val="-44"/>
                <w:sz w:val="20"/>
                <w:szCs w:val="20"/>
              </w:rPr>
              <w:pict>
                <v:group style="width:70.350pt;height:111.3pt;mso-position-horizontal-relative:char;mso-position-vertical-relative:line" coordorigin="0,0" coordsize="1407,2226">
                  <v:group style="position:absolute;left:0;top:0;width:1407;height:2226" coordorigin="0,0" coordsize="1407,2226">
                    <v:shape style="position:absolute;left:0;top:0;width:1407;height:2226" coordorigin="0,0" coordsize="1407,2226" path="m0,2225l1407,2225,1407,0,0,0,0,2225xe" filled="true" fillcolor="#ffffff" stroked="false">
                      <v:path arrowok="t"/>
                      <v:fill type="solid"/>
                    </v:shape>
                  </v:group>
                </v:group>
              </w:pict>
            </w:r>
            <w:r>
              <w:rPr>
                <w:rFonts w:ascii="宋体" w:hAnsi="宋体" w:cs="宋体" w:eastAsia="宋体" w:hint="default"/>
                <w:position w:val="-44"/>
                <w:sz w:val="20"/>
                <w:szCs w:val="20"/>
              </w:rPr>
            </w:r>
          </w:p>
        </w:tc>
        <w:tc>
          <w:tcPr>
            <w:tcW w:w="1063" w:type="dxa"/>
            <w:vMerge w:val="restart"/>
            <w:tcBorders>
              <w:top w:val="single" w:sz="4" w:space="0" w:color="000000"/>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满足公司业务扩张的新增运营资金需求。同时，公司提醒</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财务报表使用者关注本次非公开发行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股股票相关的决议</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通过及披露事项不代表审批机关对本次非公开发行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07" w:hRule="exact"/>
        </w:trPr>
        <w:tc>
          <w:tcPr>
            <w:tcW w:w="2493" w:type="dxa"/>
            <w:vMerge/>
            <w:tcBorders>
              <w:left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票相关事项的实质性判断、确认或批准，本次非公开发行</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股票事宜尚存在较大不确定性，对公司未来财务状况、经</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60"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营成果和现金流量的影响数尚无法合理估计。</w:t>
            </w:r>
          </w:p>
        </w:tc>
        <w:tc>
          <w:tcPr>
            <w:tcW w:w="1419"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360"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4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月，公司与深圳航天科技创新研究院签署《战略</w:t>
            </w:r>
          </w:p>
        </w:tc>
        <w:tc>
          <w:tcPr>
            <w:tcW w:w="1419"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合作协议书</w:t>
            </w:r>
            <w:r>
              <w:rPr>
                <w:rFonts w:ascii="宋体" w:hAnsi="宋体" w:cs="宋体" w:eastAsia="宋体" w:hint="default"/>
                <w:spacing w:val="-92"/>
                <w:sz w:val="18"/>
                <w:szCs w:val="18"/>
              </w:rPr>
              <w:t>》</w:t>
            </w:r>
            <w:r>
              <w:rPr>
                <w:rFonts w:ascii="宋体" w:hAnsi="宋体" w:cs="宋体" w:eastAsia="宋体" w:hint="default"/>
                <w:spacing w:val="-27"/>
                <w:sz w:val="18"/>
                <w:szCs w:val="18"/>
              </w:rPr>
              <w:t>，</w:t>
            </w:r>
            <w:r>
              <w:rPr>
                <w:rFonts w:ascii="宋体" w:hAnsi="宋体" w:cs="宋体" w:eastAsia="宋体" w:hint="default"/>
                <w:sz w:val="18"/>
                <w:szCs w:val="18"/>
              </w:rPr>
              <w:t>双方建立战略</w:t>
            </w:r>
            <w:r>
              <w:rPr>
                <w:rFonts w:ascii="宋体" w:hAnsi="宋体" w:cs="宋体" w:eastAsia="宋体" w:hint="default"/>
                <w:spacing w:val="2"/>
                <w:sz w:val="18"/>
                <w:szCs w:val="18"/>
              </w:rPr>
              <w:t>合</w:t>
            </w:r>
            <w:r>
              <w:rPr>
                <w:rFonts w:ascii="宋体" w:hAnsi="宋体" w:cs="宋体" w:eastAsia="宋体" w:hint="default"/>
                <w:sz w:val="18"/>
                <w:szCs w:val="18"/>
              </w:rPr>
              <w:t>作伙伴关系</w:t>
            </w:r>
            <w:r>
              <w:rPr>
                <w:rFonts w:ascii="宋体" w:hAnsi="宋体" w:cs="宋体" w:eastAsia="宋体" w:hint="default"/>
                <w:spacing w:val="-27"/>
                <w:sz w:val="18"/>
                <w:szCs w:val="18"/>
              </w:rPr>
              <w:t>，</w:t>
            </w:r>
            <w:r>
              <w:rPr>
                <w:rFonts w:ascii="宋体" w:hAnsi="宋体" w:cs="宋体" w:eastAsia="宋体" w:hint="default"/>
                <w:sz w:val="18"/>
                <w:szCs w:val="18"/>
              </w:rPr>
              <w:t>合作期限暂定</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三年，双方可根据合作意愿和实际情况续签合作协议。协</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议约定双方合作范围涉及以电子车牌为合作切入点，在技</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术交流、技术合作、资源共享等方面开展全面合作。公司</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认为该协议为双方战略性、原则性的约定，是双方就合作</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事项达成的方向性共识，具体合作方式、内容等事项仍需</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进一步签署正式的项目合同进行约定。同时，公司认为本</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次战略合作协议书的签订将对公司未来年度经营情况产生</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4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积极影响，但相关履行及后续具体项目合作的实施存在一</w:t>
            </w:r>
          </w:p>
        </w:tc>
        <w:tc>
          <w:tcPr>
            <w:tcW w:w="14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57"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4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定的不确定性。</w:t>
            </w:r>
          </w:p>
        </w:tc>
        <w:tc>
          <w:tcPr>
            <w:tcW w:w="1419"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利润分配情况" w:id="475"/>
      <w:bookmarkEnd w:id="475"/>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19,673,672.58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销售退回" w:id="476"/>
      <w:bookmarkEnd w:id="476"/>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无销售退回。</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其他资产负债表日后事项说明" w:id="477"/>
      <w:bookmarkEnd w:id="477"/>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spacing w:line="316" w:lineRule="auto" w:before="0"/>
        <w:ind w:left="152" w:right="1031" w:firstLine="0"/>
        <w:jc w:val="left"/>
        <w:rPr>
          <w:rFonts w:ascii="宋体" w:hAnsi="宋体" w:cs="宋体" w:eastAsia="宋体" w:hint="default"/>
          <w:sz w:val="18"/>
          <w:szCs w:val="18"/>
        </w:rPr>
      </w:pPr>
      <w:r>
        <w:rPr>
          <w:rFonts w:ascii="宋体" w:hAnsi="宋体" w:cs="宋体" w:eastAsia="宋体" w:hint="default"/>
          <w:b/>
          <w:bCs/>
          <w:sz w:val="18"/>
          <w:szCs w:val="18"/>
        </w:rPr>
        <w:t>2020</w:t>
      </w:r>
      <w:r>
        <w:rPr>
          <w:rFonts w:ascii="宋体" w:hAnsi="宋体" w:cs="宋体" w:eastAsia="宋体" w:hint="default"/>
          <w:b/>
          <w:bCs/>
          <w:sz w:val="18"/>
          <w:szCs w:val="18"/>
        </w:rPr>
        <w:t>年</w:t>
      </w:r>
      <w:r>
        <w:rPr>
          <w:rFonts w:ascii="宋体" w:hAnsi="宋体" w:cs="宋体" w:eastAsia="宋体" w:hint="default"/>
          <w:b/>
          <w:bCs/>
          <w:sz w:val="18"/>
          <w:szCs w:val="18"/>
        </w:rPr>
        <w:t>1</w:t>
      </w:r>
      <w:r>
        <w:rPr>
          <w:rFonts w:ascii="宋体" w:hAnsi="宋体" w:cs="宋体" w:eastAsia="宋体" w:hint="default"/>
          <w:b/>
          <w:bCs/>
          <w:sz w:val="18"/>
          <w:szCs w:val="18"/>
        </w:rPr>
        <w:t>月</w:t>
      </w:r>
      <w:r>
        <w:rPr>
          <w:rFonts w:ascii="宋体" w:hAnsi="宋体" w:cs="宋体" w:eastAsia="宋体" w:hint="default"/>
          <w:b/>
          <w:bCs/>
          <w:sz w:val="18"/>
          <w:szCs w:val="18"/>
        </w:rPr>
        <w:t>1</w:t>
      </w:r>
      <w:r>
        <w:rPr>
          <w:rFonts w:ascii="宋体" w:hAnsi="宋体" w:cs="宋体" w:eastAsia="宋体" w:hint="default"/>
          <w:b/>
          <w:bCs/>
          <w:sz w:val="18"/>
          <w:szCs w:val="18"/>
        </w:rPr>
        <w:t>日起执行新会计准则的影响</w:t>
      </w:r>
      <w:r>
        <w:rPr>
          <w:rFonts w:ascii="宋体" w:hAnsi="宋体" w:cs="宋体" w:eastAsia="宋体" w:hint="default"/>
          <w:b/>
          <w:bCs/>
          <w:w w:val="99"/>
          <w:sz w:val="18"/>
          <w:szCs w:val="18"/>
        </w:rPr>
        <w:t> </w:t>
      </w:r>
      <w:r>
        <w:rPr>
          <w:rFonts w:ascii="宋体" w:hAnsi="宋体" w:cs="宋体" w:eastAsia="宋体" w:hint="default"/>
          <w:spacing w:val="-3"/>
          <w:sz w:val="18"/>
          <w:szCs w:val="18"/>
        </w:rPr>
        <w:t>中华人民共和国财政部（以下简称财政部）于</w:t>
      </w:r>
      <w:r>
        <w:rPr>
          <w:rFonts w:ascii="宋体" w:hAnsi="宋体" w:cs="宋体" w:eastAsia="宋体" w:hint="default"/>
          <w:spacing w:val="-3"/>
          <w:sz w:val="18"/>
          <w:szCs w:val="18"/>
        </w:rPr>
        <w:t>2017</w:t>
      </w:r>
      <w:r>
        <w:rPr>
          <w:rFonts w:ascii="宋体" w:hAnsi="宋体" w:cs="宋体" w:eastAsia="宋体" w:hint="default"/>
          <w:spacing w:val="-3"/>
          <w:sz w:val="18"/>
          <w:szCs w:val="18"/>
        </w:rPr>
        <w:t>年</w:t>
      </w:r>
      <w:r>
        <w:rPr>
          <w:rFonts w:ascii="宋体" w:hAnsi="宋体" w:cs="宋体" w:eastAsia="宋体" w:hint="default"/>
          <w:spacing w:val="-3"/>
          <w:sz w:val="18"/>
          <w:szCs w:val="18"/>
        </w:rPr>
        <w:t>7</w:t>
      </w:r>
      <w:r>
        <w:rPr>
          <w:rFonts w:ascii="宋体" w:hAnsi="宋体" w:cs="宋体" w:eastAsia="宋体" w:hint="default"/>
          <w:spacing w:val="-3"/>
          <w:sz w:val="18"/>
          <w:szCs w:val="18"/>
        </w:rPr>
        <w:t>月</w:t>
      </w:r>
      <w:r>
        <w:rPr>
          <w:rFonts w:ascii="宋体" w:hAnsi="宋体" w:cs="宋体" w:eastAsia="宋体" w:hint="default"/>
          <w:spacing w:val="-3"/>
          <w:sz w:val="18"/>
          <w:szCs w:val="18"/>
        </w:rPr>
        <w:t>5</w:t>
      </w:r>
      <w:r>
        <w:rPr>
          <w:rFonts w:ascii="宋体" w:hAnsi="宋体" w:cs="宋体" w:eastAsia="宋体" w:hint="default"/>
          <w:spacing w:val="-3"/>
          <w:sz w:val="18"/>
          <w:szCs w:val="18"/>
        </w:rPr>
        <w:t>日发布了《关于修订印发〈企业会计准则第</w:t>
      </w:r>
      <w:r>
        <w:rPr>
          <w:rFonts w:ascii="宋体" w:hAnsi="宋体" w:cs="宋体" w:eastAsia="宋体" w:hint="default"/>
          <w:spacing w:val="-3"/>
          <w:sz w:val="18"/>
          <w:szCs w:val="18"/>
        </w:rPr>
        <w:t>14</w:t>
      </w:r>
      <w:r>
        <w:rPr>
          <w:rFonts w:ascii="宋体" w:hAnsi="宋体" w:cs="宋体" w:eastAsia="宋体" w:hint="default"/>
          <w:spacing w:val="-3"/>
          <w:sz w:val="18"/>
          <w:szCs w:val="18"/>
        </w:rPr>
        <w:t>号——收入〉的通知》</w:t>
      </w:r>
    </w:p>
    <w:p>
      <w:pPr>
        <w:pStyle w:val="BodyText"/>
        <w:spacing w:line="319" w:lineRule="auto" w:before="19"/>
        <w:ind w:right="1132"/>
        <w:jc w:val="both"/>
      </w:pPr>
      <w:r>
        <w:rPr>
          <w:spacing w:val="-2"/>
        </w:rPr>
        <w:t>（财会〔</w:t>
      </w:r>
      <w:r>
        <w:rPr>
          <w:rFonts w:ascii="宋体" w:hAnsi="宋体" w:cs="宋体" w:eastAsia="宋体" w:hint="default"/>
          <w:spacing w:val="-2"/>
        </w:rPr>
        <w:t>2017</w:t>
      </w:r>
      <w:r>
        <w:rPr>
          <w:spacing w:val="-2"/>
        </w:rPr>
        <w:t>〕</w:t>
      </w:r>
      <w:r>
        <w:rPr>
          <w:rFonts w:ascii="宋体" w:hAnsi="宋体" w:cs="宋体" w:eastAsia="宋体" w:hint="default"/>
          <w:spacing w:val="-2"/>
        </w:rPr>
        <w:t>22</w:t>
      </w:r>
      <w:r>
        <w:rPr>
          <w:spacing w:val="-2"/>
        </w:rPr>
        <w:t>号）（以下简称“新收入准则”），要求其他境内上市企业，自</w:t>
      </w:r>
      <w:r>
        <w:rPr>
          <w:rFonts w:ascii="宋体" w:hAnsi="宋体" w:cs="宋体" w:eastAsia="宋体" w:hint="default"/>
          <w:spacing w:val="-2"/>
        </w:rPr>
        <w:t>2020</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日起施行；经本公司第五届董</w:t>
      </w:r>
      <w:r>
        <w:rPr>
          <w:spacing w:val="-65"/>
        </w:rPr>
        <w:t> </w:t>
      </w:r>
      <w:r>
        <w:rPr>
          <w:spacing w:val="-65"/>
        </w:rPr>
      </w:r>
      <w:r>
        <w:rPr/>
        <w:t>事会第三次会议于</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22</w:t>
      </w:r>
      <w:r>
        <w:rPr/>
        <w:t>日决议通过，本公司将于</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1</w:t>
      </w:r>
      <w:r>
        <w:rPr/>
        <w:t>日起执行上述新收入准则，并将依据上述新收入准则的</w:t>
      </w:r>
      <w:r>
        <w:rPr>
          <w:spacing w:val="-87"/>
        </w:rPr>
        <w:t> </w:t>
      </w:r>
      <w:r>
        <w:rPr>
          <w:spacing w:val="-87"/>
        </w:rPr>
      </w:r>
      <w:r>
        <w:rPr/>
        <w:t>规定对相关会计政策进行变更。</w:t>
      </w:r>
    </w:p>
    <w:p>
      <w:pPr>
        <w:pStyle w:val="BodyText"/>
        <w:spacing w:line="316" w:lineRule="auto" w:before="17"/>
        <w:ind w:right="0"/>
        <w:jc w:val="left"/>
      </w:pPr>
      <w:r>
        <w:rPr/>
        <w:t>以下为所涉及的会计政策变更的主要内容： </w:t>
      </w:r>
      <w:r>
        <w:rPr>
          <w:spacing w:val="-2"/>
        </w:rPr>
        <w:t>根据财政部修订的新收入准则，将现行收入和建造合同两项准则纳入统一的收入确认模型、以控制权转移替代风险报酬转移</w:t>
      </w:r>
      <w:r>
        <w:rPr>
          <w:spacing w:val="-64"/>
        </w:rPr>
        <w:t> </w:t>
      </w:r>
      <w:r>
        <w:rPr>
          <w:spacing w:val="-64"/>
        </w:rPr>
      </w:r>
      <w:r>
        <w:rPr>
          <w:spacing w:val="-2"/>
        </w:rPr>
        <w:t>作为收入确认时点的判断标准，并对于包含多重交易安排的合同的会计处理提供了更明确的指引、对于某些特定交易（或事</w:t>
      </w:r>
      <w:r>
        <w:rPr>
          <w:spacing w:val="-66"/>
        </w:rPr>
        <w:t> </w:t>
      </w:r>
      <w:r>
        <w:rPr>
          <w:spacing w:val="-66"/>
        </w:rPr>
      </w:r>
      <w:r>
        <w:rPr>
          <w:spacing w:val="-2"/>
        </w:rPr>
        <w:t>项）的收入确认和计量给出了明确规定。根据新旧准则衔接规定，公司将根据首次执行新收入准则的累积影响数，调整首次</w:t>
      </w:r>
      <w:r>
        <w:rPr>
          <w:spacing w:val="-64"/>
        </w:rPr>
        <w:t> </w:t>
      </w:r>
      <w:r>
        <w:rPr>
          <w:spacing w:val="-64"/>
        </w:rPr>
      </w:r>
      <w:r>
        <w:rPr>
          <w:spacing w:val="-2"/>
        </w:rPr>
        <w:t>执行本准则当年年初留存收益及财务报表其他相关项目金额，对可比期间信息不予调整。预计执行新收入准则不会导致公司</w:t>
      </w:r>
      <w:r>
        <w:rPr>
          <w:spacing w:val="-64"/>
        </w:rPr>
        <w:t> </w:t>
      </w:r>
      <w:r>
        <w:rPr>
          <w:spacing w:val="-64"/>
        </w:rPr>
      </w:r>
      <w:r>
        <w:rPr>
          <w:spacing w:val="-2"/>
        </w:rPr>
        <w:t>收入确认方式发生重大变化，对公司当期及前期净利润、总资产、净资产均不会产生重大影响。公司将按照新收入准则进行</w:t>
      </w:r>
      <w:r>
        <w:rPr>
          <w:spacing w:val="-65"/>
        </w:rPr>
        <w:t> </w:t>
      </w:r>
      <w:r>
        <w:rPr>
          <w:spacing w:val="-65"/>
        </w:rPr>
      </w:r>
      <w:r>
        <w:rPr/>
        <w:t>列报和披露，资产负债表增加合同资产和合同负债项目。</w:t>
      </w:r>
    </w:p>
    <w:p>
      <w:pPr>
        <w:spacing w:after="0" w:line="316"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十六、其他重要事项" w:id="478"/>
      <w:bookmarkEnd w:id="478"/>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前期会计差错更正" w:id="479"/>
      <w:bookmarkEnd w:id="479"/>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2、债务重组" w:id="480"/>
      <w:bookmarkEnd w:id="480"/>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资产置换" w:id="481"/>
      <w:bookmarkEnd w:id="481"/>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年金计划" w:id="482"/>
      <w:bookmarkEnd w:id="482"/>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5、终止经营" w:id="483"/>
      <w:bookmarkEnd w:id="483"/>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6、分部信息" w:id="484"/>
      <w:bookmarkEnd w:id="484"/>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7、其他对投资者决策有影响的重要交易和事项" w:id="485"/>
      <w:bookmarkEnd w:id="485"/>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4"/>
        <w:jc w:val="left"/>
      </w:pPr>
      <w:r>
        <w:rPr/>
        <w:t>（</w:t>
      </w:r>
      <w:r>
        <w:rPr>
          <w:rFonts w:ascii="宋体" w:hAnsi="宋体" w:cs="宋体" w:eastAsia="宋体" w:hint="default"/>
        </w:rPr>
        <w:t>1</w:t>
      </w:r>
      <w:r>
        <w:rPr/>
        <w:t>）截至本公告披露日，控股股东银江科技集团有限公司（以下简称“银江科技集团”）共持有公司股份</w:t>
      </w:r>
      <w:r>
        <w:rPr>
          <w:rFonts w:ascii="宋体" w:hAnsi="宋体" w:cs="宋体" w:eastAsia="宋体" w:hint="default"/>
        </w:rPr>
        <w:t>167,496,505</w:t>
      </w:r>
      <w:r>
        <w:rPr/>
        <w:t>股，</w:t>
      </w:r>
      <w:r>
        <w:rPr>
          <w:spacing w:val="-3"/>
        </w:rPr>
        <w:t> </w:t>
      </w:r>
      <w:r>
        <w:rPr/>
        <w:t>占公司股份总数的</w:t>
      </w:r>
      <w:r>
        <w:rPr>
          <w:rFonts w:ascii="宋体" w:hAnsi="宋体" w:cs="宋体" w:eastAsia="宋体" w:hint="default"/>
        </w:rPr>
        <w:t>25.54%</w:t>
      </w:r>
      <w:r>
        <w:rPr/>
        <w:t>；银江科技集团所持有上市公司股份累计已质押</w:t>
      </w:r>
      <w:r>
        <w:rPr>
          <w:rFonts w:ascii="宋体" w:hAnsi="宋体" w:cs="宋体" w:eastAsia="宋体" w:hint="default"/>
        </w:rPr>
        <w:t>132,810,000</w:t>
      </w:r>
      <w:r>
        <w:rPr/>
        <w:t>股，占公司股份总数的</w:t>
      </w:r>
      <w:r>
        <w:rPr>
          <w:rFonts w:ascii="宋体" w:hAnsi="宋体" w:cs="宋体" w:eastAsia="宋体" w:hint="default"/>
        </w:rPr>
        <w:t>20.25%</w:t>
      </w:r>
      <w:r>
        <w:rPr/>
        <w:t>，占其 所持有公司股份的</w:t>
      </w:r>
      <w:r>
        <w:rPr>
          <w:rFonts w:ascii="宋体" w:hAnsi="宋体" w:cs="宋体" w:eastAsia="宋体" w:hint="default"/>
        </w:rPr>
        <w:t>79.29%</w:t>
      </w:r>
      <w:r>
        <w:rPr/>
        <w:t>。</w:t>
      </w:r>
    </w:p>
    <w:p>
      <w:pPr>
        <w:pStyle w:val="BodyText"/>
        <w:spacing w:line="316" w:lineRule="auto" w:before="19"/>
        <w:ind w:right="1124"/>
        <w:jc w:val="left"/>
      </w:pPr>
      <w:r>
        <w:rPr/>
        <w:t>（</w:t>
      </w:r>
      <w:r>
        <w:rPr>
          <w:rFonts w:ascii="宋体" w:hAnsi="宋体" w:cs="宋体" w:eastAsia="宋体" w:hint="default"/>
        </w:rPr>
        <w:t>2</w:t>
      </w:r>
      <w:r>
        <w:rPr/>
        <w:t>）关于公司</w:t>
      </w:r>
      <w:r>
        <w:rPr>
          <w:rFonts w:ascii="宋体" w:hAnsi="宋体" w:cs="宋体" w:eastAsia="宋体" w:hint="default"/>
        </w:rPr>
        <w:t>2013</w:t>
      </w:r>
      <w:r>
        <w:rPr/>
        <w:t>年收购北京亚太安讯科技有限责任公司，因李欣承诺业绩未完成需回购股份进行业绩补偿案件的进展： </w:t>
      </w: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月，公司收到浙江省杭州市中级人民法院发出的《执行裁定书》（（</w:t>
      </w:r>
      <w:r>
        <w:rPr>
          <w:rFonts w:ascii="宋体" w:hAnsi="宋体" w:cs="宋体" w:eastAsia="宋体" w:hint="default"/>
          <w:spacing w:val="-2"/>
        </w:rPr>
        <w:t>2016</w:t>
      </w:r>
      <w:r>
        <w:rPr>
          <w:spacing w:val="-2"/>
        </w:rPr>
        <w:t>）浙</w:t>
      </w:r>
      <w:r>
        <w:rPr>
          <w:rFonts w:ascii="宋体" w:hAnsi="宋体" w:cs="宋体" w:eastAsia="宋体" w:hint="default"/>
          <w:spacing w:val="-2"/>
        </w:rPr>
        <w:t>01</w:t>
      </w:r>
      <w:r>
        <w:rPr>
          <w:spacing w:val="-2"/>
        </w:rPr>
        <w:t>执</w:t>
      </w:r>
      <w:r>
        <w:rPr>
          <w:rFonts w:ascii="宋体" w:hAnsi="宋体" w:cs="宋体" w:eastAsia="宋体" w:hint="default"/>
          <w:spacing w:val="-2"/>
        </w:rPr>
        <w:t>306</w:t>
      </w:r>
      <w:r>
        <w:rPr>
          <w:spacing w:val="-2"/>
        </w:rPr>
        <w:t>、</w:t>
      </w:r>
      <w:r>
        <w:rPr>
          <w:rFonts w:ascii="宋体" w:hAnsi="宋体" w:cs="宋体" w:eastAsia="宋体" w:hint="default"/>
          <w:spacing w:val="-2"/>
        </w:rPr>
        <w:t>307</w:t>
      </w:r>
      <w:r>
        <w:rPr>
          <w:spacing w:val="-2"/>
        </w:rPr>
        <w:t>、</w:t>
      </w:r>
      <w:r>
        <w:rPr>
          <w:rFonts w:ascii="宋体" w:hAnsi="宋体" w:cs="宋体" w:eastAsia="宋体" w:hint="default"/>
          <w:spacing w:val="-2"/>
        </w:rPr>
        <w:t>308</w:t>
      </w:r>
      <w:r>
        <w:rPr>
          <w:spacing w:val="-2"/>
        </w:rPr>
        <w:t>号之一），个人股</w:t>
      </w:r>
      <w:r>
        <w:rPr>
          <w:spacing w:val="-58"/>
        </w:rPr>
        <w:t> </w:t>
      </w:r>
      <w:r>
        <w:rPr>
          <w:spacing w:val="-58"/>
        </w:rPr>
      </w:r>
      <w:r>
        <w:rPr/>
        <w:t>东李欣所持本公司</w:t>
      </w:r>
      <w:r>
        <w:rPr>
          <w:rFonts w:ascii="宋体" w:hAnsi="宋体" w:cs="宋体" w:eastAsia="宋体" w:hint="default"/>
        </w:rPr>
        <w:t>27,813,840</w:t>
      </w:r>
      <w:r>
        <w:rPr/>
        <w:t>股股份已划转至浙江浙商证券资产管理有限公司名下，公司无法通过回购股份收回业绩补偿</w:t>
      </w:r>
      <w:r>
        <w:rPr>
          <w:spacing w:val="-13"/>
        </w:rPr>
        <w:t> </w:t>
      </w:r>
      <w:r>
        <w:rPr>
          <w:spacing w:val="-13"/>
        </w:rPr>
      </w:r>
      <w:r>
        <w:rPr>
          <w:spacing w:val="-2"/>
        </w:rPr>
        <w:t>款，公司已于</w:t>
      </w:r>
      <w:r>
        <w:rPr>
          <w:rFonts w:ascii="宋体" w:hAnsi="宋体" w:cs="宋体" w:eastAsia="宋体" w:hint="default"/>
          <w:spacing w:val="-2"/>
        </w:rPr>
        <w:t>2018</w:t>
      </w:r>
      <w:r>
        <w:rPr>
          <w:spacing w:val="-2"/>
        </w:rPr>
        <w:t>年度将</w:t>
      </w:r>
      <w:r>
        <w:rPr>
          <w:rFonts w:ascii="宋体" w:hAnsi="宋体" w:cs="宋体" w:eastAsia="宋体" w:hint="default"/>
          <w:spacing w:val="-2"/>
        </w:rPr>
        <w:t>243,449,494.50</w:t>
      </w:r>
      <w:r>
        <w:rPr>
          <w:spacing w:val="-2"/>
        </w:rPr>
        <w:t>元转入其他应收款，</w:t>
      </w:r>
      <w:r>
        <w:rPr>
          <w:rFonts w:ascii="宋体" w:hAnsi="宋体" w:cs="宋体" w:eastAsia="宋体" w:hint="default"/>
          <w:spacing w:val="-2"/>
        </w:rPr>
        <w:t>2018</w:t>
      </w:r>
      <w:r>
        <w:rPr>
          <w:spacing w:val="-2"/>
        </w:rPr>
        <w:t>年度收回补偿款</w:t>
      </w:r>
      <w:r>
        <w:rPr>
          <w:rFonts w:ascii="宋体" w:hAnsi="宋体" w:cs="宋体" w:eastAsia="宋体" w:hint="default"/>
          <w:spacing w:val="-2"/>
        </w:rPr>
        <w:t>4,090,146.45</w:t>
      </w:r>
      <w:r>
        <w:rPr>
          <w:spacing w:val="-2"/>
        </w:rPr>
        <w:t>元（其中通过法院转入强制</w:t>
      </w:r>
      <w:r>
        <w:rPr>
          <w:spacing w:val="-41"/>
        </w:rPr>
        <w:t> </w:t>
      </w:r>
      <w:r>
        <w:rPr>
          <w:spacing w:val="-41"/>
        </w:rPr>
      </w:r>
      <w:r>
        <w:rPr>
          <w:spacing w:val="-2"/>
        </w:rPr>
        <w:t>执行款</w:t>
      </w:r>
      <w:r>
        <w:rPr>
          <w:rFonts w:ascii="宋体" w:hAnsi="宋体" w:cs="宋体" w:eastAsia="宋体" w:hint="default"/>
          <w:spacing w:val="-2"/>
        </w:rPr>
        <w:t>3,830,576.75</w:t>
      </w:r>
      <w:r>
        <w:rPr>
          <w:spacing w:val="-2"/>
        </w:rPr>
        <w:t>元，其他方式扣回</w:t>
      </w:r>
      <w:r>
        <w:rPr>
          <w:rFonts w:ascii="宋体" w:hAnsi="宋体" w:cs="宋体" w:eastAsia="宋体" w:hint="default"/>
          <w:spacing w:val="-2"/>
        </w:rPr>
        <w:t>259,569.70</w:t>
      </w:r>
      <w:r>
        <w:rPr>
          <w:spacing w:val="-2"/>
        </w:rPr>
        <w:t>元），</w:t>
      </w:r>
      <w:r>
        <w:rPr>
          <w:rFonts w:ascii="宋体" w:hAnsi="宋体" w:cs="宋体" w:eastAsia="宋体" w:hint="default"/>
          <w:spacing w:val="-2"/>
        </w:rPr>
        <w:t>2018</w:t>
      </w:r>
      <w:r>
        <w:rPr>
          <w:spacing w:val="-2"/>
        </w:rPr>
        <w:t>年末李欣业绩补偿款余额</w:t>
      </w:r>
      <w:r>
        <w:rPr>
          <w:rFonts w:ascii="宋体" w:hAnsi="宋体" w:cs="宋体" w:eastAsia="宋体" w:hint="default"/>
          <w:spacing w:val="-2"/>
        </w:rPr>
        <w:t>239,359,348.05</w:t>
      </w:r>
      <w:r>
        <w:rPr>
          <w:spacing w:val="-2"/>
        </w:rPr>
        <w:t>元，</w:t>
      </w:r>
      <w:r>
        <w:rPr>
          <w:rFonts w:ascii="宋体" w:hAnsi="宋体" w:cs="宋体" w:eastAsia="宋体" w:hint="default"/>
          <w:spacing w:val="-2"/>
        </w:rPr>
        <w:t>2018</w:t>
      </w:r>
      <w:r>
        <w:rPr>
          <w:spacing w:val="-2"/>
        </w:rPr>
        <w:t>年度对该业</w:t>
      </w:r>
      <w:r>
        <w:rPr>
          <w:spacing w:val="-35"/>
        </w:rPr>
        <w:t> </w:t>
      </w:r>
      <w:r>
        <w:rPr>
          <w:spacing w:val="-35"/>
        </w:rPr>
      </w:r>
      <w:r>
        <w:rPr>
          <w:spacing w:val="-2"/>
        </w:rPr>
        <w:t>绩补偿款计提了坏账准备</w:t>
      </w:r>
      <w:r>
        <w:rPr>
          <w:rFonts w:ascii="宋体" w:hAnsi="宋体" w:cs="宋体" w:eastAsia="宋体" w:hint="default"/>
          <w:spacing w:val="-2"/>
        </w:rPr>
        <w:t>233,959,348.05</w:t>
      </w:r>
      <w:r>
        <w:rPr>
          <w:spacing w:val="-2"/>
        </w:rPr>
        <w:t>元，计提坏账准备后该业绩补偿款账面价值</w:t>
      </w:r>
      <w:r>
        <w:rPr>
          <w:rFonts w:ascii="宋体" w:hAnsi="宋体" w:cs="宋体" w:eastAsia="宋体" w:hint="default"/>
          <w:spacing w:val="-2"/>
        </w:rPr>
        <w:t>5,400,000.00</w:t>
      </w:r>
      <w:r>
        <w:rPr>
          <w:spacing w:val="-2"/>
        </w:rPr>
        <w:t>元。</w:t>
      </w:r>
      <w:r>
        <w:rPr>
          <w:rFonts w:ascii="宋体" w:hAnsi="宋体" w:cs="宋体" w:eastAsia="宋体" w:hint="default"/>
          <w:spacing w:val="-2"/>
        </w:rPr>
        <w:t>2019</w:t>
      </w:r>
      <w:r>
        <w:rPr>
          <w:spacing w:val="-2"/>
        </w:rPr>
        <w:t>年通过法院拍卖</w:t>
      </w:r>
      <w:r>
        <w:rPr>
          <w:spacing w:val="-43"/>
        </w:rPr>
        <w:t> </w:t>
      </w:r>
      <w:r>
        <w:rPr/>
        <w:t>李欣房产取得执行款</w:t>
      </w:r>
      <w:r>
        <w:rPr>
          <w:rFonts w:ascii="宋体" w:hAnsi="宋体" w:cs="宋体" w:eastAsia="宋体" w:hint="default"/>
        </w:rPr>
        <w:t>6,562,861.86</w:t>
      </w:r>
      <w:r>
        <w:rPr/>
        <w:t>元，收回坏账准备金额</w:t>
      </w:r>
      <w:r>
        <w:rPr>
          <w:rFonts w:ascii="宋体" w:hAnsi="宋体" w:cs="宋体" w:eastAsia="宋体" w:hint="default"/>
        </w:rPr>
        <w:t>1,162,861.86</w:t>
      </w:r>
      <w:r>
        <w:rPr/>
        <w:t>元，剩余业绩补偿款收回的可能性很小。截至</w:t>
      </w:r>
      <w:r>
        <w:rPr>
          <w:rFonts w:ascii="宋体" w:hAnsi="宋体" w:cs="宋体" w:eastAsia="宋体" w:hint="default"/>
        </w:rPr>
        <w:t>2019</w:t>
      </w:r>
      <w:r>
        <w:rPr>
          <w:rFonts w:ascii="宋体" w:hAnsi="宋体" w:cs="宋体" w:eastAsia="宋体" w:hint="default"/>
          <w:spacing w:val="-12"/>
        </w:rPr>
        <w:t> </w:t>
      </w:r>
      <w:r>
        <w:rPr>
          <w:rFonts w:ascii="宋体" w:hAnsi="宋体" w:cs="宋体" w:eastAsia="宋体" w:hint="default"/>
          <w:spacing w:val="-12"/>
        </w:rPr>
      </w:r>
      <w:r>
        <w:rPr/>
        <w:t>年</w:t>
      </w:r>
      <w:r>
        <w:rPr>
          <w:rFonts w:ascii="宋体" w:hAnsi="宋体" w:cs="宋体" w:eastAsia="宋体" w:hint="default"/>
        </w:rPr>
        <w:t>12</w:t>
      </w:r>
      <w:r>
        <w:rPr/>
        <w:t>月</w:t>
      </w:r>
      <w:r>
        <w:rPr>
          <w:rFonts w:ascii="宋体" w:hAnsi="宋体" w:cs="宋体" w:eastAsia="宋体" w:hint="default"/>
        </w:rPr>
        <w:t>31</w:t>
      </w:r>
      <w:r>
        <w:rPr/>
        <w:t>日，业绩补偿款余额为</w:t>
      </w:r>
      <w:r>
        <w:rPr>
          <w:rFonts w:ascii="宋体" w:hAnsi="宋体" w:cs="宋体" w:eastAsia="宋体" w:hint="default"/>
        </w:rPr>
        <w:t>232,796,486.19</w:t>
      </w:r>
      <w:r>
        <w:rPr/>
        <w:t>元，已经全额计提坏账准备。 </w:t>
      </w:r>
      <w:r>
        <w:rPr>
          <w:spacing w:val="-2"/>
        </w:rPr>
        <w:t>因为李欣将持有的公司股票未经公司许可的情况下质押给浙江浙商证券资产管理有限公司，从而导致公司无法按照《盈利预</w:t>
      </w:r>
      <w:r>
        <w:rPr>
          <w:spacing w:val="-64"/>
        </w:rPr>
        <w:t> </w:t>
      </w:r>
      <w:r>
        <w:rPr>
          <w:spacing w:val="-64"/>
        </w:rPr>
      </w:r>
      <w:r>
        <w:rPr/>
        <w:t>测补偿协议》的约定完成股份回购，对公司造成大额的业绩回购款无法收回的损失。公司在</w:t>
      </w:r>
      <w:r>
        <w:rPr>
          <w:rFonts w:ascii="宋体" w:hAnsi="宋体" w:cs="宋体" w:eastAsia="宋体" w:hint="default"/>
        </w:rPr>
        <w:t>2018</w:t>
      </w:r>
      <w:r>
        <w:rPr/>
        <w:t>年</w:t>
      </w:r>
      <w:r>
        <w:rPr>
          <w:rFonts w:ascii="宋体" w:hAnsi="宋体" w:cs="宋体" w:eastAsia="宋体" w:hint="default"/>
        </w:rPr>
        <w:t>6</w:t>
      </w:r>
      <w:r>
        <w:rPr/>
        <w:t>月起诉李欣和浙江浙商</w:t>
      </w:r>
      <w:r>
        <w:rPr>
          <w:spacing w:val="-84"/>
        </w:rPr>
        <w:t> </w:t>
      </w:r>
      <w:r>
        <w:rPr>
          <w:spacing w:val="-84"/>
        </w:rPr>
      </w:r>
      <w:r>
        <w:rPr>
          <w:spacing w:val="-2"/>
        </w:rPr>
        <w:t>证券资产管理有限公司，主要诉求为请求法院判令确认浙商资管公司、李欣于</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28</w:t>
      </w:r>
      <w:r>
        <w:rPr>
          <w:spacing w:val="-2"/>
        </w:rPr>
        <w:t>日签订的浙商聚银</w:t>
      </w:r>
      <w:r>
        <w:rPr>
          <w:rFonts w:ascii="宋体" w:hAnsi="宋体" w:cs="宋体" w:eastAsia="宋体" w:hint="default"/>
          <w:spacing w:val="-2"/>
        </w:rPr>
        <w:t>1</w:t>
      </w:r>
      <w:r>
        <w:rPr>
          <w:spacing w:val="-2"/>
        </w:rPr>
        <w:t>号银江股份股</w:t>
      </w:r>
      <w:r>
        <w:rPr>
          <w:spacing w:val="-59"/>
        </w:rPr>
        <w:t> </w:t>
      </w:r>
      <w:r>
        <w:rPr/>
        <w:t>票收益权</w:t>
      </w:r>
      <w:r>
        <w:rPr>
          <w:rFonts w:ascii="宋体" w:hAnsi="宋体" w:cs="宋体" w:eastAsia="宋体" w:hint="default"/>
        </w:rPr>
        <w:t>1</w:t>
      </w:r>
      <w:r>
        <w:rPr/>
        <w:t>、</w:t>
      </w:r>
      <w:r>
        <w:rPr>
          <w:rFonts w:ascii="宋体" w:hAnsi="宋体" w:cs="宋体" w:eastAsia="宋体" w:hint="default"/>
        </w:rPr>
        <w:t>2</w:t>
      </w:r>
      <w:r>
        <w:rPr/>
        <w:t>、</w:t>
      </w:r>
      <w:r>
        <w:rPr>
          <w:rFonts w:ascii="宋体" w:hAnsi="宋体" w:cs="宋体" w:eastAsia="宋体" w:hint="default"/>
        </w:rPr>
        <w:t>3</w:t>
      </w:r>
      <w:r>
        <w:rPr/>
        <w:t>号专项资产管理计划《股票质押合同》（合同编号：浙商资管</w:t>
      </w:r>
      <w:r>
        <w:rPr>
          <w:rFonts w:ascii="宋体" w:hAnsi="宋体" w:cs="宋体" w:eastAsia="宋体" w:hint="default"/>
        </w:rPr>
        <w:t>GPZYJY0039</w:t>
      </w:r>
      <w:r>
        <w:rPr/>
        <w:t>、</w:t>
      </w:r>
      <w:r>
        <w:rPr>
          <w:rFonts w:ascii="宋体" w:hAnsi="宋体" w:cs="宋体" w:eastAsia="宋体" w:hint="default"/>
        </w:rPr>
        <w:t>GPZYJY0040</w:t>
      </w:r>
      <w:r>
        <w:rPr/>
        <w:t>、</w:t>
      </w:r>
      <w:r>
        <w:rPr>
          <w:rFonts w:ascii="宋体" w:hAnsi="宋体" w:cs="宋体" w:eastAsia="宋体" w:hint="default"/>
        </w:rPr>
        <w:t>GPZYJY0041</w:t>
      </w:r>
      <w:r>
        <w:rPr/>
        <w:t>）均</w:t>
      </w:r>
      <w:r>
        <w:rPr>
          <w:spacing w:val="-3"/>
        </w:rPr>
        <w:t> </w:t>
      </w:r>
      <w:r>
        <w:rPr/>
        <w:t>无效。</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15</w:t>
      </w:r>
      <w:r>
        <w:rPr/>
        <w:t>日公司收到了浙江省杭州市中级人民法院（</w:t>
      </w:r>
      <w:r>
        <w:rPr>
          <w:rFonts w:ascii="宋体" w:hAnsi="宋体" w:cs="宋体" w:eastAsia="宋体" w:hint="default"/>
        </w:rPr>
        <w:t>2018</w:t>
      </w:r>
      <w:r>
        <w:rPr/>
        <w:t>）浙</w:t>
      </w:r>
      <w:r>
        <w:rPr>
          <w:rFonts w:ascii="宋体" w:hAnsi="宋体" w:cs="宋体" w:eastAsia="宋体" w:hint="default"/>
        </w:rPr>
        <w:t>01</w:t>
      </w:r>
      <w:r>
        <w:rPr/>
        <w:t>民初</w:t>
      </w:r>
      <w:r>
        <w:rPr>
          <w:rFonts w:ascii="宋体" w:hAnsi="宋体" w:cs="宋体" w:eastAsia="宋体" w:hint="default"/>
        </w:rPr>
        <w:t>1538</w:t>
      </w:r>
      <w:r>
        <w:rPr/>
        <w:t>号《民事判决书》，判决结果为：银江 </w:t>
      </w:r>
      <w:r>
        <w:rPr>
          <w:spacing w:val="-2"/>
        </w:rPr>
        <w:t>股份主张李欣与浙商资管公司签订的《股票质押合同》无效，并无事实和法律依据，且《股票质押合同》亦不存在法律规定</w:t>
      </w:r>
      <w:r>
        <w:rPr>
          <w:spacing w:val="-68"/>
        </w:rPr>
        <w:t> </w:t>
      </w:r>
      <w:r>
        <w:rPr>
          <w:spacing w:val="-68"/>
        </w:rPr>
      </w:r>
      <w:r>
        <w:rPr>
          <w:spacing w:val="-2"/>
        </w:rPr>
        <w:t>的其他无效情形，对银江股份的诉讼请求本院不予支持”。公司不服浙江省杭州市中级人民法院作出的判决结果，提起二审</w:t>
      </w:r>
      <w:r>
        <w:rPr>
          <w:spacing w:val="-62"/>
        </w:rPr>
        <w:t> </w:t>
      </w:r>
      <w:r>
        <w:rPr>
          <w:spacing w:val="-62"/>
        </w:rPr>
      </w:r>
      <w:r>
        <w:rPr/>
        <w:t>上诉，截至本财务报表批准报出日，该案件已经受理，但尚未判决。</w:t>
      </w:r>
    </w:p>
    <w:p>
      <w:pPr>
        <w:spacing w:line="240" w:lineRule="auto" w:before="11"/>
        <w:rPr>
          <w:rFonts w:ascii="宋体" w:hAnsi="宋体" w:cs="宋体" w:eastAsia="宋体" w:hint="default"/>
          <w:sz w:val="22"/>
          <w:szCs w:val="22"/>
        </w:rPr>
      </w:pPr>
    </w:p>
    <w:p>
      <w:pPr>
        <w:spacing w:line="487" w:lineRule="auto" w:before="0"/>
        <w:ind w:left="152" w:right="6899" w:firstLine="0"/>
        <w:jc w:val="left"/>
        <w:rPr>
          <w:rFonts w:ascii="宋体" w:hAnsi="宋体" w:cs="宋体" w:eastAsia="宋体" w:hint="default"/>
          <w:sz w:val="21"/>
          <w:szCs w:val="21"/>
        </w:rPr>
      </w:pPr>
      <w:bookmarkStart w:name="8、其他" w:id="486"/>
      <w:bookmarkEnd w:id="48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七、母公司财务报表主要项目注释" w:id="487"/>
      <w:bookmarkEnd w:id="487"/>
      <w:r>
        <w:rPr>
          <w:rFonts w:ascii="宋体" w:hAnsi="宋体" w:cs="宋体" w:eastAsia="宋体" w:hint="default"/>
          <w:b/>
          <w:bCs/>
          <w:w w:val="100"/>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账款" w:id="488"/>
      <w:bookmarkEnd w:id="48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4"/>
        <w:ind w:right="1133"/>
        <w:jc w:val="left"/>
        <w:rPr>
          <w:b w:val="0"/>
          <w:bCs w:val="0"/>
        </w:rPr>
      </w:pPr>
      <w:bookmarkStart w:name="（1）应收账款分类披露" w:id="489"/>
      <w:bookmarkEnd w:id="48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7208" w:right="1131"/>
        <w:jc w:val="right"/>
      </w:pPr>
      <w:r>
        <w:rPr/>
        <w:t>单位：元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4"/>
        <w:gridCol w:w="761"/>
        <w:gridCol w:w="763"/>
        <w:gridCol w:w="790"/>
        <w:gridCol w:w="775"/>
        <w:gridCol w:w="797"/>
        <w:gridCol w:w="800"/>
        <w:gridCol w:w="790"/>
        <w:gridCol w:w="931"/>
      </w:tblGrid>
      <w:tr>
        <w:trPr>
          <w:trHeight w:val="402"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1,742,91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9,996.07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281,926,</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498.71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1,460,993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,497.36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1,581,169</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,112.39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275,590,3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13.77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17.43%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1,305,578,7</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98.62</w:t>
            </w: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1,742,91</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9,996.07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281,926,</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498.71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1,460,993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,497.36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1,581,169</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,112.39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275,590,3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13.77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17.43%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1,305,578,7</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98.62</w:t>
            </w:r>
          </w:p>
        </w:tc>
      </w:tr>
      <w:tr>
        <w:trPr>
          <w:trHeight w:val="716"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1" w:right="0"/>
              <w:jc w:val="left"/>
              <w:rPr>
                <w:rFonts w:ascii="Times New Roman" w:hAnsi="Times New Roman" w:cs="Times New Roman" w:eastAsia="Times New Roman" w:hint="default"/>
                <w:sz w:val="18"/>
                <w:szCs w:val="18"/>
              </w:rPr>
            </w:pPr>
            <w:r>
              <w:rPr>
                <w:rFonts w:ascii="Times New Roman"/>
                <w:sz w:val="18"/>
              </w:rPr>
              <w:t>1,742,91</w:t>
            </w:r>
          </w:p>
          <w:p>
            <w:pPr>
              <w:pStyle w:val="TableParagraph"/>
              <w:spacing w:line="240" w:lineRule="auto" w:before="102"/>
              <w:ind w:left="111" w:right="0"/>
              <w:jc w:val="left"/>
              <w:rPr>
                <w:rFonts w:ascii="Times New Roman" w:hAnsi="Times New Roman" w:cs="Times New Roman" w:eastAsia="Times New Roman" w:hint="default"/>
                <w:sz w:val="18"/>
                <w:szCs w:val="18"/>
              </w:rPr>
            </w:pPr>
            <w:r>
              <w:rPr>
                <w:rFonts w:ascii="Times New Roman"/>
                <w:sz w:val="18"/>
              </w:rPr>
              <w:t>9,996.07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7" w:right="0"/>
              <w:jc w:val="center"/>
              <w:rPr>
                <w:rFonts w:ascii="Times New Roman" w:hAnsi="Times New Roman" w:cs="Times New Roman" w:eastAsia="Times New Roman" w:hint="default"/>
                <w:sz w:val="18"/>
                <w:szCs w:val="18"/>
              </w:rPr>
            </w:pPr>
            <w:r>
              <w:rPr>
                <w:rFonts w:ascii="Times New Roman"/>
                <w:sz w:val="18"/>
              </w:rPr>
              <w:t>281,926,</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498.71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 w:right="0"/>
              <w:jc w:val="center"/>
              <w:rPr>
                <w:rFonts w:ascii="Times New Roman" w:hAnsi="Times New Roman" w:cs="Times New Roman" w:eastAsia="Times New Roman" w:hint="default"/>
                <w:sz w:val="18"/>
                <w:szCs w:val="18"/>
              </w:rPr>
            </w:pPr>
            <w:r>
              <w:rPr>
                <w:rFonts w:ascii="Times New Roman"/>
                <w:sz w:val="18"/>
              </w:rPr>
              <w:t>1,460,993</w:t>
            </w:r>
          </w:p>
          <w:p>
            <w:pPr>
              <w:pStyle w:val="TableParagraph"/>
              <w:spacing w:line="240" w:lineRule="auto" w:before="102"/>
              <w:ind w:left="191" w:right="0"/>
              <w:jc w:val="center"/>
              <w:rPr>
                <w:rFonts w:ascii="Times New Roman" w:hAnsi="Times New Roman" w:cs="Times New Roman" w:eastAsia="Times New Roman" w:hint="default"/>
                <w:sz w:val="18"/>
                <w:szCs w:val="18"/>
              </w:rPr>
            </w:pPr>
            <w:r>
              <w:rPr>
                <w:rFonts w:ascii="Times New Roman"/>
                <w:sz w:val="18"/>
              </w:rPr>
              <w:t>,497.36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1,581,169</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,112.39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275,590,3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13.77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17.43%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1,305,578,7</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98.62</w:t>
            </w:r>
          </w:p>
        </w:tc>
      </w:tr>
    </w:tbl>
    <w:p>
      <w:pPr>
        <w:pStyle w:val="BodyText"/>
        <w:spacing w:line="240" w:lineRule="auto" w:before="49"/>
        <w:ind w:right="1133"/>
        <w:jc w:val="left"/>
      </w:pPr>
      <w:r>
        <w:rPr/>
        <w:t>按单项计提坏账准备：</w:t>
      </w:r>
    </w:p>
    <w:p>
      <w:pPr>
        <w:pStyle w:val="BodyText"/>
        <w:spacing w:line="240" w:lineRule="auto" w:before="115"/>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pPr>
      <w:r>
        <w:rPr/>
        <w:t>按组合计提坏账准备：</w:t>
      </w:r>
    </w:p>
    <w:p>
      <w:pPr>
        <w:pStyle w:val="BodyText"/>
        <w:spacing w:line="240" w:lineRule="auto" w:before="117"/>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年，下同）</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917,799,539.67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45,889,976.98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495,580,436.63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49,558,043.66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91,415,650.07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18,283,130.02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68,107,746.56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34,053,873.30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71,750,296.79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35,875,148.40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98,266,326.35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98,266,326.35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1,742,919,996.07</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281,926,498.71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357" w:lineRule="auto" w:before="49"/>
        <w:ind w:right="-20"/>
        <w:jc w:val="left"/>
      </w:pPr>
      <w:r>
        <w:rPr/>
        <w:t>确定该组合依据的说明： 组合中，按账龄分析法组合计提坏账准备的应收账款。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473" w:space="4447"/>
            <w:col w:w="201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240" w:lineRule="auto" w:before="24"/>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按账龄披露</w:t>
      </w:r>
    </w:p>
    <w:p>
      <w:pPr>
        <w:pStyle w:val="BodyText"/>
        <w:spacing w:line="240" w:lineRule="auto" w:before="117"/>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917,799,539.67</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495,580,436.63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91,415,650.07</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238,124,369.70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68,107,746.56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71,750,296.79</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98,266,326.35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1,742,919,996.07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本期计提、收回或转回的坏账准备情况" w:id="490"/>
      <w:bookmarkEnd w:id="49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账龄分析法组合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275,590,313.77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6,336,184.94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281,926,498.71</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275,590,313.77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6,336,184.94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281,926,498.71</w:t>
            </w:r>
          </w:p>
        </w:tc>
      </w:tr>
    </w:tbl>
    <w:p>
      <w:pPr>
        <w:pStyle w:val="BodyText"/>
        <w:spacing w:line="240" w:lineRule="auto" w:before="49"/>
        <w:ind w:right="1133"/>
        <w:jc w:val="left"/>
      </w:pPr>
      <w:r>
        <w:rPr/>
        <w:t>其中本期坏账准备收回或转回金额重要的：无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本期实际核销的应收账款情况" w:id="491"/>
      <w:bookmarkEnd w:id="49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4）按欠款方归集的期末余额前五名的应收账款情况" w:id="492"/>
      <w:bookmarkEnd w:id="49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6,792,500.00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51,320,654.76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2,566,032.74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35,256,335.54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1,762,816.78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30,866,810.04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3,721,931.01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28,358,269.36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1,417,913.47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281,652,069.70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16.15%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5）因金融资产转移而终止确认的应收账款" w:id="493"/>
      <w:bookmarkEnd w:id="49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6）转移应收账款且继续涉入形成的资产、负债金额" w:id="494"/>
      <w:bookmarkEnd w:id="49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2、其他应收款" w:id="495"/>
      <w:bookmarkEnd w:id="49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347,374,918.38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665,913,614.36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347,374,918.38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665,913,614.36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应收利息" w:id="496"/>
      <w:bookmarkEnd w:id="49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2）应收股利" w:id="497"/>
      <w:bookmarkEnd w:id="497"/>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其他应收款" w:id="498"/>
      <w:bookmarkEnd w:id="498"/>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其他应收款按款项性质分类情况" w:id="499"/>
      <w:bookmarkEnd w:id="499"/>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232,796,486.19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239,359,348.05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301,914,449.60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579,919,874.97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129,766,074.85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138,690,594.64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3,709,721.43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5,933,424.44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3,300,899.35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5,702,574.47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671,487,631.42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1,010,605,816.57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坏账准备计提情况" w:id="500"/>
      <w:bookmarkEnd w:id="500"/>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5"/>
        <w:gridCol w:w="1651"/>
        <w:gridCol w:w="2098"/>
        <w:gridCol w:w="2101"/>
        <w:gridCol w:w="1805"/>
      </w:tblGrid>
      <w:tr>
        <w:trPr>
          <w:trHeight w:val="404" w:hRule="exact"/>
        </w:trPr>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9"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9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548"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1"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90" w:right="0"/>
              <w:jc w:val="left"/>
              <w:rPr>
                <w:rFonts w:ascii="Times New Roman" w:hAnsi="Times New Roman" w:cs="Times New Roman" w:eastAsia="Times New Roman" w:hint="default"/>
                <w:sz w:val="18"/>
                <w:szCs w:val="18"/>
              </w:rPr>
            </w:pPr>
            <w:r>
              <w:rPr>
                <w:rFonts w:ascii="Times New Roman"/>
                <w:sz w:val="18"/>
              </w:rPr>
              <w:t>110,446,754.92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3" w:right="0"/>
              <w:jc w:val="left"/>
              <w:rPr>
                <w:rFonts w:ascii="Times New Roman" w:hAnsi="Times New Roman" w:cs="Times New Roman" w:eastAsia="Times New Roman" w:hint="default"/>
                <w:sz w:val="18"/>
                <w:szCs w:val="18"/>
              </w:rPr>
            </w:pPr>
            <w:r>
              <w:rPr>
                <w:rFonts w:ascii="Times New Roman"/>
                <w:sz w:val="18"/>
              </w:rPr>
              <w:t>234,245,447.29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344,692,202.21</w:t>
            </w:r>
          </w:p>
        </w:tc>
      </w:tr>
      <w:tr>
        <w:trPr>
          <w:trHeight w:val="161" w:hRule="exact"/>
        </w:trPr>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12"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05" w:type="dxa"/>
            <w:vMerge/>
            <w:tcBorders>
              <w:left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05" w:type="dxa"/>
            <w:vMerge/>
            <w:tcBorders>
              <w:left w:val="single" w:sz="4" w:space="0" w:color="000000"/>
              <w:bottom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14" w:right="0"/>
              <w:jc w:val="left"/>
              <w:rPr>
                <w:rFonts w:ascii="Times New Roman" w:hAnsi="Times New Roman" w:cs="Times New Roman" w:eastAsia="Times New Roman" w:hint="default"/>
                <w:sz w:val="18"/>
                <w:szCs w:val="18"/>
              </w:rPr>
            </w:pPr>
            <w:r>
              <w:rPr>
                <w:rFonts w:ascii="Times New Roman"/>
                <w:sz w:val="18"/>
              </w:rPr>
              <w:t>-16,871,946.72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-16,871,946.72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-1,162,861.86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-1,162,861.86</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-2,544,680.59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-2,544,680.59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91,030,127.61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233,082,585.43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324,112,713.04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265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单位：元</w:t>
      </w:r>
    </w:p>
    <w:p>
      <w:pPr>
        <w:spacing w:after="0" w:line="240" w:lineRule="auto"/>
        <w:jc w:val="left"/>
        <w:sectPr>
          <w:type w:val="continuous"/>
          <w:pgSz w:w="11910" w:h="16840"/>
          <w:pgMar w:top="1060" w:bottom="1160" w:left="980" w:right="0"/>
          <w:cols w:num="2" w:equalWidth="0">
            <w:col w:w="3933" w:space="498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172,588,369.62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355,432,895.98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65,649,385.41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77,816,980.41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25,067,562.51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15,979,817.68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36,769,600.22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671,487,631.42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本期计提、收回或转回的坏账准备情况" w:id="501"/>
      <w:bookmarkEnd w:id="501"/>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9"/>
        <w:gridCol w:w="1249"/>
        <w:gridCol w:w="1332"/>
        <w:gridCol w:w="1452"/>
        <w:gridCol w:w="1198"/>
        <w:gridCol w:w="1347"/>
        <w:gridCol w:w="1574"/>
      </w:tblGrid>
      <w:tr>
        <w:trPr>
          <w:trHeight w:val="401"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249"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单项计提</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234,245,447.29</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-1,162,861.86</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233,082,585.43</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110,446,754.92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-16,871,946.72</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-2,544,680.59</w:t>
            </w: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91,030,127.61</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344,692,202.21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-16,871,946.72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-1,162,861.86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-2,544,680.59</w:t>
            </w: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324,112,713.04</w:t>
            </w:r>
          </w:p>
        </w:tc>
      </w:tr>
    </w:tbl>
    <w:p>
      <w:pPr>
        <w:pStyle w:val="BodyText"/>
        <w:spacing w:line="240" w:lineRule="auto" w:before="49"/>
        <w:ind w:right="1133"/>
        <w:jc w:val="left"/>
      </w:pPr>
      <w:r>
        <w:rPr/>
        <w:t>其中本期坏账准备转回或收回金额重要的：</w:t>
      </w:r>
    </w:p>
    <w:p>
      <w:pPr>
        <w:pStyle w:val="BodyText"/>
        <w:spacing w:line="240" w:lineRule="auto" w:before="117"/>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1,162,861.86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法院强制执行款转入</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1,162,861.86</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6" w:lineRule="auto" w:before="8"/>
        <w:ind w:right="1133"/>
        <w:jc w:val="left"/>
      </w:pPr>
      <w:r>
        <w:rPr>
          <w:spacing w:val="-2"/>
        </w:rPr>
        <w:t>上年末对李欣的业绩补偿款余额</w:t>
      </w:r>
      <w:r>
        <w:rPr>
          <w:rFonts w:ascii="宋体" w:hAnsi="宋体" w:cs="宋体" w:eastAsia="宋体" w:hint="default"/>
          <w:spacing w:val="-2"/>
        </w:rPr>
        <w:t>239,359,348.05</w:t>
      </w:r>
      <w:r>
        <w:rPr>
          <w:spacing w:val="-2"/>
        </w:rPr>
        <w:t>元计提坏账准备金额</w:t>
      </w:r>
      <w:r>
        <w:rPr>
          <w:rFonts w:ascii="宋体" w:hAnsi="宋体" w:cs="宋体" w:eastAsia="宋体" w:hint="default"/>
          <w:spacing w:val="-2"/>
        </w:rPr>
        <w:t>233,959,348.05</w:t>
      </w:r>
      <w:r>
        <w:rPr>
          <w:spacing w:val="-2"/>
        </w:rPr>
        <w:t>元，账面价值</w:t>
      </w:r>
      <w:r>
        <w:rPr>
          <w:rFonts w:ascii="宋体" w:hAnsi="宋体" w:cs="宋体" w:eastAsia="宋体" w:hint="default"/>
          <w:spacing w:val="-2"/>
        </w:rPr>
        <w:t>5,400,000.00</w:t>
      </w:r>
      <w:r>
        <w:rPr>
          <w:spacing w:val="-2"/>
        </w:rPr>
        <w:t>元。本年通</w:t>
      </w:r>
      <w:r>
        <w:rPr>
          <w:spacing w:val="-40"/>
        </w:rPr>
        <w:t> </w:t>
      </w:r>
      <w:r>
        <w:rPr>
          <w:spacing w:val="-40"/>
        </w:rPr>
      </w:r>
      <w:r>
        <w:rPr/>
        <w:t>过法院拍卖李欣房产取得执行款</w:t>
      </w:r>
      <w:r>
        <w:rPr>
          <w:rFonts w:ascii="宋体" w:hAnsi="宋体" w:cs="宋体" w:eastAsia="宋体" w:hint="default"/>
        </w:rPr>
        <w:t>6,562,861.86</w:t>
      </w:r>
      <w:r>
        <w:rPr/>
        <w:t>元，收回坏账准备金额</w:t>
      </w:r>
      <w:r>
        <w:rPr>
          <w:rFonts w:ascii="宋体" w:hAnsi="宋体" w:cs="宋体" w:eastAsia="宋体" w:hint="default"/>
        </w:rPr>
        <w:t>1,162,861.86</w:t>
      </w:r>
      <w:r>
        <w:rPr/>
        <w:t>元。</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4）本期实际核销的其他应收款情况" w:id="502"/>
      <w:bookmarkEnd w:id="502"/>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7208" w:right="1131"/>
        <w:jc w:val="right"/>
      </w:pPr>
      <w:r>
        <w:rPr/>
        <w:t>单位：元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2,544,680.59</w:t>
            </w:r>
          </w:p>
        </w:tc>
      </w:tr>
    </w:tbl>
    <w:p>
      <w:pPr>
        <w:pStyle w:val="BodyText"/>
        <w:spacing w:line="240" w:lineRule="auto" w:before="49"/>
        <w:ind w:right="1133"/>
        <w:jc w:val="left"/>
      </w:pPr>
      <w:r>
        <w:rPr/>
        <w:t>其中重要的其他应收款核销情况：</w:t>
      </w:r>
    </w:p>
    <w:p>
      <w:pPr>
        <w:pStyle w:val="BodyText"/>
        <w:spacing w:line="240" w:lineRule="auto" w:before="115"/>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上海汉唐科技有限公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1,314,680.59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管理层批准</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1,314,680.59</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按欠款方归集的期末余额前五名的其他应收款情况" w:id="503"/>
      <w:bookmarkEnd w:id="503"/>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232,796,486.19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34.67%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232,796,486.19</w:t>
            </w:r>
          </w:p>
        </w:tc>
      </w:tr>
      <w:tr>
        <w:trPr>
          <w:trHeight w:val="133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9"/>
              <w:jc w:val="left"/>
              <w:rPr>
                <w:rFonts w:ascii="宋体" w:hAnsi="宋体" w:cs="宋体" w:eastAsia="宋体" w:hint="default"/>
                <w:sz w:val="18"/>
                <w:szCs w:val="18"/>
              </w:rPr>
            </w:pPr>
            <w:r>
              <w:rPr>
                <w:rFonts w:ascii="宋体" w:hAnsi="宋体" w:cs="宋体" w:eastAsia="宋体" w:hint="default"/>
                <w:sz w:val="18"/>
                <w:szCs w:val="18"/>
              </w:rPr>
              <w:t>银江股份（香港）有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92,284,160.00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60,000,000.00</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元，</w:t>
            </w:r>
            <w:r>
              <w:rPr>
                <w:rFonts w:ascii="Times New Roman" w:hAnsi="Times New Roman" w:cs="Times New Roman" w:eastAsia="Times New Roman" w:hint="default"/>
                <w:spacing w:val="-12"/>
                <w:sz w:val="18"/>
                <w:szCs w:val="18"/>
              </w:rPr>
              <w:t>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32,284,160.00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13.74%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12,456,832.00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浙江银江智慧交通集 团有限公司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58,189,764.49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2,909,488.22</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健康宝互联网技术有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20,204,523.08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1,010,226.15</w:t>
            </w:r>
          </w:p>
        </w:tc>
      </w:tr>
      <w:tr>
        <w:trPr>
          <w:trHeight w:val="102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9"/>
              <w:jc w:val="left"/>
              <w:rPr>
                <w:rFonts w:ascii="宋体" w:hAnsi="宋体" w:cs="宋体" w:eastAsia="宋体" w:hint="default"/>
                <w:sz w:val="18"/>
                <w:szCs w:val="18"/>
              </w:rPr>
            </w:pPr>
            <w:r>
              <w:rPr>
                <w:rFonts w:ascii="宋体" w:hAnsi="宋体" w:cs="宋体" w:eastAsia="宋体" w:hint="default"/>
                <w:sz w:val="18"/>
                <w:szCs w:val="18"/>
              </w:rPr>
              <w:t>西安银江智慧城市技 术有限公司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15,143,647.95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15,077,639.44</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元，</w:t>
            </w:r>
            <w:r>
              <w:rPr>
                <w:rFonts w:ascii="Times New Roman" w:hAnsi="Times New Roman" w:cs="Times New Roman" w:eastAsia="Times New Roman" w:hint="default"/>
                <w:spacing w:val="-12"/>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66,008.51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760,482.82</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418,618,581.71</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62.35%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249,933,515.38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涉及政府补助的应收款项" w:id="504"/>
      <w:bookmarkEnd w:id="504"/>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7）因金融资产转移而终止确认的其他应收款" w:id="505"/>
      <w:bookmarkEnd w:id="505"/>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8）转移其他应收款且继续涉入形成的资产、负债金额" w:id="506"/>
      <w:bookmarkEnd w:id="506"/>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长期股权投资" w:id="507"/>
      <w:bookmarkEnd w:id="50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4103"/>
        <w:gridCol w:w="4091"/>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372,061,198.91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372,061,198.91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372,061,198.91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372,061,198.91</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591,622,748.45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4,239,935.05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587,382,813.40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554,598,342.12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554,598,342.12</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963,683,947.36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4,239,935.05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959,444,012.31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926,659,541.03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926,659,541.03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对子公司投资" w:id="508"/>
      <w:bookmarkEnd w:id="50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2"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3"/>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3"/>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1"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浙江银江智慧 交通集团有限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96,996,059.43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96,996,059.43</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杭州银江智慧 健康集团有限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58,132,339.48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58,132,339.48</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杭州银江智慧 城市技术集团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吉林银江信息 技术有限公司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2,000,000.00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浙江银江研究 院有限公司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健康宝互联网 技术有限公司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18,602,800.00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18,602,800.00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青岛银江智慧 城市技术有限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15,600,000.00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东丰银江智慧 城市技术有限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济南银江信息 技术有限公司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9,500,000.00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沈阳智享大健 康信息科技有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108,350,000.0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108,350,000.00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银江股份（香 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2,880,000.00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2,880,000.00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269"/>
        <w:gridCol w:w="1166"/>
        <w:gridCol w:w="1167"/>
        <w:gridCol w:w="1164"/>
        <w:gridCol w:w="1167"/>
        <w:gridCol w:w="1214"/>
        <w:gridCol w:w="1213"/>
        <w:gridCol w:w="1214"/>
      </w:tblGrid>
      <w:tr>
        <w:trPr>
          <w:trHeight w:val="716" w:hRule="exact"/>
        </w:trPr>
        <w:tc>
          <w:tcPr>
            <w:tcW w:w="1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372,061,198.9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372,061,198.91</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对联营、合营企业投资" w:id="509"/>
      <w:bookmarkEnd w:id="50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上海济祥 智能交通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4,272,598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-32,663.9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-4,239,93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4,239,935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w:t>
            </w:r>
          </w:p>
        </w:tc>
      </w:tr>
      <w:tr>
        <w:trPr>
          <w:trHeight w:val="196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杭州银江 智慧产业 创业投资 合伙企业</w:t>
            </w:r>
          </w:p>
          <w:p>
            <w:pPr>
              <w:pStyle w:val="TableParagraph"/>
              <w:spacing w:line="316" w:lineRule="auto" w:before="19"/>
              <w:ind w:left="24"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482,811,6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63.97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16,408,10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6.25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522,219,7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70.22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厦门银江 智慧城市 技术股份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8,665,396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-250,337.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8,415,058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杭州清普 信息技术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23,693,68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358,499.7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24,052,18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1.78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浙江银江 金服控股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27,905,88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-2,071,38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3.95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25,834,49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41"/>
              <w:jc w:val="both"/>
              <w:rPr>
                <w:rFonts w:ascii="宋体" w:hAnsi="宋体" w:cs="宋体" w:eastAsia="宋体" w:hint="default"/>
                <w:sz w:val="18"/>
                <w:szCs w:val="18"/>
              </w:rPr>
            </w:pPr>
            <w:r>
              <w:rPr>
                <w:rFonts w:ascii="宋体" w:hAnsi="宋体" w:cs="宋体" w:eastAsia="宋体" w:hint="default"/>
                <w:sz w:val="18"/>
                <w:szCs w:val="18"/>
              </w:rPr>
              <w:t>浙江贤谷 互联网技 术有限公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7,249,120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-387,814.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6,861,306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554,598,3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42.12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14,024,40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-4,239,93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587,382,8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13.40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4,239,935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554,598,3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42.12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14,024,40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-4,239,93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587,382,8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13.40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4,239,935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其他说明" w:id="510"/>
      <w:bookmarkEnd w:id="510"/>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4、营业收入和营业成本" w:id="511"/>
      <w:bookmarkEnd w:id="51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2,014,186,615.41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1,532,596,484.51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2,373,386,686.21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1,779,907,250.93</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13,187,836.51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10,077,071.61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8,826,368.85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4,674,402.17</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2,027,374,451.92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1,542,673,556.12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2,382,213,055.06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1,784,581,653.10</w:t>
            </w:r>
          </w:p>
        </w:tc>
      </w:tr>
    </w:tbl>
    <w:p>
      <w:pPr>
        <w:pStyle w:val="BodyText"/>
        <w:spacing w:line="240" w:lineRule="auto" w:before="49"/>
        <w:ind w:right="1133"/>
        <w:jc w:val="left"/>
      </w:pPr>
      <w:r>
        <w:rPr/>
        <w:t>是否已执行新收入准则</w:t>
      </w:r>
    </w:p>
    <w:p>
      <w:pPr>
        <w:pStyle w:val="BodyText"/>
        <w:spacing w:line="338" w:lineRule="auto" w:before="118"/>
        <w:ind w:right="9494"/>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 其他说明：</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5、投资收益" w:id="512"/>
      <w:bookmarkEnd w:id="51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06"/>
        <w:gridCol w:w="2987"/>
        <w:gridCol w:w="2765"/>
      </w:tblGrid>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14,024,406.33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-24,562,031.02</w:t>
            </w: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48,799,048.54</w:t>
            </w:r>
          </w:p>
        </w:tc>
      </w:tr>
      <w:tr>
        <w:trPr>
          <w:trHeight w:val="40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9,891.94</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其他权益工具投资在持有期间取得的股利收入</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1,940,128.74</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586,615.92</w:t>
            </w: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51,624,340.00</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15,974,427.01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76,447,973.44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其他" w:id="513"/>
      <w:bookmarkEnd w:id="513"/>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133"/>
        <w:jc w:val="left"/>
        <w:rPr>
          <w:b w:val="0"/>
          <w:bCs w:val="0"/>
        </w:rPr>
      </w:pPr>
      <w:bookmarkStart w:name="十八、补充资料" w:id="514"/>
      <w:bookmarkEnd w:id="514"/>
      <w:r>
        <w:rPr>
          <w:b w:val="0"/>
          <w:bCs w:val="0"/>
        </w:rPr>
      </w: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当期非经常性损益明细表" w:id="515"/>
      <w:bookmarkEnd w:id="51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103"/>
        <w:ind w:left="7208"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08"/>
        <w:gridCol w:w="2421"/>
        <w:gridCol w:w="1630"/>
      </w:tblGrid>
      <w:tr>
        <w:trPr>
          <w:trHeight w:val="401"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4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8,278,074.23</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724"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 定额或定量享受的政府补助除外）</w:t>
            </w:r>
          </w:p>
        </w:tc>
        <w:tc>
          <w:tcPr>
            <w:tcW w:w="24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10,307,181.71</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w:t>
            </w:r>
          </w:p>
        </w:tc>
        <w:tc>
          <w:tcPr>
            <w:tcW w:w="24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w w:val="95"/>
                <w:sz w:val="18"/>
              </w:rPr>
              <w:t>9,891.94</w:t>
            </w: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530"/>
        <w:gridCol w:w="2410"/>
        <w:gridCol w:w="1630"/>
      </w:tblGrid>
      <w:tr>
        <w:trPr>
          <w:trHeight w:val="987"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95"/>
              <w:jc w:val="both"/>
              <w:rPr>
                <w:rFonts w:ascii="宋体" w:hAnsi="宋体" w:cs="宋体" w:eastAsia="宋体" w:hint="default"/>
                <w:sz w:val="18"/>
                <w:szCs w:val="18"/>
              </w:rPr>
            </w:pPr>
            <w:r>
              <w:rPr>
                <w:rFonts w:ascii="宋体" w:hAnsi="宋体" w:cs="宋体" w:eastAsia="宋体" w:hint="default"/>
                <w:sz w:val="18"/>
                <w:szCs w:val="18"/>
              </w:rPr>
              <w:t>资产、衍生金融资产、交易性金融负债、衍生金融负债产生的公允价 值变动损益，以及处置交易性金融资产、衍生金融资产、交易性金融 负债、衍生金融负债和其他债权投资取得的投资收益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单独进行减值测试的应收款项、合同资产减值准备转回</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1,162,861.86</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-91,881.22</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2,101,157.13</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210,410.81</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17,354,560.58</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3"/>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净资产收益率及每股收益" w:id="516"/>
      <w:bookmarkEnd w:id="51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0.23</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0.20</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3、境内外会计准则下会计数据差异" w:id="517"/>
      <w:bookmarkEnd w:id="517"/>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其他" w:id="518"/>
      <w:bookmarkEnd w:id="518"/>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365" w:right="1133"/>
        <w:jc w:val="left"/>
        <w:rPr>
          <w:b w:val="0"/>
          <w:bCs w:val="0"/>
        </w:rPr>
      </w:pPr>
      <w:bookmarkStart w:name="第十三节备查文件目录" w:id="519"/>
      <w:bookmarkEnd w:id="519"/>
      <w:r>
        <w:rPr>
          <w:b w:val="0"/>
          <w:bCs w:val="0"/>
        </w:rPr>
      </w:r>
      <w:bookmarkStart w:name="_bookmark12" w:id="520"/>
      <w:bookmarkEnd w:id="520"/>
      <w:r>
        <w:rPr>
          <w:b w:val="0"/>
          <w:bCs w:val="0"/>
        </w:rPr>
      </w:r>
      <w:r>
        <w:rPr/>
        <w:t>第十三节备查文件目录</w:t>
      </w:r>
      <w:r>
        <w:rPr>
          <w:b w:val="0"/>
          <w:bCs w:val="0"/>
        </w:rPr>
      </w:r>
    </w:p>
    <w:p>
      <w:pPr>
        <w:spacing w:line="240" w:lineRule="auto" w:before="0"/>
        <w:rPr>
          <w:rFonts w:ascii="宋体" w:hAnsi="宋体" w:cs="宋体" w:eastAsia="宋体" w:hint="default"/>
          <w:b/>
          <w:bCs/>
          <w:sz w:val="32"/>
          <w:szCs w:val="32"/>
        </w:rPr>
      </w:pPr>
    </w:p>
    <w:p>
      <w:pPr>
        <w:pStyle w:val="BodyText"/>
        <w:spacing w:line="477" w:lineRule="auto" w:before="216"/>
        <w:ind w:right="1574"/>
        <w:jc w:val="left"/>
      </w:pPr>
      <w:r>
        <w:rPr/>
        <w:t>一、载有公司负责人、主管会计工作的公司负责人、公司会计机构负责人（会计主管人员）签名并盖章的财务报表。 二、载有会计师事务所盖章、注册会计师签名并盖章的审计报告原件。 三、报告期内在中国证监会指定网站上公开披露过的所有公司文件的正本及公告的原稿。</w:t>
      </w:r>
    </w:p>
    <w:p>
      <w:pPr>
        <w:pStyle w:val="BodyText"/>
        <w:spacing w:line="477" w:lineRule="auto" w:before="54"/>
        <w:ind w:right="6614"/>
        <w:jc w:val="left"/>
      </w:pPr>
      <w:r>
        <w:rPr/>
        <w:t>四、其他相关资料。 以上备查文件的备置地点：公司证券管理部办公室。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477" w:lineRule="auto"/>
        <w:ind w:left="7208" w:right="1128"/>
        <w:jc w:val="right"/>
      </w:pPr>
      <w:r>
        <w:rPr/>
        <w:t>银江股份有限公司 法定代表人：王腾 </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w:t>
      </w:r>
    </w:p>
    <w:sectPr>
      <w:footerReference w:type="default" r:id="rId17"/>
      <w:pgSz w:w="11910" w:h="16840"/>
      <w:pgMar w:footer="980" w:header="745"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Math">
    <w:altName w:val="Cambria Math"/>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6120" type="#_x0000_t75" stroked="false">
          <v:imagedata r:id="rId1" o:title=""/>
        </v:shape>
      </w:pict>
    </w:r>
    <w:r>
      <w:rPr/>
      <w:pict>
        <v:shape style="position:absolute;margin-left:294.369995pt;margin-top:795.637939pt;width:6.5pt;height:11pt;mso-position-horizontal-relative:page;mso-position-vertical-relative:page;z-index:-11860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6072" type="#_x0000_t75" stroked="false">
          <v:imagedata r:id="rId1" o:title=""/>
        </v:shape>
      </w:pict>
    </w:r>
    <w:r>
      <w:rPr/>
      <w:pict>
        <v:shape style="position:absolute;margin-left:291.089996pt;margin-top:781.933899pt;width:13.15pt;height:11pt;mso-position-horizontal-relative:page;mso-position-vertical-relative:page;z-index:-11860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6024" type="#_x0000_t75" stroked="false">
          <v:imagedata r:id="rId1" o:title=""/>
        </v:shape>
      </w:pict>
    </w:r>
    <w:r>
      <w:rPr/>
      <w:pict>
        <v:shape style="position:absolute;margin-left:289.809998pt;margin-top:781.933899pt;width:15.7pt;height:11pt;mso-position-horizontal-relative:page;mso-position-vertical-relative:page;z-index:-11860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5976" type="#_x0000_t75" stroked="false">
          <v:imagedata r:id="rId1" o:title=""/>
        </v:shape>
      </w:pict>
    </w:r>
    <w:r>
      <w:rPr/>
      <w:pict>
        <v:shape style="position:absolute;margin-left:288.809998pt;margin-top:781.933899pt;width:17.7pt;height:11pt;mso-position-horizontal-relative:page;mso-position-vertical-relative:page;z-index:-11859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5928" type="#_x0000_t75" stroked="false">
          <v:imagedata r:id="rId1" o:title=""/>
        </v:shape>
      </w:pict>
    </w:r>
    <w:r>
      <w:rPr/>
      <w:pict>
        <v:shape style="position:absolute;margin-left:289.049988pt;margin-top:781.933899pt;width:17.3pt;height:11pt;mso-position-horizontal-relative:page;mso-position-vertical-relative:page;z-index:-1185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5880" type="#_x0000_t75" stroked="false">
          <v:imagedata r:id="rId1" o:title=""/>
        </v:shape>
      </w:pict>
    </w:r>
    <w:r>
      <w:rPr/>
      <w:pict>
        <v:shape style="position:absolute;margin-left:288.809998pt;margin-top:781.933899pt;width:17.7pt;height:11pt;mso-position-horizontal-relative:page;mso-position-vertical-relative:page;z-index:-11858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5832" type="#_x0000_t75" stroked="false">
          <v:imagedata r:id="rId1" o:title=""/>
        </v:shape>
      </w:pict>
    </w:r>
    <w:r>
      <w:rPr/>
      <w:pict>
        <v:shape style="position:absolute;margin-left:289.809998pt;margin-top:781.933899pt;width:15.7pt;height:11pt;mso-position-horizontal-relative:page;mso-position-vertical-relative:page;z-index:-11858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070007pt;margin-top:36.265610pt;width:159.6pt;height:11.5pt;mso-position-horizontal-relative:page;mso-position-vertical-relative:page;z-index:-1186144" type="#_x0000_t202" filled="false" stroked="false">
          <v:textbox inset="0,0,0,0">
            <w:txbxContent>
              <w:p>
                <w:pPr>
                  <w:pStyle w:val="BodyText"/>
                  <w:spacing w:line="214" w:lineRule="exact"/>
                  <w:ind w:left="20" w:right="0"/>
                  <w:jc w:val="left"/>
                </w:pPr>
                <w:r>
                  <w:rPr/>
                  <w:t>银江股份有限公司</w:t>
                </w:r>
                <w:r>
                  <w:rPr>
                    <w:spacing w:val="-46"/>
                  </w:rPr>
                  <w:t> </w:t>
                </w:r>
                <w:r>
                  <w:rPr>
                    <w:rFonts w:ascii="Times New Roman" w:hAnsi="Times New Roman" w:cs="Times New Roman" w:eastAsia="Times New Roman" w:hint="default"/>
                  </w:rPr>
                  <w:t>2019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34"/>
      <w:ind w:left="152"/>
    </w:pPr>
    <w:rPr>
      <w:rFonts w:ascii="宋体" w:hAnsi="宋体" w:eastAsia="宋体"/>
      <w:sz w:val="21"/>
      <w:szCs w:val="21"/>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8"/>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enjoyor.net/" TargetMode="External"/><Relationship Id="rId10" Type="http://schemas.openxmlformats.org/officeDocument/2006/relationships/hyperlink" Target="mailto:enjoyor@enjoyor.net"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银江股份有限公司</dc:creator>
  <dc:title>银江股份有限公司2019年年度报告全文</dc:title>
  <dcterms:created xsi:type="dcterms:W3CDTF">2020-05-19T06:04:15Z</dcterms:created>
  <dcterms:modified xsi:type="dcterms:W3CDTF">2020-05-19T06:04:15Z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2020-04-23T00:00:00Z</vt:filetime>
  </property>
  <property fmtid="{D5CDD505-2E9C-101B-9397-08002B2CF9AE}" pid="3" name="Creator">
    <vt:lpwstr>Microsoft® Office Word 2007</vt:lpwstr>
  </property>
  <property fmtid="{D5CDD505-2E9C-101B-9397-08002B2CF9AE}" pid="4" name="LastSaved">
    <vt:filetime>2020-05-18T00:00:00Z</vt:filetime>
  </property>
</Properties>
</file>