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040" w:after="760" w:line="240" w:lineRule="auto"/>
        <w:ind w:left="0" w:right="0" w:firstLine="0"/>
        <w:jc w:val="center"/>
        <w:rPr>
          <w:sz w:val="58"/>
          <w:szCs w:val="58"/>
        </w:rPr>
      </w:pPr>
      <w:r>
        <w:rPr>
          <w:rFonts w:ascii="Arial" w:eastAsia="Arial" w:hAnsi="Arial" w:cs="Arial"/>
          <w:b/>
          <w:bCs/>
          <w:color w:val="F1870C"/>
          <w:spacing w:val="0"/>
          <w:w w:val="100"/>
          <w:position w:val="0"/>
          <w:sz w:val="58"/>
          <w:szCs w:val="58"/>
        </w:rPr>
        <w:t>ENJOYOR^</w:t>
      </w:r>
    </w:p>
    <w:p>
      <w:pPr>
        <w:pStyle w:val="Style2"/>
        <w:keepNext w:val="0"/>
        <w:keepLines w:val="0"/>
        <w:widowControl w:val="0"/>
        <w:shd w:val="clear" w:color="auto" w:fill="auto"/>
        <w:bidi w:val="0"/>
        <w:spacing w:before="0" w:after="400" w:line="240" w:lineRule="auto"/>
        <w:ind w:left="0" w:right="0" w:firstLine="0"/>
        <w:jc w:val="center"/>
        <w:rPr>
          <w:sz w:val="40"/>
          <w:szCs w:val="40"/>
        </w:rPr>
      </w:pPr>
      <w:r>
        <w:rPr>
          <w:b/>
          <w:bCs/>
          <w:color w:val="000000"/>
          <w:spacing w:val="0"/>
          <w:w w:val="100"/>
          <w:position w:val="0"/>
          <w:sz w:val="40"/>
          <w:szCs w:val="40"/>
        </w:rPr>
        <w:t>银江技术股份有限公司</w:t>
      </w:r>
    </w:p>
    <w:p>
      <w:pPr>
        <w:pStyle w:val="Style2"/>
        <w:keepNext w:val="0"/>
        <w:keepLines w:val="0"/>
        <w:widowControl w:val="0"/>
        <w:shd w:val="clear" w:color="auto" w:fill="auto"/>
        <w:bidi w:val="0"/>
        <w:spacing w:before="0" w:after="604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2021</w:t>
      </w:r>
      <w:r>
        <w:rPr>
          <w:b/>
          <w:bCs/>
          <w:color w:val="000000"/>
          <w:spacing w:val="0"/>
          <w:w w:val="100"/>
          <w:position w:val="0"/>
          <w:sz w:val="36"/>
          <w:szCs w:val="36"/>
        </w:rPr>
        <w:t>年年度报告</w:t>
      </w:r>
    </w:p>
    <w:p>
      <w:pPr>
        <w:pStyle w:val="Style2"/>
        <w:keepNext w:val="0"/>
        <w:keepLines w:val="0"/>
        <w:widowControl w:val="0"/>
        <w:shd w:val="clear" w:color="auto" w:fill="auto"/>
        <w:bidi w:val="0"/>
        <w:spacing w:before="0" w:after="76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2"/>
        <w:keepNext w:val="0"/>
        <w:keepLines w:val="0"/>
        <w:widowControl w:val="0"/>
        <w:shd w:val="clear" w:color="auto" w:fill="auto"/>
        <w:bidi w:val="0"/>
        <w:spacing w:before="0"/>
        <w:ind w:left="0" w:right="0"/>
        <w:jc w:val="both"/>
      </w:pPr>
      <w:r>
        <w:rPr>
          <w:color w:val="000000"/>
          <w:spacing w:val="0"/>
          <w:w w:val="100"/>
          <w:position w:val="0"/>
        </w:rPr>
        <w:t>公司负责人王腾、主管会计工作负责人任刚要及会计机构负责人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欧阳文根声明：保证本年度报告中财务报告的真实、准确、完整。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1" w:lineRule="exact"/>
        <w:ind w:left="0" w:right="0"/>
        <w:jc w:val="both"/>
      </w:pPr>
      <w:r>
        <w:rPr>
          <w:color w:val="000000"/>
          <w:spacing w:val="0"/>
          <w:w w:val="100"/>
          <w:position w:val="0"/>
        </w:rPr>
        <w:t>公司存在政策性风险、核心人员流失风险、智慧城市业务模式的风险、投 资并购及管理风险、商业模式创新风险、诉讼结果不确定的风险等风险，敬请 广大投资者注意投资风险。详细内容见本报告</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 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（三）风险因素</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810" w:right="1109" w:bottom="3778"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655,789,086</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68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pos="824" w:val="left"/>
          <w:tab w:leader="dot" w:pos="9615"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8"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51"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239"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31</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406"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421"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15"/>
        <w:keepNext w:val="0"/>
        <w:keepLines w:val="0"/>
        <w:widowControl w:val="0"/>
        <w:shd w:val="clear" w:color="auto" w:fill="auto"/>
        <w:tabs>
          <w:tab w:pos="824" w:val="left"/>
          <w:tab w:leader="dot" w:pos="9615" w:val="right"/>
        </w:tabs>
        <w:bidi w:val="0"/>
        <w:spacing w:before="0" w:line="240" w:lineRule="auto"/>
        <w:ind w:left="0" w:right="0" w:firstLine="0"/>
        <w:jc w:val="left"/>
      </w:pPr>
      <w:hyperlink w:anchor="bookmark575"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640"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643"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sectPr>
          <w:footnotePr>
            <w:pos w:val="pageBottom"/>
            <w:numFmt w:val="decimal"/>
            <w:numRestart w:val="continuous"/>
          </w:footnotePr>
          <w:pgSz w:w="11900" w:h="16840"/>
          <w:pgMar w:top="2862" w:right="1118" w:bottom="2862" w:left="1104" w:header="0" w:footer="3" w:gutter="0"/>
          <w:cols w:space="720"/>
          <w:noEndnote/>
          <w:rtlGutter w:val="0"/>
          <w:docGrid w:linePitch="360"/>
        </w:sectPr>
      </w:pPr>
      <w:hyperlink w:anchor="bookmark646"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65</w:t>
        </w:r>
      </w:hyperlink>
      <w:r>
        <w:fldChar w:fldCharType="end"/>
      </w:r>
    </w:p>
    <w:p>
      <w:pPr>
        <w:pStyle w:val="Style2"/>
        <w:keepNext w:val="0"/>
        <w:keepLines w:val="0"/>
        <w:widowControl w:val="0"/>
        <w:shd w:val="clear" w:color="auto" w:fill="auto"/>
        <w:bidi w:val="0"/>
        <w:spacing w:before="700" w:after="700" w:line="240" w:lineRule="auto"/>
        <w:ind w:left="0" w:right="0" w:firstLine="0"/>
        <w:jc w:val="center"/>
        <w:rPr>
          <w:sz w:val="32"/>
          <w:szCs w:val="32"/>
        </w:rPr>
      </w:pPr>
      <w:r>
        <w:rPr>
          <w:b/>
          <w:bCs/>
          <w:color w:val="000000"/>
          <w:spacing w:val="0"/>
          <w:w w:val="100"/>
          <w:position w:val="0"/>
          <w:sz w:val="32"/>
          <w:szCs w:val="32"/>
        </w:rPr>
        <w:t>备查文件目录</w:t>
      </w:r>
    </w:p>
    <w:p>
      <w:pPr>
        <w:pStyle w:val="Style18"/>
        <w:keepNext w:val="0"/>
        <w:keepLines w:val="0"/>
        <w:widowControl w:val="0"/>
        <w:shd w:val="clear" w:color="auto" w:fill="auto"/>
        <w:tabs>
          <w:tab w:pos="469" w:val="left"/>
        </w:tabs>
        <w:bidi w:val="0"/>
        <w:spacing w:before="0"/>
        <w:ind w:left="0" w:right="0" w:firstLine="0"/>
        <w:jc w:val="left"/>
      </w:pPr>
      <w:bookmarkStart w:id="3" w:name="bookmark3"/>
      <w:r>
        <w:rPr>
          <w:color w:val="000000"/>
          <w:spacing w:val="0"/>
          <w:w w:val="100"/>
          <w:position w:val="0"/>
        </w:rPr>
        <w:t>一</w:t>
      </w:r>
      <w:bookmarkEnd w:id="3"/>
      <w:r>
        <w:rPr>
          <w:color w:val="000000"/>
          <w:spacing w:val="0"/>
          <w:w w:val="100"/>
          <w:position w:val="0"/>
        </w:rPr>
        <w:t>、</w:t>
        <w:tab/>
        <w:t>载有公司负责人、主管会计工作的公司负责人、公司会计机构负责人（会计主管人员）签名并盖章 的财务报表。</w:t>
      </w:r>
    </w:p>
    <w:p>
      <w:pPr>
        <w:pStyle w:val="Style18"/>
        <w:keepNext w:val="0"/>
        <w:keepLines w:val="0"/>
        <w:widowControl w:val="0"/>
        <w:shd w:val="clear" w:color="auto" w:fill="auto"/>
        <w:tabs>
          <w:tab w:pos="469" w:val="left"/>
        </w:tabs>
        <w:bidi w:val="0"/>
        <w:spacing w:before="0"/>
        <w:ind w:left="0" w:right="0" w:firstLine="0"/>
        <w:jc w:val="left"/>
      </w:pPr>
      <w:bookmarkStart w:id="4" w:name="bookmark4"/>
      <w:r>
        <w:rPr>
          <w:color w:val="000000"/>
          <w:spacing w:val="0"/>
          <w:w w:val="100"/>
          <w:position w:val="0"/>
        </w:rPr>
        <w:t>二</w:t>
      </w:r>
      <w:bookmarkEnd w:id="4"/>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474" w:val="left"/>
        </w:tabs>
        <w:bidi w:val="0"/>
        <w:spacing w:before="0"/>
        <w:ind w:left="0" w:right="0" w:firstLine="0"/>
        <w:jc w:val="left"/>
      </w:pPr>
      <w:bookmarkStart w:id="5" w:name="bookmark5"/>
      <w:r>
        <w:rPr>
          <w:color w:val="000000"/>
          <w:spacing w:val="0"/>
          <w:w w:val="100"/>
          <w:position w:val="0"/>
        </w:rPr>
        <w:t>三</w:t>
      </w:r>
      <w:bookmarkEnd w:id="5"/>
      <w:r>
        <w:rPr>
          <w:color w:val="000000"/>
          <w:spacing w:val="0"/>
          <w:w w:val="100"/>
          <w:position w:val="0"/>
        </w:rPr>
        <w:t>、</w:t>
        <w:tab/>
        <w:t>报告期内在中国证监会指定网站上公开披露过的所有公司文件的正本及公告的原稿。</w:t>
      </w:r>
    </w:p>
    <w:p>
      <w:pPr>
        <w:pStyle w:val="Style18"/>
        <w:keepNext w:val="0"/>
        <w:keepLines w:val="0"/>
        <w:widowControl w:val="0"/>
        <w:shd w:val="clear" w:color="auto" w:fill="auto"/>
        <w:tabs>
          <w:tab w:pos="474" w:val="left"/>
        </w:tabs>
        <w:bidi w:val="0"/>
        <w:spacing w:before="0"/>
        <w:ind w:left="0" w:right="0" w:firstLine="0"/>
        <w:jc w:val="left"/>
      </w:pPr>
      <w:bookmarkStart w:id="6" w:name="bookmark6"/>
      <w:r>
        <w:rPr>
          <w:color w:val="000000"/>
          <w:spacing w:val="0"/>
          <w:w w:val="100"/>
          <w:position w:val="0"/>
        </w:rPr>
        <w:t>四</w:t>
      </w:r>
      <w:bookmarkEnd w:id="6"/>
      <w:r>
        <w:rPr>
          <w:color w:val="000000"/>
          <w:spacing w:val="0"/>
          <w:w w:val="100"/>
          <w:position w:val="0"/>
        </w:rPr>
        <w:t>、</w:t>
        <w:tab/>
        <w:t>其他相关资料。</w:t>
      </w:r>
    </w:p>
    <w:p>
      <w:pPr>
        <w:pStyle w:val="Style18"/>
        <w:keepNext w:val="0"/>
        <w:keepLines w:val="0"/>
        <w:widowControl w:val="0"/>
        <w:shd w:val="clear" w:color="auto" w:fill="auto"/>
        <w:bidi w:val="0"/>
        <w:spacing w:before="0"/>
        <w:ind w:left="0" w:right="0" w:firstLine="0"/>
        <w:jc w:val="left"/>
      </w:pPr>
      <w:r>
        <w:rPr>
          <w:color w:val="000000"/>
          <w:spacing w:val="0"/>
          <w:w w:val="100"/>
          <w:position w:val="0"/>
        </w:rPr>
        <w:t>以上备查文件的备置地点：公司证券管理部办公室。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136"/>
        <w:gridCol w:w="850"/>
        <w:gridCol w:w="66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公司、本公司、银江技术、 发行人、本集团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银江技术股份有限公司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最近三年、近三年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审计机构、中兴华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《深圳证券交易所创业板股票上市规则》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控股股东、银江科技集团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《银江技术股份有限公司章程》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银江技术股份有限公司股东大会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银江技术股份有限公司董事会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银江技术股份有限公司监事会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专门委员会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银江技术股份有限公司董事会提名委员会、银江技术股份有限公司董事会战略决策 委员会、银江技术股份有限公司董事会薪酬与考核委员会、银江技术股份有限公司 董事会审计委员会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智慧健康集团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杭州银江智慧健康集团有限公司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杭州银江智慧城市技术集团有限公司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浙江银江研究院有限公司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银江技术股份有限公司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年股票期权激励计划、银江技术股份有限公司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股票期权激励计划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产业基金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杭州银江智慧产业创业投资合伙企业（有限合伙）</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1"/>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一</w:t>
      </w:r>
      <w:bookmarkEnd w:id="12"/>
      <w:r>
        <w:rPr>
          <w:color w:val="000000"/>
          <w:spacing w:val="0"/>
          <w:w w:val="100"/>
          <w:position w:val="0"/>
        </w:rPr>
        <w:t>、公司信息</w:t>
      </w:r>
      <w:bookmarkEnd w:id="10"/>
      <w:bookmarkEnd w:id="11"/>
      <w:bookmarkEnd w:id="1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38"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银江技术</w:t>
              <w:tab/>
              <w:t>股票代码</w:t>
              <w:tab/>
            </w:r>
            <w:r>
              <w:rPr>
                <w:rFonts w:ascii="Times New Roman" w:eastAsia="Times New Roman" w:hAnsi="Times New Roman" w:cs="Times New Roman"/>
                <w:color w:val="000000"/>
                <w:spacing w:val="0"/>
                <w:w w:val="100"/>
                <w:position w:val="0"/>
                <w:sz w:val="18"/>
                <w:szCs w:val="18"/>
              </w:rPr>
              <w:t>300020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银江技术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Enjoyor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ENJOYOR</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浙江省杭州市益乐路</w:t>
            </w: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浙江省杭州市富阳区银湖街道九龙大道中国智谷富春园区</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"http://www.enjoyor.net" </w:instrText>
            </w:r>
            <w:r>
              <w:fldChar w:fldCharType="separate"/>
            </w:r>
            <w:r>
              <w:rPr>
                <w:rFonts w:ascii="Times New Roman" w:eastAsia="Times New Roman" w:hAnsi="Times New Roman" w:cs="Times New Roman"/>
                <w:color w:val="000000"/>
                <w:spacing w:val="0"/>
                <w:w w:val="100"/>
                <w:position w:val="0"/>
                <w:sz w:val="18"/>
                <w:szCs w:val="18"/>
              </w:rPr>
              <w:t>www.enjoyor.net</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"mailto:enjoyor@enjoyor.net" </w:instrText>
            </w:r>
            <w:r>
              <w:fldChar w:fldCharType="separate"/>
            </w:r>
            <w:r>
              <w:rPr>
                <w:rFonts w:ascii="Times New Roman" w:eastAsia="Times New Roman" w:hAnsi="Times New Roman" w:cs="Times New Roman"/>
                <w:color w:val="000000"/>
                <w:spacing w:val="0"/>
                <w:w w:val="100"/>
                <w:position w:val="0"/>
                <w:sz w:val="18"/>
                <w:szCs w:val="18"/>
              </w:rPr>
              <w:t>enjoyor@enjoyor.net</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2275"/>
        <w:gridCol w:w="3653"/>
        <w:gridCol w:w="365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花少富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吴孟立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浙江省杭州市富阳区银湖街道九龙大道中国 智谷富春园区</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浙江省杭州市富阳区银湖街道九龙大道中国 智谷富春园区</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幢</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"mailto:enjoyor@enjoyor.net" </w:instrText>
            </w:r>
            <w:r>
              <w:fldChar w:fldCharType="separate"/>
            </w:r>
            <w:r>
              <w:rPr>
                <w:rFonts w:ascii="Times New Roman" w:eastAsia="Times New Roman" w:hAnsi="Times New Roman" w:cs="Times New Roman"/>
                <w:color w:val="000000"/>
                <w:spacing w:val="0"/>
                <w:w w:val="100"/>
                <w:position w:val="0"/>
                <w:sz w:val="18"/>
                <w:szCs w:val="18"/>
              </w:rPr>
              <w:t>enjoyor@enjoyor.net</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"mailto:enjoyor@enjoyor.net" </w:instrText>
            </w:r>
            <w:r>
              <w:fldChar w:fldCharType="separate"/>
            </w:r>
            <w:r>
              <w:rPr>
                <w:rFonts w:ascii="Times New Roman" w:eastAsia="Times New Roman" w:hAnsi="Times New Roman" w:cs="Times New Roman"/>
                <w:color w:val="000000"/>
                <w:spacing w:val="0"/>
                <w:w w:val="100"/>
                <w:position w:val="0"/>
                <w:sz w:val="18"/>
                <w:szCs w:val="18"/>
              </w:rPr>
              <w:t>enjoyor@enjoyor.net</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3130"/>
        <w:gridCol w:w="64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深圳证券交易所官网，</w:t>
            </w:r>
            <w:r>
              <w:rPr>
                <w:rFonts w:ascii="Times New Roman" w:eastAsia="Times New Roman" w:hAnsi="Times New Roman" w:cs="Times New Roman"/>
                <w:color w:val="000000"/>
                <w:spacing w:val="0"/>
                <w:w w:val="100"/>
                <w:position w:val="0"/>
                <w:sz w:val="18"/>
                <w:szCs w:val="18"/>
              </w:rPr>
              <w:t>www.szse.cn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浙江省杭州市富阳区银湖街道九龙大道中国智谷富春园区</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楼证券管理部</w:t>
            </w:r>
          </w:p>
        </w:tc>
      </w:tr>
    </w:tbl>
    <w:p>
      <w:pPr>
        <w:spacing w:lineRule="exact" w:line="1"/>
        <w:rPr>
          <w:sz w:val="2"/>
          <w:szCs w:val="2"/>
        </w:rPr>
      </w:pPr>
      <w:r>
        <w:br w:type="page"/>
      </w:r>
    </w:p>
    <w:p>
      <w:pPr>
        <w:pStyle w:val="Style21"/>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、其他有关资料</w:t>
      </w:r>
      <w:bookmarkEnd w:id="22"/>
      <w:bookmarkEnd w:id="23"/>
      <w:bookmarkEnd w:id="25"/>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北京市丰台区东管头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2048-62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高敏建、庞玉文</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、主要会计数据和财务指标</w:t>
      </w:r>
      <w:bookmarkEnd w:id="26"/>
      <w:bookmarkEnd w:id="27"/>
      <w:bookmarkEnd w:id="2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685"/>
        <w:gridCol w:w="1685"/>
        <w:gridCol w:w="1680"/>
        <w:gridCol w:w="16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1,999,686,204.20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2,138,181,930.27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2,079,504,434.71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98,973,352.30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157,704,491.11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150,042,583.64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76,646,215.16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136,571,286.96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114,370,253.61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-260,368,904.13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-91,492,084.57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13,141,752.01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6,589,119,675.96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6,713,578,738.66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6,472,516,865.34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3,450,812,699.29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3,472,927,540.91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3,291,194,843.44</w:t>
            </w:r>
          </w:p>
        </w:tc>
      </w:tr>
    </w:tbl>
    <w:p>
      <w:pPr>
        <w:pStyle w:val="Style2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5"/>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1"/>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、分季度主要财务指标</w:t>
      </w:r>
      <w:bookmarkEnd w:id="30"/>
      <w:bookmarkEnd w:id="31"/>
      <w:bookmarkEnd w:id="3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507,725,465.84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582,299,337.69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399,627,612.55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510,033,788.12</w:t>
            </w:r>
          </w:p>
        </w:tc>
      </w:tr>
    </w:tbl>
    <w:p>
      <w:pPr>
        <w:spacing w:lineRule="exact" w:line="1"/>
        <w:rPr>
          <w:sz w:val="2"/>
          <w:szCs w:val="2"/>
        </w:rPr>
      </w:pPr>
      <w:r>
        <w:br w:type="page"/>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57,717,285.51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36,467,447.16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11,897,691.52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-7,109,071.89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46,209,771.29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35,229,832.15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7,217,537.74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-12,010,926.02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-396,391,183.96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7,966,089.71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-41,469,878.88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169,526,069.00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after="38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28"/>
        <w:keepNext/>
        <w:keepLines/>
        <w:widowControl w:val="0"/>
        <w:shd w:val="clear" w:color="auto" w:fill="auto"/>
        <w:tabs>
          <w:tab w:pos="403" w:val="left"/>
        </w:tabs>
        <w:bidi w:val="0"/>
        <w:spacing w:before="0" w:after="38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3" w:val="left"/>
        </w:tabs>
        <w:bidi w:val="0"/>
        <w:spacing w:before="0" w:after="38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8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w:t>
        <w:tab/>
        <w:t>非经常性损益项目及金额</w:t>
      </w:r>
      <w:bookmarkEnd w:id="46"/>
      <w:bookmarkEnd w:id="47"/>
      <w:bookmarkEnd w:id="49"/>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1397"/>
        <w:gridCol w:w="1402"/>
        <w:gridCol w:w="1397"/>
        <w:gridCol w:w="141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非流动资产处置损益（包括已计提资产减值准备的 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8,278,074.23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计入当期损益的政府补助（与公司正常经营业务密 切相关，符合国家政策规定、按照一定标准定额或 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2,755,611.09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8,838,812.97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10,307,181.71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10,425,715.00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21,550,317.00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 外，持有交易性金融资产、交易性金融负债产生的 公允价值变动损益，以及处置交易性金融资产交易 性金融负债和可供出售金融资产取得的投资收益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3,776,909.96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6,682,381.56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1,162,861.86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22,482,897.31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6,615,014.50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4,256,903.53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5,333,704.68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210,410.81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22,327,137.14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21,133,204.15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35,672,330.03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2" w:lineRule="exact"/>
        <w:ind w:left="0" w:right="0" w:firstLine="0"/>
        <w:jc w:val="both"/>
        <w:sectPr>
          <w:footnotePr>
            <w:pos w:val="pageBottom"/>
            <w:numFmt w:val="decimal"/>
            <w:numRestart w:val="continuous"/>
          </w:footnotePr>
          <w:pgSz w:w="11900" w:h="16840"/>
          <w:pgMar w:top="1393" w:right="1140" w:bottom="1561" w:left="1084"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0"/>
        <w:keepNext/>
        <w:keepLines/>
        <w:widowControl w:val="0"/>
        <w:shd w:val="clear" w:color="auto" w:fill="auto"/>
        <w:bidi w:val="0"/>
        <w:spacing w:before="540" w:line="240" w:lineRule="auto"/>
        <w:ind w:left="0" w:right="0" w:firstLine="0"/>
        <w:jc w:val="center"/>
      </w:pPr>
      <w:bookmarkStart w:id="50" w:name="bookmark50"/>
      <w:bookmarkStart w:id="51" w:name="bookmark51"/>
      <w:bookmarkStart w:id="52" w:name="bookmark52"/>
      <w:r>
        <w:rPr>
          <w:color w:val="000000"/>
          <w:spacing w:val="0"/>
          <w:w w:val="100"/>
          <w:position w:val="0"/>
        </w:rPr>
        <w:t>第三节管理层讨论与分析</w:t>
      </w:r>
      <w:bookmarkEnd w:id="50"/>
      <w:bookmarkEnd w:id="51"/>
      <w:bookmarkEnd w:id="52"/>
    </w:p>
    <w:p>
      <w:pPr>
        <w:pStyle w:val="Style21"/>
        <w:keepNext/>
        <w:keepLines/>
        <w:widowControl w:val="0"/>
        <w:shd w:val="clear" w:color="auto" w:fill="auto"/>
        <w:bidi w:val="0"/>
        <w:spacing w:before="0" w:after="26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rPr>
        <w:t>一</w:t>
      </w:r>
      <w:bookmarkEnd w:id="55"/>
      <w:r>
        <w:rPr>
          <w:color w:val="000000"/>
          <w:spacing w:val="0"/>
          <w:w w:val="100"/>
          <w:position w:val="0"/>
        </w:rPr>
        <w:t>、报告期内公司所处行业情况</w:t>
      </w:r>
      <w:bookmarkEnd w:id="53"/>
      <w:bookmarkEnd w:id="54"/>
      <w:bookmarkEnd w:id="56"/>
    </w:p>
    <w:p>
      <w:pPr>
        <w:pStyle w:val="Style25"/>
        <w:keepNext w:val="0"/>
        <w:keepLines w:val="0"/>
        <w:widowControl w:val="0"/>
        <w:shd w:val="clear" w:color="auto" w:fill="auto"/>
        <w:tabs>
          <w:tab w:pos="861" w:val="left"/>
        </w:tabs>
        <w:bidi w:val="0"/>
        <w:spacing w:before="0" w:after="0" w:line="313" w:lineRule="exact"/>
        <w:ind w:left="0" w:right="0"/>
        <w:jc w:val="both"/>
      </w:pPr>
      <w:bookmarkStart w:id="57" w:name="bookmark57"/>
      <w:r>
        <w:rPr>
          <w:b/>
          <w:bCs/>
          <w:color w:val="000000"/>
          <w:spacing w:val="0"/>
          <w:w w:val="100"/>
          <w:position w:val="0"/>
        </w:rPr>
        <w:t>（</w:t>
      </w:r>
      <w:bookmarkEnd w:id="57"/>
      <w:r>
        <w:rPr>
          <w:b/>
          <w:bCs/>
          <w:color w:val="000000"/>
          <w:spacing w:val="0"/>
          <w:w w:val="100"/>
          <w:position w:val="0"/>
        </w:rPr>
        <w:t>一）</w:t>
        <w:tab/>
        <w:t>所处行业现状</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中国智慧城市项目主要集中于华东、华南地区以及华中部分地区，受制于应用场景分散以及行业地域建设差异，目前中 国智慧城市存在较多弊端，未来数量有望持续突破。城市场景多元化使得对场景监测、管理以及预测难度较高，智慧城市用 数赋智加强城市精细化管理，贴合时代“双碳”环保目标，支撑城市产业高质量发展。智慧城市感知体系趋向全方位、全角 度、全场景化发展，通过立体化感知体系，智慧城市可深刻洞察城市“心理情绪”，助理城市集约高效建设。</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其中“十四五”规划明确了社会治理以及交通一体规划的重点工作方向，要求扩大交通运输领域的新基建投入；交通运 输部印发的《数字交通“十四五”发展规划》，为我国交通运输行业高质量发展提供了重要的方向指引，并强调数字交通建 设以数字化、网络化、智能化为主线，为交通强国建设提供支撑；交通运输部办公厅、公安部办公厅印发了《公路安全设施 和交通秩序管理精细化提升行动方案》，要求交通运输部门负责做好公路交通安全设施精细化提升工作，公安部门负责做好 交通秩序管理精细化提升工作。浙江省、四川省、江苏省以及上海闵行区、浦东新区等地，都相应出台了《社会治理十四五 规划》，要求各地深化基层服务体系建设、基层治理数字化转型，把握经济治理、社会治理、城市治理等统筹推进。</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国家及各个地方相关管控部门陆续出台相关政策，正是契合了公司在交通信息化管控、交通精细化治理以及基层治理的 业务及产品布局方向。其次，公司的业务主要来自于华东，我们所服务的客户以及目标客户具有较强的财政状况及支付能力。 这些城市的现代化建设较好，但是其所面临的的交通管控、基层治理的需求也比较大。结合公司“城市大脑建设运营服务商” 的战略方向，特别是在交通管控及基层治理的业务沉淀，我们对未来业务的获取和增长充满信心。</w:t>
      </w:r>
    </w:p>
    <w:p>
      <w:pPr>
        <w:pStyle w:val="Style25"/>
        <w:keepNext w:val="0"/>
        <w:keepLines w:val="0"/>
        <w:widowControl w:val="0"/>
        <w:shd w:val="clear" w:color="auto" w:fill="auto"/>
        <w:tabs>
          <w:tab w:pos="861" w:val="left"/>
        </w:tabs>
        <w:bidi w:val="0"/>
        <w:spacing w:before="0" w:after="0" w:line="313" w:lineRule="exact"/>
        <w:ind w:left="0" w:right="0"/>
        <w:jc w:val="both"/>
      </w:pPr>
      <w:bookmarkStart w:id="58" w:name="bookmark58"/>
      <w:r>
        <w:rPr>
          <w:b/>
          <w:bCs/>
          <w:color w:val="000000"/>
          <w:spacing w:val="0"/>
          <w:w w:val="100"/>
          <w:position w:val="0"/>
        </w:rPr>
        <w:t>（</w:t>
      </w:r>
      <w:bookmarkEnd w:id="58"/>
      <w:r>
        <w:rPr>
          <w:b/>
          <w:bCs/>
          <w:color w:val="000000"/>
          <w:spacing w:val="0"/>
          <w:w w:val="100"/>
          <w:position w:val="0"/>
        </w:rPr>
        <w:t>二）</w:t>
        <w:tab/>
        <w:t>行业政策信息</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到</w:t>
      </w:r>
      <w:r>
        <w:rPr>
          <w:color w:val="000000"/>
          <w:spacing w:val="0"/>
          <w:w w:val="100"/>
          <w:position w:val="0"/>
          <w:sz w:val="18"/>
          <w:szCs w:val="18"/>
        </w:rPr>
        <w:t>2020</w:t>
      </w:r>
      <w:r>
        <w:rPr>
          <w:color w:val="000000"/>
          <w:spacing w:val="0"/>
          <w:w w:val="100"/>
          <w:position w:val="0"/>
        </w:rPr>
        <w:t>年，在中国已经有近</w:t>
      </w:r>
      <w:r>
        <w:rPr>
          <w:color w:val="000000"/>
          <w:spacing w:val="0"/>
          <w:w w:val="100"/>
          <w:position w:val="0"/>
          <w:sz w:val="18"/>
          <w:szCs w:val="18"/>
        </w:rPr>
        <w:t>500</w:t>
      </w:r>
      <w:r>
        <w:rPr>
          <w:color w:val="000000"/>
          <w:spacing w:val="0"/>
          <w:w w:val="100"/>
          <w:position w:val="0"/>
        </w:rPr>
        <w:t>个城市启动“城市大脑”建设计划，成为当前新型智慧城市建设的热点。其中包括杭州、 上海、北京、福州、郑州、铜陵、广州等等城市，建设规模已经超过数百亿资金。（发布于《崛起的超级智能》）</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城市大脑是基于云计算、物联网、大数据、人工智能等新一代信息技术，打通横向各部门、纵向各层级的业务壁垒，充 分推进城市数据资源网络共享、集约整合、高效开发、全面赋能，支撑城市运行生命体征感知、公共资源配置优化、重大事 件预测预警、宏观决策指挥的新型基础设施。城市大脑的建设不仅仅是技术创新，更是社会创新，它揭示了城市未来的发展 模式，预示着城市文明新阶段的到来。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日，习近平总书记在视察杭州城市大脑运营指挥中心时指出，运用大数 据、云计算、区块链、人工智能等前沿技术推动城市管理手段、管理模式、管理理念创新，从数字化到智能化再到智慧化， 让城市更聪明一些、更智慧一些，是推动城市治理体系和治理能力现代化的必由之路，前景广阔。</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城市大脑是数据治理与运营的“催化剂”。城市大脑通过政务数据编目，汇聚融合各类数据，形成数据治理体系，统一 提供数据接口、共享和开放服务，逐步形成本地化的大数据资源中心，支撑城市各项智慧应用建设。通过搭建城市公共数据 资源赋能平台，可以打造一批数据调用服务组件，对外提供电子证照、地理信息、房屋等基础数据调用服务，也可通过数据 赋能，推动治理向基层下沉，减轻基层日常工作负担。</w:t>
      </w:r>
    </w:p>
    <w:p>
      <w:pPr>
        <w:pStyle w:val="Style2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城市大脑是城市治理的“使能者”。随着我国新型城镇化进程逐步推进，交通拥堵问题严重、公共安全事件频发、城 市污水和垃圾处理能力不足、环境污染加剧等“大城市病”日益突出，城市治理需要更高、更宽的视野和更新、更灵的工具， 城市大脑作为城市治理者的全新工具，通过全社会数据融合和资源整合，提升政府整体数据分析能力，为有效处理复杂社会 问题提供了新的手段。基于数据的科学决策能够推动政府管理理念和社会治理模式的进步，加快建设法治政府、创新政府、 廉洁政府和服务型政府，逐步实现政府治理能力现代化。</w:t>
      </w:r>
    </w:p>
    <w:p>
      <w:pPr>
        <w:pStyle w:val="Style2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城市大脑是产业发展的“助推剂”。城市大脑为产业升级和创新提供了赋能平台，促进传统产业转型升级，培育战略 性新兴产业。通过搭建数字经济“产业大脑”，可以绘制数字经济产业图谱，全方位多角度展示产业发展状况、产业全景图 和重点企业，并围绕产业链短板和提升节点，精准推荐招商靶向企业，为政府提供精准、专业、实时的线上招商服务。</w:t>
      </w:r>
    </w:p>
    <w:p>
      <w:pPr>
        <w:pStyle w:val="Style25"/>
        <w:keepNext w:val="0"/>
        <w:keepLines w:val="0"/>
        <w:widowControl w:val="0"/>
        <w:shd w:val="clear" w:color="auto" w:fill="auto"/>
        <w:tabs>
          <w:tab w:pos="861" w:val="left"/>
        </w:tabs>
        <w:bidi w:val="0"/>
        <w:spacing w:before="0" w:after="0" w:line="313" w:lineRule="exact"/>
        <w:ind w:left="0" w:right="0"/>
        <w:jc w:val="both"/>
      </w:pPr>
      <w:bookmarkStart w:id="59" w:name="bookmark59"/>
      <w:r>
        <w:rPr>
          <w:b/>
          <w:bCs/>
          <w:color w:val="000000"/>
          <w:spacing w:val="0"/>
          <w:w w:val="100"/>
          <w:position w:val="0"/>
        </w:rPr>
        <w:t>（</w:t>
      </w:r>
      <w:bookmarkEnd w:id="59"/>
      <w:r>
        <w:rPr>
          <w:b/>
          <w:bCs/>
          <w:color w:val="000000"/>
          <w:spacing w:val="0"/>
          <w:w w:val="100"/>
          <w:position w:val="0"/>
        </w:rPr>
        <w:t>三）</w:t>
        <w:tab/>
        <w:t>行业立法情况</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中国智慧市的建设面临着数据安全、权益保护、个人隐私保护、平台垄断等安全风险，国家层面和地方政府已在近年通 </w:t>
      </w:r>
      <w:r>
        <w:rPr>
          <w:color w:val="000000"/>
          <w:spacing w:val="0"/>
          <w:w w:val="100"/>
          <w:position w:val="0"/>
        </w:rPr>
        <w:t>过立法来促进和推动智慧城市安全建设及运行。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日，《杭州城市大脑赋能城市治理促进条例》经浙江省十三届 人大常委会第二十五次会议批准通过，并于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日起施行，这是全国城市大脑领域的首部地方性法规。城市大脑塑造 了精准治理的杭州形象，立法也推动了让数字治理变得有法可依，也为全国其他区域的城市大脑推广和基层治理的推广树立 了良好榜样作用。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日，国务院第</w:t>
      </w:r>
      <w:r>
        <w:rPr>
          <w:color w:val="000000"/>
          <w:spacing w:val="0"/>
          <w:w w:val="100"/>
          <w:position w:val="0"/>
          <w:sz w:val="18"/>
          <w:szCs w:val="18"/>
        </w:rPr>
        <w:t>133</w:t>
      </w:r>
      <w:r>
        <w:rPr>
          <w:color w:val="000000"/>
          <w:spacing w:val="0"/>
          <w:w w:val="100"/>
          <w:position w:val="0"/>
        </w:rPr>
        <w:t>次常务会议通过了《关键信息基础设施安全保护条例》</w:t>
      </w:r>
      <w:r>
        <w:rPr>
          <w:color w:val="000000"/>
          <w:spacing w:val="0"/>
          <w:w w:val="100"/>
          <w:position w:val="0"/>
          <w:sz w:val="18"/>
          <w:szCs w:val="18"/>
        </w:rPr>
        <w:t>，</w:t>
      </w:r>
      <w:r>
        <w:rPr>
          <w:color w:val="000000"/>
          <w:spacing w:val="0"/>
          <w:w w:val="100"/>
          <w:position w:val="0"/>
        </w:rPr>
        <w:t>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日起施行。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日，第十三届全国人民代表大会常务委员会第</w:t>
      </w:r>
      <w:r>
        <w:rPr>
          <w:color w:val="000000"/>
          <w:spacing w:val="0"/>
          <w:w w:val="100"/>
          <w:position w:val="0"/>
          <w:sz w:val="18"/>
          <w:szCs w:val="18"/>
        </w:rPr>
        <w:t>29</w:t>
      </w:r>
      <w:r>
        <w:rPr>
          <w:color w:val="000000"/>
          <w:spacing w:val="0"/>
          <w:w w:val="100"/>
          <w:position w:val="0"/>
        </w:rPr>
        <w:t>次会议于通过了《中华人民共和国数据安全法》</w:t>
      </w:r>
      <w:r>
        <w:rPr>
          <w:color w:val="000000"/>
          <w:spacing w:val="0"/>
          <w:w w:val="100"/>
          <w:position w:val="0"/>
          <w:sz w:val="18"/>
          <w:szCs w:val="18"/>
        </w:rPr>
        <w:t xml:space="preserve">， </w:t>
      </w:r>
      <w:r>
        <w:rPr>
          <w:color w:val="000000"/>
          <w:spacing w:val="0"/>
          <w:w w:val="100"/>
          <w:position w:val="0"/>
        </w:rPr>
        <w:t>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w:t>
      </w:r>
    </w:p>
    <w:p>
      <w:pPr>
        <w:pStyle w:val="Style25"/>
        <w:keepNext w:val="0"/>
        <w:keepLines w:val="0"/>
        <w:widowControl w:val="0"/>
        <w:shd w:val="clear" w:color="auto" w:fill="auto"/>
        <w:bidi w:val="0"/>
        <w:spacing w:before="0" w:after="0" w:line="312" w:lineRule="exact"/>
        <w:ind w:left="0" w:right="0"/>
        <w:jc w:val="both"/>
      </w:pPr>
      <w:bookmarkStart w:id="60" w:name="bookmark60"/>
      <w:r>
        <w:rPr>
          <w:b/>
          <w:bCs/>
          <w:color w:val="000000"/>
          <w:spacing w:val="0"/>
          <w:w w:val="100"/>
          <w:position w:val="0"/>
        </w:rPr>
        <w:t>（</w:t>
      </w:r>
      <w:bookmarkEnd w:id="60"/>
      <w:r>
        <w:rPr>
          <w:b/>
          <w:bCs/>
          <w:color w:val="000000"/>
          <w:spacing w:val="0"/>
          <w:w w:val="100"/>
          <w:position w:val="0"/>
        </w:rPr>
        <w:t>四）行业发展情况</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“十四五”期间城市大脑投资规模可达千亿。据不完全统计，截止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月底共</w:t>
      </w:r>
      <w:r>
        <w:rPr>
          <w:color w:val="000000"/>
          <w:spacing w:val="0"/>
          <w:w w:val="100"/>
          <w:position w:val="0"/>
          <w:sz w:val="18"/>
          <w:szCs w:val="18"/>
        </w:rPr>
        <w:t>129</w:t>
      </w:r>
      <w:r>
        <w:rPr>
          <w:color w:val="000000"/>
          <w:spacing w:val="0"/>
          <w:w w:val="100"/>
          <w:position w:val="0"/>
        </w:rPr>
        <w:t>个项目以“城市大脑”为名进行 招标，平均中标金额约为</w:t>
      </w:r>
      <w:r>
        <w:rPr>
          <w:color w:val="000000"/>
          <w:spacing w:val="0"/>
          <w:w w:val="100"/>
          <w:position w:val="0"/>
          <w:sz w:val="18"/>
          <w:szCs w:val="18"/>
        </w:rPr>
        <w:t>5500</w:t>
      </w:r>
      <w:r>
        <w:rPr>
          <w:color w:val="000000"/>
          <w:spacing w:val="0"/>
          <w:w w:val="100"/>
          <w:position w:val="0"/>
        </w:rPr>
        <w:t>万元，成为当前新型智慧城市建设热点。在全国</w:t>
      </w:r>
      <w:r>
        <w:rPr>
          <w:color w:val="000000"/>
          <w:spacing w:val="0"/>
          <w:w w:val="100"/>
          <w:position w:val="0"/>
          <w:sz w:val="18"/>
          <w:szCs w:val="18"/>
        </w:rPr>
        <w:t>36</w:t>
      </w:r>
      <w:r>
        <w:rPr>
          <w:color w:val="000000"/>
          <w:spacing w:val="0"/>
          <w:w w:val="100"/>
          <w:position w:val="0"/>
        </w:rPr>
        <w:t>个省级城市（含直辖市、计划单列市）、</w:t>
      </w:r>
      <w:r>
        <w:rPr>
          <w:color w:val="000000"/>
          <w:spacing w:val="0"/>
          <w:w w:val="100"/>
          <w:position w:val="0"/>
          <w:sz w:val="18"/>
          <w:szCs w:val="18"/>
        </w:rPr>
        <w:t xml:space="preserve">255 </w:t>
      </w:r>
      <w:r>
        <w:rPr>
          <w:color w:val="000000"/>
          <w:spacing w:val="0"/>
          <w:w w:val="100"/>
          <w:position w:val="0"/>
        </w:rPr>
        <w:t>个地级市和</w:t>
      </w:r>
      <w:r>
        <w:rPr>
          <w:color w:val="000000"/>
          <w:spacing w:val="0"/>
          <w:w w:val="100"/>
          <w:position w:val="0"/>
          <w:sz w:val="18"/>
          <w:szCs w:val="18"/>
        </w:rPr>
        <w:t>2851</w:t>
      </w:r>
      <w:r>
        <w:rPr>
          <w:color w:val="000000"/>
          <w:spacing w:val="0"/>
          <w:w w:val="100"/>
          <w:position w:val="0"/>
        </w:rPr>
        <w:t>个县级行政区中，完成或正在建设的城市不足</w:t>
      </w:r>
      <w:r>
        <w:rPr>
          <w:color w:val="000000"/>
          <w:spacing w:val="0"/>
          <w:w w:val="100"/>
          <w:position w:val="0"/>
          <w:sz w:val="18"/>
          <w:szCs w:val="18"/>
        </w:rPr>
        <w:t>2%，</w:t>
      </w:r>
      <w:r>
        <w:rPr>
          <w:color w:val="000000"/>
          <w:spacing w:val="0"/>
          <w:w w:val="100"/>
          <w:position w:val="0"/>
        </w:rPr>
        <w:t>根据中国信息通信研究院测算</w:t>
      </w:r>
      <w:r>
        <w:rPr>
          <w:color w:val="000000"/>
          <w:spacing w:val="0"/>
          <w:w w:val="100"/>
          <w:position w:val="0"/>
          <w:sz w:val="18"/>
          <w:szCs w:val="18"/>
        </w:rPr>
        <w:t>，2019</w:t>
      </w:r>
      <w:r>
        <w:rPr>
          <w:color w:val="000000"/>
          <w:spacing w:val="0"/>
          <w:w w:val="100"/>
          <w:position w:val="0"/>
        </w:rPr>
        <w:t>年全国智慧城市投资 总规模约为</w:t>
      </w:r>
      <w:r>
        <w:rPr>
          <w:color w:val="000000"/>
          <w:spacing w:val="0"/>
          <w:w w:val="100"/>
          <w:position w:val="0"/>
          <w:sz w:val="18"/>
          <w:szCs w:val="18"/>
        </w:rPr>
        <w:t>1.7</w:t>
      </w:r>
      <w:r>
        <w:rPr>
          <w:color w:val="000000"/>
          <w:spacing w:val="0"/>
          <w:w w:val="100"/>
          <w:position w:val="0"/>
        </w:rPr>
        <w:t>万亿元，而城市大脑占智慧城市总投资比例约为</w:t>
      </w:r>
      <w:r>
        <w:rPr>
          <w:color w:val="000000"/>
          <w:spacing w:val="0"/>
          <w:w w:val="100"/>
          <w:position w:val="0"/>
          <w:sz w:val="18"/>
          <w:szCs w:val="18"/>
        </w:rPr>
        <w:t>4%，</w:t>
      </w:r>
      <w:r>
        <w:rPr>
          <w:color w:val="000000"/>
          <w:spacing w:val="0"/>
          <w:w w:val="100"/>
          <w:position w:val="0"/>
        </w:rPr>
        <w:t>预计未来几年城市大脑项目可能保持</w:t>
      </w:r>
      <w:r>
        <w:rPr>
          <w:color w:val="000000"/>
          <w:spacing w:val="0"/>
          <w:w w:val="100"/>
          <w:position w:val="0"/>
          <w:sz w:val="18"/>
          <w:szCs w:val="18"/>
        </w:rPr>
        <w:t>100%</w:t>
      </w:r>
      <w:r>
        <w:rPr>
          <w:color w:val="000000"/>
          <w:spacing w:val="0"/>
          <w:w w:val="100"/>
          <w:position w:val="0"/>
        </w:rPr>
        <w:t>以上增速，十 四五期间城市大脑投资规模可达千亿。此外，在地域分布上，东部地区城市大脑建设数量遥遥领先，占比达到</w:t>
      </w:r>
      <w:r>
        <w:rPr>
          <w:color w:val="000000"/>
          <w:spacing w:val="0"/>
          <w:w w:val="100"/>
          <w:position w:val="0"/>
          <w:sz w:val="18"/>
          <w:szCs w:val="18"/>
        </w:rPr>
        <w:t>60%</w:t>
      </w:r>
      <w:r>
        <w:rPr>
          <w:color w:val="000000"/>
          <w:spacing w:val="0"/>
          <w:w w:val="100"/>
          <w:position w:val="0"/>
        </w:rPr>
        <w:t>，其中， 浙江省共</w:t>
      </w:r>
      <w:r>
        <w:rPr>
          <w:color w:val="000000"/>
          <w:spacing w:val="0"/>
          <w:w w:val="100"/>
          <w:position w:val="0"/>
          <w:sz w:val="18"/>
          <w:szCs w:val="18"/>
        </w:rPr>
        <w:t>17</w:t>
      </w:r>
      <w:r>
        <w:rPr>
          <w:color w:val="000000"/>
          <w:spacing w:val="0"/>
          <w:w w:val="100"/>
          <w:position w:val="0"/>
        </w:rPr>
        <w:t>个市县开始建设城市大脑，建设普及率全国第一。（来自于科技企业大杂烩）</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技术演进方面，数字挛生技术作为城市大脑的重要技术方向，纳入国家和地方发展战略体系。《中华人民共和国国民经 济和社会发展第十四个五年规划和</w:t>
      </w:r>
      <w:r>
        <w:rPr>
          <w:color w:val="000000"/>
          <w:spacing w:val="0"/>
          <w:w w:val="100"/>
          <w:position w:val="0"/>
          <w:sz w:val="18"/>
          <w:szCs w:val="18"/>
        </w:rPr>
        <w:t>2035</w:t>
      </w:r>
      <w:r>
        <w:rPr>
          <w:color w:val="000000"/>
          <w:spacing w:val="0"/>
          <w:w w:val="100"/>
          <w:position w:val="0"/>
        </w:rPr>
        <w:t>年远景目标纲要》明确提出要“探索建设数字挛生城市”。</w:t>
      </w:r>
      <w:r>
        <w:rPr>
          <w:color w:val="000000"/>
          <w:spacing w:val="0"/>
          <w:w w:val="100"/>
          <w:position w:val="0"/>
          <w:sz w:val="18"/>
          <w:szCs w:val="18"/>
        </w:rPr>
        <w:t>2020</w:t>
      </w:r>
      <w:r>
        <w:rPr>
          <w:color w:val="000000"/>
          <w:spacing w:val="0"/>
          <w:w w:val="100"/>
          <w:position w:val="0"/>
        </w:rPr>
        <w:t>年，国家发改委、科 技部、工信部、自然资源部、住建部等部委密集出台政策文件，有力推动城市信息模型</w:t>
      </w:r>
      <w:r>
        <w:rPr>
          <w:color w:val="000000"/>
          <w:spacing w:val="0"/>
          <w:w w:val="100"/>
          <w:position w:val="0"/>
          <w:sz w:val="18"/>
          <w:szCs w:val="18"/>
        </w:rPr>
        <w:t>（CIM）</w:t>
      </w:r>
      <w:r>
        <w:rPr>
          <w:color w:val="000000"/>
          <w:spacing w:val="0"/>
          <w:w w:val="100"/>
          <w:position w:val="0"/>
        </w:rPr>
        <w:t>及建筑信息模型</w:t>
      </w:r>
      <w:r>
        <w:rPr>
          <w:color w:val="000000"/>
          <w:spacing w:val="0"/>
          <w:w w:val="100"/>
          <w:position w:val="0"/>
          <w:sz w:val="18"/>
          <w:szCs w:val="18"/>
        </w:rPr>
        <w:t>（BIM）</w:t>
      </w:r>
      <w:r>
        <w:rPr>
          <w:color w:val="000000"/>
          <w:spacing w:val="0"/>
          <w:w w:val="100"/>
          <w:position w:val="0"/>
        </w:rPr>
        <w:t>相关 技术、产业与应用快速发展，助力数字挛生城市建设。随着数字挛生城市在雄安新区先行先试，数字挛生建设理念深入到各 地新型智慧城市规划中。上海市发布《关于进一步加快智慧城市建设的若干意见》，明确提出“探索建设数字挛生城市”； 海南省发布《智慧海南总体方案》，提出“到</w:t>
      </w:r>
      <w:r>
        <w:rPr>
          <w:color w:val="000000"/>
          <w:spacing w:val="0"/>
          <w:w w:val="100"/>
          <w:position w:val="0"/>
          <w:sz w:val="18"/>
          <w:szCs w:val="18"/>
        </w:rPr>
        <w:t>2025</w:t>
      </w:r>
      <w:r>
        <w:rPr>
          <w:color w:val="000000"/>
          <w:spacing w:val="0"/>
          <w:w w:val="100"/>
          <w:position w:val="0"/>
        </w:rPr>
        <w:t>年底，基本建成'数字挛生第一省</w:t>
      </w:r>
      <w:r>
        <w:rPr>
          <w:color w:val="000000"/>
          <w:spacing w:val="0"/>
          <w:w w:val="100"/>
          <w:position w:val="0"/>
          <w:sz w:val="18"/>
          <w:szCs w:val="18"/>
        </w:rPr>
        <w:t>’”；</w:t>
      </w:r>
      <w:r>
        <w:rPr>
          <w:color w:val="000000"/>
          <w:spacing w:val="0"/>
          <w:w w:val="100"/>
          <w:position w:val="0"/>
        </w:rPr>
        <w:t>浙江省提出建设数字挛生社区。 据中国信息通信研究院统计，</w:t>
      </w:r>
      <w:r>
        <w:rPr>
          <w:color w:val="000000"/>
          <w:spacing w:val="0"/>
          <w:w w:val="100"/>
          <w:position w:val="0"/>
          <w:sz w:val="18"/>
          <w:szCs w:val="18"/>
        </w:rPr>
        <w:t>2018</w:t>
      </w:r>
      <w:r>
        <w:rPr>
          <w:color w:val="000000"/>
          <w:spacing w:val="0"/>
          <w:w w:val="100"/>
          <w:position w:val="0"/>
        </w:rPr>
        <w:t>年城市信息模型</w:t>
      </w:r>
      <w:r>
        <w:rPr>
          <w:color w:val="000000"/>
          <w:spacing w:val="0"/>
          <w:w w:val="100"/>
          <w:position w:val="0"/>
          <w:sz w:val="18"/>
          <w:szCs w:val="18"/>
        </w:rPr>
        <w:t>（CIM）</w:t>
      </w:r>
      <w:r>
        <w:rPr>
          <w:color w:val="000000"/>
          <w:spacing w:val="0"/>
          <w:w w:val="100"/>
          <w:position w:val="0"/>
        </w:rPr>
        <w:t>相关投标项目全国仅有两项，</w:t>
      </w:r>
      <w:r>
        <w:rPr>
          <w:color w:val="000000"/>
          <w:spacing w:val="0"/>
          <w:w w:val="100"/>
          <w:position w:val="0"/>
          <w:sz w:val="18"/>
          <w:szCs w:val="18"/>
        </w:rPr>
        <w:t>2019</w:t>
      </w:r>
      <w:r>
        <w:rPr>
          <w:color w:val="000000"/>
          <w:spacing w:val="0"/>
          <w:w w:val="100"/>
          <w:position w:val="0"/>
        </w:rPr>
        <w:t>年新增</w:t>
      </w:r>
      <w:r>
        <w:rPr>
          <w:color w:val="000000"/>
          <w:spacing w:val="0"/>
          <w:w w:val="100"/>
          <w:position w:val="0"/>
          <w:sz w:val="18"/>
          <w:szCs w:val="18"/>
        </w:rPr>
        <w:t>8</w:t>
      </w:r>
      <w:r>
        <w:rPr>
          <w:color w:val="000000"/>
          <w:spacing w:val="0"/>
          <w:w w:val="100"/>
          <w:position w:val="0"/>
        </w:rPr>
        <w:t>项，</w:t>
      </w:r>
      <w:r>
        <w:rPr>
          <w:color w:val="000000"/>
          <w:spacing w:val="0"/>
          <w:w w:val="100"/>
          <w:position w:val="0"/>
          <w:sz w:val="18"/>
          <w:szCs w:val="18"/>
        </w:rPr>
        <w:t>2020</w:t>
      </w:r>
      <w:r>
        <w:rPr>
          <w:color w:val="000000"/>
          <w:spacing w:val="0"/>
          <w:w w:val="100"/>
          <w:position w:val="0"/>
        </w:rPr>
        <w:t>年（截至</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10</w:t>
      </w:r>
      <w:r>
        <w:rPr>
          <w:color w:val="000000"/>
          <w:spacing w:val="0"/>
          <w:w w:val="100"/>
          <w:position w:val="0"/>
        </w:rPr>
        <w:t>月）新增</w:t>
      </w:r>
      <w:r>
        <w:rPr>
          <w:color w:val="000000"/>
          <w:spacing w:val="0"/>
          <w:w w:val="100"/>
          <w:position w:val="0"/>
          <w:sz w:val="18"/>
          <w:szCs w:val="18"/>
        </w:rPr>
        <w:t>19</w:t>
      </w:r>
      <w:r>
        <w:rPr>
          <w:color w:val="000000"/>
          <w:spacing w:val="0"/>
          <w:w w:val="100"/>
          <w:position w:val="0"/>
        </w:rPr>
        <w:t>项，增长迅猛，标志城市信息模型已加速进入到探索推广阶段。</w:t>
      </w:r>
    </w:p>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业务功能方面，一网统管成为城市大脑的发展方向，着力构建跨领域、跨层级高效调度体系。各地城市大脑着重提升 协同联动能力，深化“一网统管”建设，一方面聚焦公共安全、应急管理、规划建设、城市网格化管理、交通管理、市场监 管、生态环境等重点领域，实现态势全面感知、风险监测预警、趋势智能研判、资源统筹调度、行动人机协同；另一方面打 破“层层上报、层层审批”传统上传下达方式，改变数据采集慢、融合难、整理耗时等顽疾，着力构建“市、区、街道社区” 三级联动体系，实现快速灵活综合调度。例如疫情防控初期，传统数据报送处理方式层级多，数据从采集、整理、摸排、上 报到发布要一天左右，海口城市大脑疫情防控智能指挥平台建立“市、区、街道社区”三级联防联控体系，基层人员和公众 可直报数据到城市大脑，城市大脑处置命令直达工作人员，实现命令下达、执行跟踪、摸排上报、群防群治全链路快速闭环， 避免了多级数据采集和命令传达。</w:t>
      </w:r>
    </w:p>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应用支撑方面，城市大脑发挥城市基础设施作用，助力应用快速开发，为应用场景开发节省时间和成本。疫情前期发 展迅速，急需快速搭建疫情监测、人口排查、防控指挥等新应用，城市大脑可基于基础支撑平台、成熟应用组件库、基础数 据库等，快速搭建疫情防控新平台。例如杭州基于城市大脑快速开发健康码平台，将开发周期从常规的</w:t>
      </w:r>
      <w:r>
        <w:rPr>
          <w:color w:val="000000"/>
          <w:spacing w:val="0"/>
          <w:w w:val="100"/>
          <w:position w:val="0"/>
          <w:sz w:val="18"/>
          <w:szCs w:val="18"/>
        </w:rPr>
        <w:t>4</w:t>
      </w:r>
      <w:r>
        <w:rPr>
          <w:color w:val="000000"/>
          <w:spacing w:val="0"/>
          <w:w w:val="100"/>
          <w:position w:val="0"/>
        </w:rPr>
        <w:t>周缩短到</w:t>
      </w:r>
      <w:r>
        <w:rPr>
          <w:color w:val="000000"/>
          <w:spacing w:val="0"/>
          <w:w w:val="100"/>
          <w:position w:val="0"/>
          <w:sz w:val="18"/>
          <w:szCs w:val="18"/>
        </w:rPr>
        <w:t>16</w:t>
      </w:r>
      <w:r>
        <w:rPr>
          <w:color w:val="000000"/>
          <w:spacing w:val="0"/>
          <w:w w:val="100"/>
          <w:position w:val="0"/>
        </w:rPr>
        <w:t>小时； 北京海淀区基于城市大脑的“时空一张图”和</w:t>
      </w:r>
      <w:r>
        <w:rPr>
          <w:color w:val="000000"/>
          <w:spacing w:val="0"/>
          <w:w w:val="100"/>
          <w:position w:val="0"/>
          <w:sz w:val="18"/>
          <w:szCs w:val="18"/>
        </w:rPr>
        <w:t>“AI</w:t>
      </w:r>
      <w:r>
        <w:rPr>
          <w:color w:val="000000"/>
          <w:spacing w:val="0"/>
          <w:w w:val="100"/>
          <w:position w:val="0"/>
        </w:rPr>
        <w:t>计算平台”等快速上线疫情防控平台。</w:t>
      </w:r>
    </w:p>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产业生态方面，企业基于四大核心优势入局城市大脑领域，形成群雄逐鹿产业格局。一是以云数为内核的生态整合实 力，基于“云+数”优势，通过打造城市级“云数”平台，面向合作伙伴打造“合作生态”，合作伙伴基于平台快速构建应 用层，提供最后一公里的服务。如华为依托同时提供云管端协同</w:t>
      </w:r>
      <w:r>
        <w:rPr>
          <w:color w:val="000000"/>
          <w:spacing w:val="0"/>
          <w:w w:val="100"/>
          <w:position w:val="0"/>
          <w:sz w:val="18"/>
          <w:szCs w:val="18"/>
        </w:rPr>
        <w:t>IC T</w:t>
      </w:r>
      <w:r>
        <w:rPr>
          <w:color w:val="000000"/>
          <w:spacing w:val="0"/>
          <w:w w:val="100"/>
          <w:position w:val="0"/>
        </w:rPr>
        <w:t>产品与解决方案的能力，打造数据底座，提供云计算服 务、新</w:t>
      </w:r>
      <w:r>
        <w:rPr>
          <w:color w:val="000000"/>
          <w:spacing w:val="0"/>
          <w:w w:val="100"/>
          <w:position w:val="0"/>
          <w:sz w:val="18"/>
          <w:szCs w:val="18"/>
        </w:rPr>
        <w:t>ICT</w:t>
      </w:r>
      <w:r>
        <w:rPr>
          <w:color w:val="000000"/>
          <w:spacing w:val="0"/>
          <w:w w:val="100"/>
          <w:position w:val="0"/>
        </w:rPr>
        <w:t>能力和行业使能，构建开放的数字化生态。二是以</w:t>
      </w:r>
      <w:r>
        <w:rPr>
          <w:color w:val="000000"/>
          <w:spacing w:val="0"/>
          <w:w w:val="100"/>
          <w:position w:val="0"/>
          <w:sz w:val="18"/>
          <w:szCs w:val="18"/>
        </w:rPr>
        <w:t>AI</w:t>
      </w:r>
      <w:r>
        <w:rPr>
          <w:color w:val="000000"/>
          <w:spacing w:val="0"/>
          <w:w w:val="100"/>
          <w:position w:val="0"/>
        </w:rPr>
        <w:t>为核心的技术实力，基于</w:t>
      </w:r>
      <w:r>
        <w:rPr>
          <w:color w:val="000000"/>
          <w:spacing w:val="0"/>
          <w:w w:val="100"/>
          <w:position w:val="0"/>
          <w:sz w:val="18"/>
          <w:szCs w:val="18"/>
        </w:rPr>
        <w:t>AI</w:t>
      </w:r>
      <w:r>
        <w:rPr>
          <w:color w:val="000000"/>
          <w:spacing w:val="0"/>
          <w:w w:val="100"/>
          <w:position w:val="0"/>
        </w:rPr>
        <w:t>核心技术，提供更多具有</w:t>
      </w:r>
      <w:r>
        <w:rPr>
          <w:color w:val="000000"/>
          <w:spacing w:val="0"/>
          <w:w w:val="100"/>
          <w:position w:val="0"/>
          <w:sz w:val="18"/>
          <w:szCs w:val="18"/>
        </w:rPr>
        <w:t>“AI</w:t>
      </w:r>
      <w:r>
        <w:rPr>
          <w:color w:val="000000"/>
          <w:spacing w:val="0"/>
          <w:w w:val="100"/>
          <w:position w:val="0"/>
        </w:rPr>
        <w:t>思 维”的解决方案，迅速打开市场空间。如百度基于百度大脑和</w:t>
      </w:r>
      <w:r>
        <w:rPr>
          <w:color w:val="000000"/>
          <w:spacing w:val="0"/>
          <w:w w:val="100"/>
          <w:position w:val="0"/>
          <w:sz w:val="18"/>
          <w:szCs w:val="18"/>
        </w:rPr>
        <w:t>AI</w:t>
      </w:r>
      <w:r>
        <w:rPr>
          <w:color w:val="000000"/>
          <w:spacing w:val="0"/>
          <w:w w:val="100"/>
          <w:position w:val="0"/>
        </w:rPr>
        <w:t>核心技术，提出</w:t>
      </w:r>
      <w:r>
        <w:rPr>
          <w:color w:val="000000"/>
          <w:spacing w:val="0"/>
          <w:w w:val="100"/>
          <w:position w:val="0"/>
          <w:sz w:val="18"/>
          <w:szCs w:val="18"/>
        </w:rPr>
        <w:t>AI</w:t>
      </w:r>
      <w:r>
        <w:rPr>
          <w:color w:val="000000"/>
          <w:spacing w:val="0"/>
          <w:w w:val="100"/>
          <w:position w:val="0"/>
        </w:rPr>
        <w:t>智能城市</w:t>
      </w:r>
      <w:r>
        <w:rPr>
          <w:color w:val="000000"/>
          <w:spacing w:val="0"/>
          <w:w w:val="100"/>
          <w:position w:val="0"/>
          <w:sz w:val="18"/>
          <w:szCs w:val="18"/>
        </w:rPr>
        <w:t>“ACE</w:t>
      </w:r>
      <w:r>
        <w:rPr>
          <w:color w:val="000000"/>
          <w:spacing w:val="0"/>
          <w:w w:val="100"/>
          <w:position w:val="0"/>
        </w:rPr>
        <w:t>王牌计划”，引入自动驾 驶汽车、智慧道路车路协同，提升车和路的智能化水平，引入自主泊车，帮助驾驶员节省找停车位的时间。三是便捷触达公 众优势，依托城市服务平台便捷触达公众优势，让城市智能中枢的应用工具和应用场景的多样性上具有得天独厚的优势，形 成技术与场景的点线面结合。如腾讯提出构建</w:t>
      </w:r>
      <w:r>
        <w:rPr>
          <w:color w:val="000000"/>
          <w:spacing w:val="0"/>
          <w:w w:val="100"/>
          <w:position w:val="0"/>
          <w:sz w:val="18"/>
          <w:szCs w:val="18"/>
        </w:rPr>
        <w:t>“WeCity</w:t>
      </w:r>
      <w:r>
        <w:rPr>
          <w:color w:val="000000"/>
          <w:spacing w:val="0"/>
          <w:w w:val="100"/>
          <w:position w:val="0"/>
        </w:rPr>
        <w:t>未来城市”</w:t>
      </w:r>
      <w:r>
        <w:rPr>
          <w:color w:val="000000"/>
          <w:spacing w:val="0"/>
          <w:w w:val="100"/>
          <w:position w:val="0"/>
          <w:sz w:val="18"/>
          <w:szCs w:val="18"/>
        </w:rPr>
        <w:t>，</w:t>
      </w:r>
      <w:r>
        <w:rPr>
          <w:color w:val="000000"/>
          <w:spacing w:val="0"/>
          <w:w w:val="100"/>
          <w:position w:val="0"/>
        </w:rPr>
        <w:t>以腾讯云的基础产品和能力为底层，为数字政务、城市 治理、城市决策和产业互联等领域提供解决方案，并通过微信、小程序等工具触达用户。四是系统集成能力，传统集成商依 托强大的产业链上下游整合、整体解决方案提供和售后服务能力等优势，积极入局城市智能中枢建设，如</w:t>
      </w:r>
      <w:r>
        <w:rPr>
          <w:color w:val="000000"/>
          <w:spacing w:val="0"/>
          <w:w w:val="100"/>
          <w:position w:val="0"/>
          <w:sz w:val="18"/>
          <w:szCs w:val="18"/>
        </w:rPr>
        <w:t>2020</w:t>
      </w:r>
      <w:r>
        <w:rPr>
          <w:color w:val="000000"/>
          <w:spacing w:val="0"/>
          <w:w w:val="100"/>
          <w:position w:val="0"/>
        </w:rPr>
        <w:t>年中软国际</w:t>
      </w:r>
      <w:r>
        <w:rPr>
          <w:color w:val="000000"/>
          <w:spacing w:val="0"/>
          <w:w w:val="100"/>
          <w:position w:val="0"/>
          <w:sz w:val="18"/>
          <w:szCs w:val="18"/>
        </w:rPr>
        <w:t>1</w:t>
      </w:r>
      <w:r>
        <w:rPr>
          <w:color w:val="000000"/>
          <w:spacing w:val="0"/>
          <w:w w:val="100"/>
          <w:position w:val="0"/>
          <w:sz w:val="18"/>
          <w:szCs w:val="18"/>
        </w:rPr>
        <w:t xml:space="preserve">.47 </w:t>
      </w:r>
      <w:r>
        <w:rPr>
          <w:color w:val="000000"/>
          <w:spacing w:val="0"/>
          <w:w w:val="100"/>
          <w:position w:val="0"/>
        </w:rPr>
        <w:t>亿中标张家港城市大脑项目。</w:t>
      </w:r>
    </w:p>
    <w:p>
      <w:pPr>
        <w:pStyle w:val="Style25"/>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本次新冠肺炎疫情期间，城市大脑暴露出平台赋能不足、业务支撑不力、建设运营模式不清晰等问题。一是平台赋能 不足，城市大脑组件化工具化能力较弱，难以快速提供上层系统需要的大数据、物联网感知、城市信息模型等服务，场景灵 活搭建和系统快速生成能力不强，亟需打造城市大脑支撑平台全面赋能上层应用。二是跨部门业务协同型场景支撑不力，城 市大脑中涉及多部门联动处置的业务经常出现“数据盲区、数据打架”等问题，一张图规划、一盘棋管理等跨部门跨行业应 用场景效果不明显，对决策指挥、联防共治造成困难，需城市大脑针对跨部门业务需求打造一批典型场景和超级应用。三是 城市大脑长效运营模式不清晰，城市大脑系统复杂度高、技术更新迭代快、所需资金巨大，需建立长效运营理念，建立与技 术支撑、制度建设相匹配的城市级建设运营服务体系，引入具有定制化服务、长效运营增值、生态伙伴培引等能力的本地运 营机构支撑。</w:t>
      </w:r>
    </w:p>
    <w:p>
      <w:pPr>
        <w:pStyle w:val="Style21"/>
        <w:keepNext/>
        <w:keepLines/>
        <w:widowControl w:val="0"/>
        <w:shd w:val="clear" w:color="auto" w:fill="auto"/>
        <w:bidi w:val="0"/>
        <w:spacing w:before="0" w:after="26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rPr>
        <w:t>二</w:t>
      </w:r>
      <w:bookmarkEnd w:id="63"/>
      <w:r>
        <w:rPr>
          <w:color w:val="000000"/>
          <w:spacing w:val="0"/>
          <w:w w:val="100"/>
          <w:position w:val="0"/>
        </w:rPr>
        <w:t>、报告期内公司从事的主要业务</w:t>
      </w:r>
      <w:bookmarkEnd w:id="61"/>
      <w:bookmarkEnd w:id="62"/>
      <w:bookmarkEnd w:id="64"/>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2021</w:t>
      </w:r>
      <w:r>
        <w:rPr>
          <w:color w:val="000000"/>
          <w:spacing w:val="0"/>
          <w:w w:val="100"/>
          <w:position w:val="0"/>
        </w:rPr>
        <w:t>年，全球新冠疫情仍在蔓延，面对不确定性因素，公司在业务转型升级的同时努力克服新冠肺炎疫情对公司经营发 展带来的影响。</w:t>
      </w:r>
      <w:r>
        <w:rPr>
          <w:color w:val="000000"/>
          <w:spacing w:val="0"/>
          <w:w w:val="100"/>
          <w:position w:val="0"/>
          <w:sz w:val="18"/>
          <w:szCs w:val="18"/>
        </w:rPr>
        <w:t>2021</w:t>
      </w:r>
      <w:r>
        <w:rPr>
          <w:color w:val="000000"/>
          <w:spacing w:val="0"/>
          <w:w w:val="100"/>
          <w:position w:val="0"/>
        </w:rPr>
        <w:t>年是我国“十四五”规划的开局之年，也是我国现代化建设进程中具有特殊重要性的一年。</w:t>
      </w:r>
      <w:r>
        <w:rPr>
          <w:color w:val="000000"/>
          <w:spacing w:val="0"/>
          <w:w w:val="100"/>
          <w:position w:val="0"/>
          <w:sz w:val="18"/>
          <w:szCs w:val="18"/>
        </w:rPr>
        <w:t>2021</w:t>
      </w:r>
      <w:r>
        <w:rPr>
          <w:color w:val="000000"/>
          <w:spacing w:val="0"/>
          <w:w w:val="100"/>
          <w:position w:val="0"/>
        </w:rPr>
        <w:t>年，公 司坚持以“城市大脑建设运营服务商”核心战略定位，积极拥抱数字经济、数字改革、新基建、城市现代化建设带来的发展 机遇，全力推动交通</w:t>
      </w:r>
      <w:r>
        <w:rPr>
          <w:color w:val="000000"/>
          <w:spacing w:val="0"/>
          <w:w w:val="100"/>
          <w:position w:val="0"/>
          <w:sz w:val="18"/>
          <w:szCs w:val="18"/>
        </w:rPr>
        <w:t>AI</w:t>
      </w:r>
      <w:r>
        <w:rPr>
          <w:color w:val="000000"/>
          <w:spacing w:val="0"/>
          <w:w w:val="100"/>
          <w:position w:val="0"/>
        </w:rPr>
        <w:t>治理、社会治理、物联网医疗发展的新高度。报告期内，公司在转型中不断调整收入结构，实现营业 收入</w:t>
      </w:r>
      <w:r>
        <w:rPr>
          <w:color w:val="000000"/>
          <w:spacing w:val="0"/>
          <w:w w:val="100"/>
          <w:position w:val="0"/>
          <w:sz w:val="18"/>
          <w:szCs w:val="18"/>
        </w:rPr>
        <w:t>1,999,686,204.2</w:t>
      </w:r>
      <w:r>
        <w:rPr>
          <w:color w:val="000000"/>
          <w:spacing w:val="0"/>
          <w:w w:val="100"/>
          <w:position w:val="0"/>
          <w:sz w:val="18"/>
          <w:szCs w:val="18"/>
        </w:rPr>
        <w:t>0</w:t>
      </w:r>
      <w:r>
        <w:rPr>
          <w:color w:val="000000"/>
          <w:spacing w:val="0"/>
          <w:w w:val="100"/>
          <w:position w:val="0"/>
        </w:rPr>
        <w:t>元，同比下降</w:t>
      </w:r>
      <w:r>
        <w:rPr>
          <w:color w:val="000000"/>
          <w:spacing w:val="0"/>
          <w:w w:val="100"/>
          <w:position w:val="0"/>
          <w:sz w:val="18"/>
          <w:szCs w:val="18"/>
        </w:rPr>
        <w:t>6.48%，</w:t>
      </w:r>
      <w:r>
        <w:rPr>
          <w:color w:val="000000"/>
          <w:spacing w:val="0"/>
          <w:w w:val="100"/>
          <w:position w:val="0"/>
        </w:rPr>
        <w:t>归属于上市公司股东的净利润</w:t>
      </w:r>
      <w:r>
        <w:rPr>
          <w:color w:val="000000"/>
          <w:spacing w:val="0"/>
          <w:w w:val="100"/>
          <w:position w:val="0"/>
          <w:sz w:val="18"/>
          <w:szCs w:val="18"/>
        </w:rPr>
        <w:t xml:space="preserve">98, </w:t>
      </w:r>
      <w:r>
        <w:rPr>
          <w:color w:val="000000"/>
          <w:spacing w:val="0"/>
          <w:w w:val="100"/>
          <w:position w:val="0"/>
          <w:sz w:val="18"/>
          <w:szCs w:val="18"/>
        </w:rPr>
        <w:t>973,352.30</w:t>
      </w:r>
      <w:r>
        <w:rPr>
          <w:color w:val="000000"/>
          <w:spacing w:val="0"/>
          <w:w w:val="100"/>
          <w:position w:val="0"/>
        </w:rPr>
        <w:t>元，同比下降</w:t>
      </w:r>
      <w:r>
        <w:rPr>
          <w:color w:val="000000"/>
          <w:spacing w:val="0"/>
          <w:w w:val="100"/>
          <w:position w:val="0"/>
          <w:sz w:val="18"/>
          <w:szCs w:val="18"/>
        </w:rPr>
        <w:t xml:space="preserve">37. </w:t>
      </w:r>
      <w:r>
        <w:rPr>
          <w:color w:val="000000"/>
          <w:spacing w:val="0"/>
          <w:w w:val="100"/>
          <w:position w:val="0"/>
          <w:sz w:val="18"/>
          <w:szCs w:val="18"/>
        </w:rPr>
        <w:t>24%</w:t>
      </w:r>
      <w:r>
        <w:rPr>
          <w:color w:val="000000"/>
          <w:spacing w:val="0"/>
          <w:w w:val="100"/>
          <w:position w:val="0"/>
        </w:rPr>
        <w:t>，归属于上市 公司股东的扣除非经常损益净利润</w:t>
      </w:r>
      <w:r>
        <w:rPr>
          <w:color w:val="000000"/>
          <w:spacing w:val="0"/>
          <w:w w:val="100"/>
          <w:position w:val="0"/>
          <w:sz w:val="18"/>
          <w:szCs w:val="18"/>
        </w:rPr>
        <w:t xml:space="preserve">76,646,215. </w:t>
      </w:r>
      <w:r>
        <w:rPr>
          <w:color w:val="000000"/>
          <w:spacing w:val="0"/>
          <w:w w:val="100"/>
          <w:position w:val="0"/>
          <w:sz w:val="18"/>
          <w:szCs w:val="18"/>
        </w:rPr>
        <w:t>16</w:t>
      </w:r>
      <w:r>
        <w:rPr>
          <w:color w:val="000000"/>
          <w:spacing w:val="0"/>
          <w:w w:val="100"/>
          <w:position w:val="0"/>
        </w:rPr>
        <w:t>万元，同比下降</w:t>
      </w:r>
      <w:r>
        <w:rPr>
          <w:color w:val="000000"/>
          <w:spacing w:val="0"/>
          <w:w w:val="100"/>
          <w:position w:val="0"/>
          <w:sz w:val="18"/>
          <w:szCs w:val="18"/>
        </w:rPr>
        <w:t xml:space="preserve">43. </w:t>
      </w:r>
      <w:r>
        <w:rPr>
          <w:color w:val="000000"/>
          <w:spacing w:val="0"/>
          <w:w w:val="100"/>
          <w:position w:val="0"/>
          <w:sz w:val="18"/>
          <w:szCs w:val="18"/>
        </w:rPr>
        <w:t>88%</w:t>
      </w:r>
      <w:r>
        <w:rPr>
          <w:color w:val="000000"/>
          <w:spacing w:val="0"/>
          <w:w w:val="100"/>
          <w:position w:val="0"/>
        </w:rPr>
        <w:t>。</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报告期内，公司具体经营情况回顾如下：</w:t>
      </w:r>
    </w:p>
    <w:p>
      <w:pPr>
        <w:pStyle w:val="Style25"/>
        <w:keepNext w:val="0"/>
        <w:keepLines w:val="0"/>
        <w:widowControl w:val="0"/>
        <w:shd w:val="clear" w:color="auto" w:fill="auto"/>
        <w:bidi w:val="0"/>
        <w:spacing w:before="0" w:after="0" w:line="313" w:lineRule="exact"/>
        <w:ind w:left="0" w:right="0"/>
        <w:jc w:val="both"/>
      </w:pPr>
      <w:bookmarkStart w:id="65" w:name="bookmark65"/>
      <w:r>
        <w:rPr>
          <w:b/>
          <w:bCs/>
          <w:color w:val="000000"/>
          <w:spacing w:val="0"/>
          <w:w w:val="100"/>
          <w:position w:val="0"/>
        </w:rPr>
        <w:t>（</w:t>
      </w:r>
      <w:bookmarkEnd w:id="65"/>
      <w:r>
        <w:rPr>
          <w:b/>
          <w:bCs/>
          <w:color w:val="000000"/>
          <w:spacing w:val="0"/>
          <w:w w:val="100"/>
          <w:position w:val="0"/>
        </w:rPr>
        <w:t>一）</w:t>
      </w:r>
      <w:r>
        <w:rPr>
          <w:b/>
          <w:bCs/>
          <w:color w:val="000000"/>
          <w:spacing w:val="0"/>
          <w:w w:val="100"/>
          <w:position w:val="0"/>
        </w:rPr>
        <w:t>AI</w:t>
      </w:r>
      <w:r>
        <w:rPr>
          <w:b/>
          <w:bCs/>
          <w:color w:val="000000"/>
          <w:spacing w:val="0"/>
          <w:w w:val="100"/>
          <w:position w:val="0"/>
        </w:rPr>
        <w:t>赋能交通综合治理，试点落地全息路口</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报告期内，公司传统智能交通业务稳健发展，交通</w:t>
      </w:r>
      <w:r>
        <w:rPr>
          <w:color w:val="000000"/>
          <w:spacing w:val="0"/>
          <w:w w:val="100"/>
          <w:position w:val="0"/>
          <w:sz w:val="18"/>
          <w:szCs w:val="18"/>
        </w:rPr>
        <w:t>AI</w:t>
      </w:r>
      <w:r>
        <w:rPr>
          <w:color w:val="000000"/>
          <w:spacing w:val="0"/>
          <w:w w:val="100"/>
          <w:position w:val="0"/>
        </w:rPr>
        <w:t>治理业务模式得到良好推广复制，交通治理产品和解决方案持续提 升和推陈出新，逐步巩固和扩大了市场。</w:t>
      </w:r>
    </w:p>
    <w:p>
      <w:pPr>
        <w:pStyle w:val="Style25"/>
        <w:keepNext w:val="0"/>
        <w:keepLines w:val="0"/>
        <w:widowControl w:val="0"/>
        <w:shd w:val="clear" w:color="auto" w:fill="auto"/>
        <w:tabs>
          <w:tab w:pos="654" w:val="left"/>
        </w:tabs>
        <w:bidi w:val="0"/>
        <w:spacing w:before="0" w:after="0" w:line="313" w:lineRule="exact"/>
        <w:ind w:left="0" w:right="0"/>
        <w:jc w:val="both"/>
      </w:pPr>
      <w:bookmarkStart w:id="66" w:name="bookmark66"/>
      <w:r>
        <w:rPr>
          <w:color w:val="000000"/>
          <w:spacing w:val="0"/>
          <w:w w:val="100"/>
          <w:position w:val="0"/>
          <w:sz w:val="18"/>
          <w:szCs w:val="18"/>
        </w:rPr>
        <w:t>1</w:t>
      </w:r>
      <w:bookmarkEnd w:id="66"/>
      <w:r>
        <w:rPr>
          <w:color w:val="000000"/>
          <w:spacing w:val="0"/>
          <w:w w:val="100"/>
          <w:position w:val="0"/>
        </w:rPr>
        <w:t>、</w:t>
        <w:tab/>
        <w:t>深入推进</w:t>
      </w:r>
      <w:r>
        <w:rPr>
          <w:color w:val="000000"/>
          <w:spacing w:val="0"/>
          <w:w w:val="100"/>
          <w:position w:val="0"/>
          <w:sz w:val="18"/>
          <w:szCs w:val="18"/>
        </w:rPr>
        <w:t>AI</w:t>
      </w:r>
      <w:r>
        <w:rPr>
          <w:color w:val="000000"/>
          <w:spacing w:val="0"/>
          <w:w w:val="100"/>
          <w:position w:val="0"/>
        </w:rPr>
        <w:t>交通治理，探索疫情下业务新模式</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报告期内，公司加大交通</w:t>
      </w:r>
      <w:r>
        <w:rPr>
          <w:color w:val="000000"/>
          <w:spacing w:val="0"/>
          <w:w w:val="100"/>
          <w:position w:val="0"/>
          <w:sz w:val="18"/>
          <w:szCs w:val="18"/>
        </w:rPr>
        <w:t>AI</w:t>
      </w:r>
      <w:r>
        <w:rPr>
          <w:color w:val="000000"/>
          <w:spacing w:val="0"/>
          <w:w w:val="100"/>
          <w:position w:val="0"/>
        </w:rPr>
        <w:t>治理市场开拓，在实战环境中进一步升级和丰富全域交通</w:t>
      </w:r>
      <w:r>
        <w:rPr>
          <w:color w:val="000000"/>
          <w:spacing w:val="0"/>
          <w:w w:val="100"/>
          <w:position w:val="0"/>
          <w:sz w:val="18"/>
          <w:szCs w:val="18"/>
        </w:rPr>
        <w:t>AI</w:t>
      </w:r>
      <w:r>
        <w:rPr>
          <w:color w:val="000000"/>
          <w:spacing w:val="0"/>
          <w:w w:val="100"/>
          <w:position w:val="0"/>
        </w:rPr>
        <w:t>治理产品体系，面向学校、医院、 商圈等高频出行场景的标准化产品体系输出和数字化运营服务能力得到了提升。报告期内，公司交通</w:t>
      </w:r>
      <w:r>
        <w:rPr>
          <w:color w:val="000000"/>
          <w:spacing w:val="0"/>
          <w:w w:val="100"/>
          <w:position w:val="0"/>
          <w:sz w:val="18"/>
          <w:szCs w:val="18"/>
        </w:rPr>
        <w:t>AI</w:t>
      </w:r>
      <w:r>
        <w:rPr>
          <w:color w:val="000000"/>
          <w:spacing w:val="0"/>
          <w:w w:val="100"/>
          <w:position w:val="0"/>
        </w:rPr>
        <w:t>治理业务为杭州持续 保障城市道路畅行和易拥堵场景治理，布局亚运会场景下的交通精细化治理提供了解决方案。重点实现了南昌、西昌、辽源 等城市的业务落地，在德州、黄冈、无锡等城市开拓交通</w:t>
      </w:r>
      <w:r>
        <w:rPr>
          <w:color w:val="000000"/>
          <w:spacing w:val="0"/>
          <w:w w:val="100"/>
          <w:position w:val="0"/>
          <w:sz w:val="18"/>
          <w:szCs w:val="18"/>
        </w:rPr>
        <w:t>AI</w:t>
      </w:r>
      <w:r>
        <w:rPr>
          <w:color w:val="000000"/>
          <w:spacing w:val="0"/>
          <w:w w:val="100"/>
          <w:position w:val="0"/>
        </w:rPr>
        <w:t>治理业务，进一步提高全域交通</w:t>
      </w:r>
      <w:r>
        <w:rPr>
          <w:color w:val="000000"/>
          <w:spacing w:val="0"/>
          <w:w w:val="100"/>
          <w:position w:val="0"/>
          <w:sz w:val="18"/>
          <w:szCs w:val="18"/>
        </w:rPr>
        <w:t>AI</w:t>
      </w:r>
      <w:r>
        <w:rPr>
          <w:color w:val="000000"/>
          <w:spacing w:val="0"/>
          <w:w w:val="100"/>
          <w:position w:val="0"/>
        </w:rPr>
        <w:t>治理产品的市场契合度。受新 冠疫情影响，市场面临的不确定性增强，市场拓展和项目交付遭受一定程度冲击，公司逐步探索交通</w:t>
      </w:r>
      <w:r>
        <w:rPr>
          <w:color w:val="000000"/>
          <w:spacing w:val="0"/>
          <w:w w:val="100"/>
          <w:position w:val="0"/>
          <w:sz w:val="18"/>
          <w:szCs w:val="18"/>
        </w:rPr>
        <w:t>AI</w:t>
      </w:r>
      <w:r>
        <w:rPr>
          <w:color w:val="000000"/>
          <w:spacing w:val="0"/>
          <w:w w:val="100"/>
          <w:position w:val="0"/>
        </w:rPr>
        <w:t>治理业务在不同城市 的推进和合作模式。</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面向高频出行场景的交通精细化治理具有针对性强、精准度高、见效快、轻量化等特点，能够面向各级政府、社区、园 区、企事业单位等具有交通治理需求的主体，提供一站式、个性化交通治理解决方案。针对新冠疫情的不确定性和每个城市 交通市场特点，公司依托市场渠道和分子公司，推进交通</w:t>
      </w:r>
      <w:r>
        <w:rPr>
          <w:color w:val="000000"/>
          <w:spacing w:val="0"/>
          <w:w w:val="100"/>
          <w:position w:val="0"/>
          <w:sz w:val="18"/>
          <w:szCs w:val="18"/>
        </w:rPr>
        <w:t>AI</w:t>
      </w:r>
      <w:r>
        <w:rPr>
          <w:color w:val="000000"/>
          <w:spacing w:val="0"/>
          <w:w w:val="100"/>
          <w:position w:val="0"/>
        </w:rPr>
        <w:t>治理业务培训，加强本地业务能力，探索运营本地化的业务推进 模式。同时，探索服务工具云化部署和云服务，采取远程部署和服务，尽可能降低新冠疫情对交付的冲击，降低交付成本， 提高毛利率。报告期内，交通</w:t>
      </w:r>
      <w:r>
        <w:rPr>
          <w:color w:val="000000"/>
          <w:spacing w:val="0"/>
          <w:w w:val="100"/>
          <w:position w:val="0"/>
          <w:sz w:val="18"/>
          <w:szCs w:val="18"/>
        </w:rPr>
        <w:t>AI</w:t>
      </w:r>
      <w:r>
        <w:rPr>
          <w:color w:val="000000"/>
          <w:spacing w:val="0"/>
          <w:w w:val="100"/>
          <w:position w:val="0"/>
        </w:rPr>
        <w:t>治理业务已初步完成了对一二三四线城市的布局或试点工作，同时取得了客户的续约订单。 公司将进一步做稳做深现有市场，提升高质量服务输出能力，加大新点位抢占力度。</w:t>
      </w:r>
    </w:p>
    <w:p>
      <w:pPr>
        <w:pStyle w:val="Style25"/>
        <w:keepNext w:val="0"/>
        <w:keepLines w:val="0"/>
        <w:widowControl w:val="0"/>
        <w:shd w:val="clear" w:color="auto" w:fill="auto"/>
        <w:tabs>
          <w:tab w:pos="664" w:val="left"/>
        </w:tabs>
        <w:bidi w:val="0"/>
        <w:spacing w:before="0" w:after="0" w:line="313" w:lineRule="exact"/>
        <w:ind w:left="0" w:right="0"/>
        <w:jc w:val="both"/>
      </w:pPr>
      <w:bookmarkStart w:id="67" w:name="bookmark67"/>
      <w:r>
        <w:rPr>
          <w:color w:val="000000"/>
          <w:spacing w:val="0"/>
          <w:w w:val="100"/>
          <w:position w:val="0"/>
          <w:sz w:val="18"/>
          <w:szCs w:val="18"/>
        </w:rPr>
        <w:t>2</w:t>
      </w:r>
      <w:bookmarkEnd w:id="67"/>
      <w:r>
        <w:rPr>
          <w:color w:val="000000"/>
          <w:spacing w:val="0"/>
          <w:w w:val="100"/>
          <w:position w:val="0"/>
        </w:rPr>
        <w:t>、</w:t>
        <w:tab/>
        <w:t>做优交通数字化运营服务，增强产品标准化输出能力</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城市交通数字化运营服务是在城市大脑的赋能下，结合城市特点、专家经验与机器智能，充分发挥数据与智能算法的价 值的一种道路治理服务，是“城市大脑</w:t>
      </w:r>
      <w:r>
        <w:rPr>
          <w:color w:val="000000"/>
          <w:spacing w:val="0"/>
          <w:w w:val="100"/>
          <w:position w:val="0"/>
        </w:rPr>
        <w:t>一一</w:t>
      </w:r>
      <w:r>
        <w:rPr>
          <w:color w:val="000000"/>
          <w:spacing w:val="0"/>
          <w:w w:val="100"/>
          <w:position w:val="0"/>
        </w:rPr>
        <w:t>交通”板块的核心模块。该服务以全域交通</w:t>
      </w:r>
      <w:r>
        <w:rPr>
          <w:color w:val="000000"/>
          <w:spacing w:val="0"/>
          <w:w w:val="100"/>
          <w:position w:val="0"/>
          <w:sz w:val="18"/>
          <w:szCs w:val="18"/>
        </w:rPr>
        <w:t>AI</w:t>
      </w:r>
      <w:r>
        <w:rPr>
          <w:color w:val="000000"/>
          <w:spacing w:val="0"/>
          <w:w w:val="100"/>
          <w:position w:val="0"/>
        </w:rPr>
        <w:t>治理平台和运营服务行标为依托， 同时也是交通</w:t>
      </w:r>
      <w:r>
        <w:rPr>
          <w:color w:val="000000"/>
          <w:spacing w:val="0"/>
          <w:w w:val="100"/>
          <w:position w:val="0"/>
          <w:sz w:val="18"/>
          <w:szCs w:val="18"/>
        </w:rPr>
        <w:t>AI</w:t>
      </w:r>
      <w:r>
        <w:rPr>
          <w:color w:val="000000"/>
          <w:spacing w:val="0"/>
          <w:w w:val="100"/>
          <w:position w:val="0"/>
        </w:rPr>
        <w:t>治理业务开拓市场的重要切入点。公司以杭州交通信号配时中心为样板，总结并研发了一套交通数字化运营 的工具和机制，不断探索业务开展模式、业务规范与效果评价机制，形成了一套商业模式。报告期内，城市交通数字化运营 服务稳扎杭州、南昌、太原、西昌等基地，不断提升服务创新能力和高质量输出能力。</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在杭州，以杭州交通信号配时中心为核心，将城市交通数字化运营的商业模式渗入到富阳、拱墅、西湖、亚运村等区县 街道，支撑学校、医院、亚运等场景下的交通治理。在南昌，以红谷滩区试点，精细化调配、干线协调精准化控制的信号控 制方案重点治理了万达广场、赣江中大道、九龙大道等路段区域，疏通交通拥堵，营造畅通南昌。在西昌，以信号配时为抓 手，紧紧围绕“消红变绿、疏堵保畅”的中心思路，实现交通信号管理智能化、处置流程化、治理精细化，保障了彝族年、 </w:t>
      </w:r>
      <w:r>
        <w:rPr>
          <w:color w:val="000000"/>
          <w:spacing w:val="0"/>
          <w:w w:val="100"/>
          <w:position w:val="0"/>
        </w:rPr>
        <w:t>火把节等重要活动。</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在各地推广过程中，根据城市规模、区域级别、当地交通特点等市场特性，在运营服务模式、运营服务标准、运营服务 培训、运营服务人员等方面为城市量身定制业务组合，更高效地解决当地交通场景问题。城市交通数字化运营服务通过各种 营销渠道在全国各地进行推广，不断探索服务高质量的标准化落地模式。在菏泽、焦作、黄冈、辽源等地深入开展调研，设 计契合当地交通治理需求的运营服务方案，提升服务标准化输出速度和质量。</w:t>
      </w:r>
    </w:p>
    <w:p>
      <w:pPr>
        <w:pStyle w:val="Style25"/>
        <w:keepNext w:val="0"/>
        <w:keepLines w:val="0"/>
        <w:widowControl w:val="0"/>
        <w:shd w:val="clear" w:color="auto" w:fill="auto"/>
        <w:tabs>
          <w:tab w:pos="664" w:val="left"/>
        </w:tabs>
        <w:bidi w:val="0"/>
        <w:spacing w:before="0" w:after="0" w:line="317" w:lineRule="exact"/>
        <w:ind w:left="0" w:right="0"/>
        <w:jc w:val="both"/>
      </w:pPr>
      <w:bookmarkStart w:id="68" w:name="bookmark68"/>
      <w:r>
        <w:rPr>
          <w:color w:val="000000"/>
          <w:spacing w:val="0"/>
          <w:w w:val="100"/>
          <w:position w:val="0"/>
          <w:sz w:val="18"/>
          <w:szCs w:val="18"/>
        </w:rPr>
        <w:t>3</w:t>
      </w:r>
      <w:bookmarkEnd w:id="68"/>
      <w:r>
        <w:rPr>
          <w:color w:val="000000"/>
          <w:spacing w:val="0"/>
          <w:w w:val="100"/>
          <w:position w:val="0"/>
        </w:rPr>
        <w:t>、</w:t>
        <w:tab/>
        <w:t>交通治理产品丰富完善，交付能力进一步增强</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报告期内，全域交通</w:t>
      </w:r>
      <w:r>
        <w:rPr>
          <w:color w:val="000000"/>
          <w:spacing w:val="0"/>
          <w:w w:val="100"/>
          <w:position w:val="0"/>
          <w:sz w:val="18"/>
          <w:szCs w:val="18"/>
        </w:rPr>
        <w:t>AI</w:t>
      </w:r>
      <w:r>
        <w:rPr>
          <w:color w:val="000000"/>
          <w:spacing w:val="0"/>
          <w:w w:val="100"/>
          <w:position w:val="0"/>
        </w:rPr>
        <w:t>治理产品体系的数据、平台、服务、设备全面升级，日趋成熟，产品性能和应用成效在实战中都 得到明显提升，且具备快速部署能力。</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公司自研城市级全域交通</w:t>
      </w:r>
      <w:r>
        <w:rPr>
          <w:color w:val="000000"/>
          <w:spacing w:val="0"/>
          <w:w w:val="100"/>
          <w:position w:val="0"/>
          <w:sz w:val="18"/>
          <w:szCs w:val="18"/>
        </w:rPr>
        <w:t>AI</w:t>
      </w:r>
      <w:r>
        <w:rPr>
          <w:color w:val="000000"/>
          <w:spacing w:val="0"/>
          <w:w w:val="100"/>
          <w:position w:val="0"/>
        </w:rPr>
        <w:t>控制系统。该平台融合</w:t>
      </w:r>
      <w:r>
        <w:rPr>
          <w:color w:val="000000"/>
          <w:spacing w:val="0"/>
          <w:w w:val="100"/>
          <w:position w:val="0"/>
          <w:sz w:val="18"/>
          <w:szCs w:val="18"/>
        </w:rPr>
        <w:t>AI</w:t>
      </w:r>
      <w:r>
        <w:rPr>
          <w:color w:val="000000"/>
          <w:spacing w:val="0"/>
          <w:w w:val="100"/>
          <w:position w:val="0"/>
        </w:rPr>
        <w:t>算法能力与大数据处理能力，具备全域</w:t>
      </w:r>
      <w:r>
        <w:rPr>
          <w:color w:val="000000"/>
          <w:spacing w:val="0"/>
          <w:w w:val="100"/>
          <w:position w:val="0"/>
          <w:sz w:val="18"/>
          <w:szCs w:val="18"/>
        </w:rPr>
        <w:t>AI</w:t>
      </w:r>
      <w:r>
        <w:rPr>
          <w:color w:val="000000"/>
          <w:spacing w:val="0"/>
          <w:w w:val="100"/>
          <w:position w:val="0"/>
        </w:rPr>
        <w:t>交通分析、预测、推演和 控制能力。数据中台流式数据处理引擎和模型更加丰富，以批流一体的数据处理技术，提升了对数据进行高通量、低延迟的 处理能力，实现数据质量控制、数据标准化、动静态数据实时融合，最终挖掘数据价值，能够更好地保障数据质量，减少数 据实时融合所需时间，服务上层应用。报告期内，公司先后在杭州、南昌、太原、辽源等地开展交通数据治理。自研路口管 家能对静态交通数据进行集中录入和管理，在杭州和南昌等城市上线，建立精细化的路口档案。公司研发统一数据模型，自 研产品信控专家打通信控平台协议，搭建集成统一信控平台，实现云端对多品牌信号机集成统一控制，提高信控平台的集成 度、易用性和智能化水平。该产品正在试验路口通过</w:t>
      </w:r>
      <w:r>
        <w:rPr>
          <w:color w:val="000000"/>
          <w:spacing w:val="0"/>
          <w:w w:val="100"/>
          <w:position w:val="0"/>
          <w:sz w:val="18"/>
          <w:szCs w:val="18"/>
        </w:rPr>
        <w:t>5G</w:t>
      </w:r>
      <w:r>
        <w:rPr>
          <w:color w:val="000000"/>
          <w:spacing w:val="0"/>
          <w:w w:val="100"/>
          <w:position w:val="0"/>
        </w:rPr>
        <w:t>信号直接控制信号机，集成度、易用性进一步增强。配时评价监测平 台制定了全面的评价体系，多维度地对优化前后效果进行评价，实现整个配时工作的业务闭环，并以专家配时方案库训练</w:t>
      </w:r>
      <w:r>
        <w:rPr>
          <w:color w:val="000000"/>
          <w:spacing w:val="0"/>
          <w:w w:val="100"/>
          <w:position w:val="0"/>
          <w:sz w:val="18"/>
          <w:szCs w:val="18"/>
        </w:rPr>
        <w:t xml:space="preserve">AI </w:t>
      </w:r>
      <w:r>
        <w:rPr>
          <w:color w:val="000000"/>
          <w:spacing w:val="0"/>
          <w:w w:val="100"/>
          <w:position w:val="0"/>
        </w:rPr>
        <w:t>算法能力，实现</w:t>
      </w:r>
      <w:r>
        <w:rPr>
          <w:color w:val="000000"/>
          <w:spacing w:val="0"/>
          <w:w w:val="100"/>
          <w:position w:val="0"/>
          <w:sz w:val="18"/>
          <w:szCs w:val="18"/>
        </w:rPr>
        <w:t>AI</w:t>
      </w:r>
      <w:r>
        <w:rPr>
          <w:color w:val="000000"/>
          <w:spacing w:val="0"/>
          <w:w w:val="100"/>
          <w:position w:val="0"/>
        </w:rPr>
        <w:t>越用越智慧。</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基于原有全域交通</w:t>
      </w:r>
      <w:r>
        <w:rPr>
          <w:color w:val="000000"/>
          <w:spacing w:val="0"/>
          <w:w w:val="100"/>
          <w:position w:val="0"/>
          <w:sz w:val="18"/>
          <w:szCs w:val="18"/>
        </w:rPr>
        <w:t>AI</w:t>
      </w:r>
      <w:r>
        <w:rPr>
          <w:color w:val="000000"/>
          <w:spacing w:val="0"/>
          <w:w w:val="100"/>
          <w:position w:val="0"/>
        </w:rPr>
        <w:t>治理软件产品，公司自研了面向特定路段或特殊任务的“绿波在线平台”。该平台是一款集绿波协 调、控制、评价等功能的产品，能有效解决城市协调线路难以统一的问题，提高道路运行速度，提升交通参与者的出行体验。 报告期内，绿波在线平台已在杭州上线，完成多次迭代，获得了业主好评。</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公司持续加大在交通运输、交通治理等细分领域业务布局的同时，联合杭州市交通规划设计研究院，积极深入探索目标 高速公路前期规划设计；主动布局全息路口等行业创新解决方案，赋能城市交通治理；在面向未来高速公路智慧服务区的打 造上，提出了”交通+旅游”的创新解决方案，有效增强了在相关领域的行业竞争力。</w:t>
      </w:r>
    </w:p>
    <w:p>
      <w:pPr>
        <w:pStyle w:val="Style25"/>
        <w:keepNext w:val="0"/>
        <w:keepLines w:val="0"/>
        <w:widowControl w:val="0"/>
        <w:shd w:val="clear" w:color="auto" w:fill="auto"/>
        <w:tabs>
          <w:tab w:pos="669" w:val="left"/>
        </w:tabs>
        <w:bidi w:val="0"/>
        <w:spacing w:before="0" w:after="0" w:line="313" w:lineRule="exact"/>
        <w:ind w:left="0" w:right="0"/>
        <w:jc w:val="both"/>
      </w:pPr>
      <w:bookmarkStart w:id="69" w:name="bookmark69"/>
      <w:r>
        <w:rPr>
          <w:color w:val="000000"/>
          <w:spacing w:val="0"/>
          <w:w w:val="100"/>
          <w:position w:val="0"/>
          <w:sz w:val="18"/>
          <w:szCs w:val="18"/>
        </w:rPr>
        <w:t>4</w:t>
      </w:r>
      <w:bookmarkEnd w:id="69"/>
      <w:r>
        <w:rPr>
          <w:color w:val="000000"/>
          <w:spacing w:val="0"/>
          <w:w w:val="100"/>
          <w:position w:val="0"/>
        </w:rPr>
        <w:t>、</w:t>
        <w:tab/>
        <w:t>智慧路口上路测试，全息路口协同赋能</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w:t>
      </w:r>
      <w:r>
        <w:rPr>
          <w:color w:val="000000"/>
          <w:spacing w:val="0"/>
          <w:w w:val="100"/>
          <w:position w:val="0"/>
          <w:sz w:val="18"/>
          <w:szCs w:val="18"/>
        </w:rPr>
        <w:t>HERO</w:t>
      </w:r>
      <w:r>
        <w:rPr>
          <w:color w:val="000000"/>
          <w:spacing w:val="0"/>
          <w:w w:val="100"/>
          <w:position w:val="0"/>
        </w:rPr>
        <w:t>交通信号机及通信协议通过公安部认证，产品具备与公司自研信控云平台及</w:t>
      </w:r>
      <w:r>
        <w:rPr>
          <w:color w:val="000000"/>
          <w:spacing w:val="0"/>
          <w:w w:val="100"/>
          <w:position w:val="0"/>
          <w:sz w:val="18"/>
          <w:szCs w:val="18"/>
        </w:rPr>
        <w:t>AI</w:t>
      </w:r>
      <w:r>
        <w:rPr>
          <w:color w:val="000000"/>
          <w:spacing w:val="0"/>
          <w:w w:val="100"/>
          <w:position w:val="0"/>
        </w:rPr>
        <w:t>交通治理业务进行无缝整 合的能力。</w:t>
      </w:r>
      <w:r>
        <w:rPr>
          <w:color w:val="000000"/>
          <w:spacing w:val="0"/>
          <w:w w:val="100"/>
          <w:position w:val="0"/>
          <w:sz w:val="18"/>
          <w:szCs w:val="18"/>
        </w:rPr>
        <w:t>HERO</w:t>
      </w:r>
      <w:r>
        <w:rPr>
          <w:color w:val="000000"/>
          <w:spacing w:val="0"/>
          <w:w w:val="100"/>
          <w:position w:val="0"/>
        </w:rPr>
        <w:t>信号机是公司面向未来“云边端”体系自主研发的一款边缘计算设备。产品基于物联网</w:t>
      </w:r>
      <w:r>
        <w:rPr>
          <w:color w:val="000000"/>
          <w:spacing w:val="0"/>
          <w:w w:val="100"/>
          <w:position w:val="0"/>
          <w:sz w:val="18"/>
          <w:szCs w:val="18"/>
        </w:rPr>
        <w:t>MQTT</w:t>
      </w:r>
      <w:r>
        <w:rPr>
          <w:color w:val="000000"/>
          <w:spacing w:val="0"/>
          <w:w w:val="100"/>
          <w:position w:val="0"/>
        </w:rPr>
        <w:t>通讯框架，可以 提供实时在线和通讯完整性，服务可靠性高。</w:t>
      </w:r>
      <w:r>
        <w:rPr>
          <w:color w:val="000000"/>
          <w:spacing w:val="0"/>
          <w:w w:val="100"/>
          <w:position w:val="0"/>
          <w:sz w:val="18"/>
          <w:szCs w:val="18"/>
        </w:rPr>
        <w:t>HERO</w:t>
      </w:r>
      <w:r>
        <w:rPr>
          <w:color w:val="000000"/>
          <w:spacing w:val="0"/>
          <w:w w:val="100"/>
          <w:position w:val="0"/>
        </w:rPr>
        <w:t>信号机除了支持传统信号机多时段控制、远程控制、感应控制、手动执行 应急控制、行人过街按钮控制、实时故障监测等基本功能外，该产品还具备三大特点：弹性边缘计算能力，可以部署</w:t>
      </w:r>
      <w:r>
        <w:rPr>
          <w:color w:val="000000"/>
          <w:spacing w:val="0"/>
          <w:w w:val="100"/>
          <w:position w:val="0"/>
          <w:sz w:val="18"/>
          <w:szCs w:val="18"/>
        </w:rPr>
        <w:t>AI</w:t>
      </w:r>
      <w:r>
        <w:rPr>
          <w:color w:val="000000"/>
          <w:spacing w:val="0"/>
          <w:w w:val="100"/>
          <w:position w:val="0"/>
        </w:rPr>
        <w:t>算法， 在边端复用路口现有视频、雷达等感知设备，支持</w:t>
      </w:r>
      <w:r>
        <w:rPr>
          <w:color w:val="000000"/>
          <w:spacing w:val="0"/>
          <w:w w:val="100"/>
          <w:position w:val="0"/>
          <w:sz w:val="18"/>
          <w:szCs w:val="18"/>
        </w:rPr>
        <w:t>NB-IOT+5G</w:t>
      </w:r>
      <w:r>
        <w:rPr>
          <w:color w:val="000000"/>
          <w:spacing w:val="0"/>
          <w:w w:val="100"/>
          <w:position w:val="0"/>
        </w:rPr>
        <w:t xml:space="preserve">传输实现广域覆盖，可以接入路段交通数据，最低延迟处理交 通数据，实现实时交通控制；采用积木式架构设计，支持热插拔，面向多城市不同场景路口实现功能定制化服务；兼容主流 </w:t>
      </w:r>
      <w:r>
        <w:rPr>
          <w:color w:val="000000"/>
          <w:spacing w:val="0"/>
          <w:w w:val="100"/>
          <w:position w:val="0"/>
          <w:sz w:val="18"/>
          <w:szCs w:val="18"/>
        </w:rPr>
        <w:t>C-V2X</w:t>
      </w:r>
      <w:r>
        <w:rPr>
          <w:color w:val="000000"/>
          <w:spacing w:val="0"/>
          <w:w w:val="100"/>
          <w:position w:val="0"/>
        </w:rPr>
        <w:t>协议栈，满足客户对</w:t>
      </w:r>
      <w:r>
        <w:rPr>
          <w:color w:val="000000"/>
          <w:spacing w:val="0"/>
          <w:w w:val="100"/>
          <w:position w:val="0"/>
          <w:sz w:val="18"/>
          <w:szCs w:val="18"/>
        </w:rPr>
        <w:t>C-V2X</w:t>
      </w:r>
      <w:r>
        <w:rPr>
          <w:color w:val="000000"/>
          <w:spacing w:val="0"/>
          <w:w w:val="100"/>
          <w:position w:val="0"/>
        </w:rPr>
        <w:t>技术在车联网</w:t>
      </w:r>
      <w:r>
        <w:rPr>
          <w:color w:val="000000"/>
          <w:spacing w:val="0"/>
          <w:w w:val="100"/>
          <w:position w:val="0"/>
          <w:sz w:val="18"/>
          <w:szCs w:val="18"/>
        </w:rPr>
        <w:t>IOV</w:t>
      </w:r>
      <w:r>
        <w:rPr>
          <w:color w:val="000000"/>
          <w:spacing w:val="0"/>
          <w:w w:val="100"/>
          <w:position w:val="0"/>
        </w:rPr>
        <w:t>、智能交通系统</w:t>
      </w:r>
      <w:r>
        <w:rPr>
          <w:color w:val="000000"/>
          <w:spacing w:val="0"/>
          <w:w w:val="100"/>
          <w:position w:val="0"/>
          <w:sz w:val="18"/>
          <w:szCs w:val="18"/>
        </w:rPr>
        <w:t>ITS</w:t>
      </w:r>
      <w:r>
        <w:rPr>
          <w:color w:val="000000"/>
          <w:spacing w:val="0"/>
          <w:w w:val="100"/>
          <w:position w:val="0"/>
        </w:rPr>
        <w:t>面向未来的布局，提供实时高效的交通出行服务。</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截止报告期末，</w:t>
      </w:r>
      <w:r>
        <w:rPr>
          <w:color w:val="000000"/>
          <w:spacing w:val="0"/>
          <w:w w:val="100"/>
          <w:position w:val="0"/>
          <w:sz w:val="18"/>
          <w:szCs w:val="18"/>
        </w:rPr>
        <w:t>HERO</w:t>
      </w:r>
      <w:r>
        <w:rPr>
          <w:color w:val="000000"/>
          <w:spacing w:val="0"/>
          <w:w w:val="100"/>
          <w:position w:val="0"/>
        </w:rPr>
        <w:t>交通信号机已在杭州、南昌、太原等城市测试路口结合信号专家云控平台进行试运行，未来将推向 更多城市。基于对智能网联车服务及城市交通精细化治理的趋势判断，公司启动智慧路口系统研发，以智慧信控系统、信号 机为核心，增加视频感知设备、边缘计算服务器，扩展生态建设，将进一步提升路口全面感知能力、时空资源统筹优化能力、 多场景目标导向智慧控制能力、智能网联车服务能力。</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在解决方案上，公司与华为联合研制了全息路口解决方案。报告期内，已完成了全息路口试点方案的制定，并在试点路 口启动了方案部署。该方案拟建设全息路口信号平台，融合高精度地图信息、车道级实时交通数据、路口控制信息等多源车 -路-灯数据，实现对交通事件的实时预警、路口 “车-路-灯“全方位展示、信号优化</w:t>
      </w:r>
      <w:r>
        <w:rPr>
          <w:color w:val="000000"/>
          <w:spacing w:val="0"/>
          <w:w w:val="100"/>
          <w:position w:val="0"/>
          <w:sz w:val="18"/>
          <w:szCs w:val="18"/>
        </w:rPr>
        <w:t>AI</w:t>
      </w:r>
      <w:r>
        <w:rPr>
          <w:color w:val="000000"/>
          <w:spacing w:val="0"/>
          <w:w w:val="100"/>
          <w:position w:val="0"/>
        </w:rPr>
        <w:t>自适应、业务数据智能分析等四大功 能。该方案试点是</w:t>
      </w:r>
      <w:r>
        <w:rPr>
          <w:color w:val="000000"/>
          <w:spacing w:val="0"/>
          <w:w w:val="100"/>
          <w:position w:val="0"/>
          <w:sz w:val="18"/>
          <w:szCs w:val="18"/>
        </w:rPr>
        <w:t>HERO</w:t>
      </w:r>
      <w:r>
        <w:rPr>
          <w:color w:val="000000"/>
          <w:spacing w:val="0"/>
          <w:w w:val="100"/>
          <w:position w:val="0"/>
        </w:rPr>
        <w:t>信号机推广应用的重要抓手，也是公司以路口切入满足车路协同市场需求进行交通业务转型的重要探 索，为开拓新兴市场提供了有力支撑。</w:t>
      </w:r>
    </w:p>
    <w:p>
      <w:pPr>
        <w:pStyle w:val="Style25"/>
        <w:keepNext w:val="0"/>
        <w:keepLines w:val="0"/>
        <w:widowControl w:val="0"/>
        <w:shd w:val="clear" w:color="auto" w:fill="auto"/>
        <w:bidi w:val="0"/>
        <w:spacing w:before="0" w:after="0" w:line="313" w:lineRule="exact"/>
        <w:ind w:left="0" w:right="0"/>
        <w:jc w:val="both"/>
      </w:pPr>
      <w:bookmarkStart w:id="70" w:name="bookmark70"/>
      <w:r>
        <w:rPr>
          <w:b/>
          <w:bCs/>
          <w:color w:val="000000"/>
          <w:spacing w:val="0"/>
          <w:w w:val="100"/>
          <w:position w:val="0"/>
        </w:rPr>
        <w:t>（</w:t>
      </w:r>
      <w:bookmarkEnd w:id="70"/>
      <w:r>
        <w:rPr>
          <w:b/>
          <w:bCs/>
          <w:color w:val="000000"/>
          <w:spacing w:val="0"/>
          <w:w w:val="100"/>
          <w:position w:val="0"/>
        </w:rPr>
        <w:t>二）做深做广社会治理数智模式，三级智治平台全国多点开花</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报告期内，公司紧跟数字中国建设步伐，布局数字化改革建设，基于城市大脑总体框架及社会治理“五位一体”的理念， 运用物联网、云计算、大数据、人工智能、区块链等前沿技术，构建了 “以党建为引领、数字政府、数字法治、数字经济、 数字社会、数字文化为实现目标”的多元化全域智治平台，打造以区（县）、街道（镇）、社区（乡村）三级为框架结构的 </w:t>
      </w:r>
      <w:r>
        <w:rPr>
          <w:color w:val="000000"/>
          <w:spacing w:val="0"/>
          <w:w w:val="100"/>
          <w:position w:val="0"/>
        </w:rPr>
        <w:t>社会治理一揽子解决方案。</w:t>
      </w:r>
    </w:p>
    <w:p>
      <w:pPr>
        <w:pStyle w:val="Style25"/>
        <w:keepNext w:val="0"/>
        <w:keepLines w:val="0"/>
        <w:widowControl w:val="0"/>
        <w:shd w:val="clear" w:color="auto" w:fill="auto"/>
        <w:tabs>
          <w:tab w:pos="655" w:val="left"/>
        </w:tabs>
        <w:bidi w:val="0"/>
        <w:spacing w:before="0" w:after="0" w:line="313" w:lineRule="exact"/>
        <w:ind w:left="0" w:right="0"/>
        <w:jc w:val="both"/>
      </w:pPr>
      <w:bookmarkStart w:id="71" w:name="bookmark71"/>
      <w:r>
        <w:rPr>
          <w:color w:val="000000"/>
          <w:spacing w:val="0"/>
          <w:w w:val="100"/>
          <w:position w:val="0"/>
          <w:sz w:val="18"/>
          <w:szCs w:val="18"/>
        </w:rPr>
        <w:t>1</w:t>
      </w:r>
      <w:bookmarkEnd w:id="71"/>
      <w:r>
        <w:rPr>
          <w:color w:val="000000"/>
          <w:spacing w:val="0"/>
          <w:w w:val="100"/>
          <w:position w:val="0"/>
        </w:rPr>
        <w:t>、</w:t>
        <w:tab/>
        <w:t>不断深化三墩镇社会治理，持续创新应用场景</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报告期内，随着杭州三墩镇一体化智治平台已从镇街本级社会治理平台完成与上级平台的对接工作，通过浙江省“一体 化数字资源系统”，已打通</w:t>
      </w:r>
      <w:r>
        <w:rPr>
          <w:color w:val="000000"/>
          <w:spacing w:val="0"/>
          <w:w w:val="100"/>
          <w:position w:val="0"/>
          <w:sz w:val="18"/>
          <w:szCs w:val="18"/>
        </w:rPr>
        <w:t>110</w:t>
      </w:r>
      <w:r>
        <w:rPr>
          <w:color w:val="000000"/>
          <w:spacing w:val="0"/>
          <w:w w:val="100"/>
          <w:position w:val="0"/>
        </w:rPr>
        <w:t>联动平台、</w:t>
      </w:r>
      <w:r>
        <w:rPr>
          <w:color w:val="000000"/>
          <w:spacing w:val="0"/>
          <w:w w:val="100"/>
          <w:position w:val="0"/>
          <w:sz w:val="18"/>
          <w:szCs w:val="18"/>
        </w:rPr>
        <w:t>119</w:t>
      </w:r>
      <w:r>
        <w:rPr>
          <w:color w:val="000000"/>
          <w:spacing w:val="0"/>
          <w:w w:val="100"/>
          <w:position w:val="0"/>
        </w:rPr>
        <w:t>战勤平台、基层治理四平台、区视频资源共享平台、区数据资源共享平台等诸 多数据平台，实现数据资源与业务信息共享。报告期内，杭州三墩镇一体化智治平台经过两年时间的不断运行和完善，并结 合社会热点事件，先后上线未来乡村、未来社区等场景模块，将社会治理更进一步的深入到社会最基本单元。为提高政府在 疫情管控的效率与效能，公司在突发疫情期间，</w:t>
      </w:r>
      <w:r>
        <w:rPr>
          <w:color w:val="000000"/>
          <w:spacing w:val="0"/>
          <w:w w:val="100"/>
          <w:position w:val="0"/>
          <w:sz w:val="18"/>
          <w:szCs w:val="18"/>
        </w:rPr>
        <w:t>24</w:t>
      </w:r>
      <w:r>
        <w:rPr>
          <w:color w:val="000000"/>
          <w:spacing w:val="0"/>
          <w:w w:val="100"/>
          <w:position w:val="0"/>
        </w:rPr>
        <w:t>小时上线“疫情一件事”场景应用模块，</w:t>
      </w:r>
      <w:r>
        <w:rPr>
          <w:color w:val="000000"/>
          <w:spacing w:val="0"/>
          <w:w w:val="100"/>
          <w:position w:val="0"/>
          <w:sz w:val="18"/>
          <w:szCs w:val="18"/>
        </w:rPr>
        <w:t>48</w:t>
      </w:r>
      <w:r>
        <w:rPr>
          <w:color w:val="000000"/>
          <w:spacing w:val="0"/>
          <w:w w:val="100"/>
          <w:position w:val="0"/>
        </w:rPr>
        <w:t>小时做到疫情数据全上图，极 大配合了当地政府防疫部门精准防疫工作的需求，该场景已在杭州市三墩镇、古荡街道、留下街道上线运用。</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除杭州三墩镇一体化智治平台，报告期内公司还先后在杭州市留下街道、杭州市前进街道、杭州市古荡街道、杭州市东 新街道、成都市固驿街道等社会治理数字化平台落地实践。</w:t>
      </w:r>
    </w:p>
    <w:p>
      <w:pPr>
        <w:pStyle w:val="Style25"/>
        <w:keepNext w:val="0"/>
        <w:keepLines w:val="0"/>
        <w:widowControl w:val="0"/>
        <w:shd w:val="clear" w:color="auto" w:fill="auto"/>
        <w:tabs>
          <w:tab w:pos="664" w:val="left"/>
        </w:tabs>
        <w:bidi w:val="0"/>
        <w:spacing w:before="0" w:after="0" w:line="313" w:lineRule="exact"/>
        <w:ind w:left="0" w:right="0"/>
        <w:jc w:val="both"/>
      </w:pPr>
      <w:bookmarkStart w:id="72" w:name="bookmark72"/>
      <w:r>
        <w:rPr>
          <w:color w:val="000000"/>
          <w:spacing w:val="0"/>
          <w:w w:val="100"/>
          <w:position w:val="0"/>
          <w:sz w:val="18"/>
          <w:szCs w:val="18"/>
        </w:rPr>
        <w:t>2</w:t>
      </w:r>
      <w:bookmarkEnd w:id="72"/>
      <w:r>
        <w:rPr>
          <w:color w:val="000000"/>
          <w:spacing w:val="0"/>
          <w:w w:val="100"/>
          <w:position w:val="0"/>
        </w:rPr>
        <w:t>、</w:t>
        <w:tab/>
        <w:t>生态协同与政策保障加推，镇街大脑全国多点开花</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报告期内，公司在镇街大脑平台打造及市场拓展的同时，也建设了良好的政企校生态合作环境。先后与中国移动、中国 电信、中国联通、杭州新华三、浙江大学、北京大学高等信息研究院及相关政府单位等达成战略合作。同时公司也有效整合 了社会治理各细分领域的专业团队，为下一步数字化基层治理镇街大脑平台标准的制定、赋能基层社会治理产生实效等方面 继续探索，贡献银江力量。</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报告期内，公司大力发展社会治理街镇级平台的软件产品，形成区（县）级/街道（镇）级/社区（乡村）三级智治平台 模式，以三墩镇为基地，先行先试，构建“镇街级一体化智治平台”；以“镇街级一体化智治平台”模式为样板，参与建设 西湖区的“民呼我为一体化智治平台”项目；公司在</w:t>
      </w:r>
      <w:r>
        <w:rPr>
          <w:color w:val="000000"/>
          <w:spacing w:val="0"/>
          <w:w w:val="100"/>
          <w:position w:val="0"/>
          <w:sz w:val="18"/>
          <w:szCs w:val="18"/>
        </w:rPr>
        <w:t>2021</w:t>
      </w:r>
      <w:r>
        <w:rPr>
          <w:color w:val="000000"/>
          <w:spacing w:val="0"/>
          <w:w w:val="100"/>
          <w:position w:val="0"/>
        </w:rPr>
        <w:t>年集中研发力量先后开发了 “智慧人大”、“智慧政协”等新的应 用场景平台，并陆续在杭州上线使用。公司在做好社会治理板块的同时，以三墩镇为基地，积极拓展“未来社区”、“未来 乡村”板块，参与建设三墩镇“未来乡村”、富阳区渌渚镇阊坞村“未来乡村”、海宁硬石街道西山社区“未来社区”等项 目。</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报告期内，公司在服务好已有项目的基础上，还积极拓展了全国市场，先后对接浙江、安徽、四川、重庆、湖北、湖南、 陕西、广东、广西、江西、辽宁、新疆等省份的各区（县）、街道（镇）的</w:t>
      </w:r>
      <w:r>
        <w:rPr>
          <w:color w:val="000000"/>
          <w:spacing w:val="0"/>
          <w:w w:val="100"/>
          <w:position w:val="0"/>
          <w:sz w:val="18"/>
          <w:szCs w:val="18"/>
        </w:rPr>
        <w:t>20</w:t>
      </w:r>
      <w:r>
        <w:rPr>
          <w:color w:val="000000"/>
          <w:spacing w:val="0"/>
          <w:w w:val="100"/>
          <w:position w:val="0"/>
        </w:rPr>
        <w:t>个地区，预计在</w:t>
      </w:r>
      <w:r>
        <w:rPr>
          <w:color w:val="000000"/>
          <w:spacing w:val="0"/>
          <w:w w:val="100"/>
          <w:position w:val="0"/>
          <w:sz w:val="18"/>
          <w:szCs w:val="18"/>
        </w:rPr>
        <w:t>2022</w:t>
      </w:r>
      <w:r>
        <w:rPr>
          <w:color w:val="000000"/>
          <w:spacing w:val="0"/>
          <w:w w:val="100"/>
          <w:position w:val="0"/>
        </w:rPr>
        <w:t>年有良好的业务落地。</w:t>
      </w:r>
    </w:p>
    <w:p>
      <w:pPr>
        <w:pStyle w:val="Style25"/>
        <w:keepNext w:val="0"/>
        <w:keepLines w:val="0"/>
        <w:widowControl w:val="0"/>
        <w:shd w:val="clear" w:color="auto" w:fill="auto"/>
        <w:bidi w:val="0"/>
        <w:spacing w:before="0" w:after="0" w:line="313" w:lineRule="exact"/>
        <w:ind w:left="0" w:right="0"/>
        <w:jc w:val="both"/>
      </w:pPr>
      <w:bookmarkStart w:id="73" w:name="bookmark73"/>
      <w:r>
        <w:rPr>
          <w:b/>
          <w:bCs/>
          <w:color w:val="000000"/>
          <w:spacing w:val="0"/>
          <w:w w:val="100"/>
          <w:position w:val="0"/>
        </w:rPr>
        <w:t>（</w:t>
      </w:r>
      <w:bookmarkEnd w:id="73"/>
      <w:r>
        <w:rPr>
          <w:b/>
          <w:bCs/>
          <w:color w:val="000000"/>
          <w:spacing w:val="0"/>
          <w:w w:val="100"/>
          <w:position w:val="0"/>
        </w:rPr>
        <w:t>三）物联网医疗发展向好，加强与华为生态协同合作</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报告期内，在原有智慧医院建设业务稳健增长的基础上，公司持续发力智慧医疗和医院物联网的基础建设与融合应用， 致力于提升和改善医院的医疗服务质量、医疗服务水平、医护工作效率及医院精细化管理手段。</w:t>
      </w:r>
    </w:p>
    <w:p>
      <w:pPr>
        <w:pStyle w:val="Style25"/>
        <w:keepNext w:val="0"/>
        <w:keepLines w:val="0"/>
        <w:widowControl w:val="0"/>
        <w:shd w:val="clear" w:color="auto" w:fill="auto"/>
        <w:tabs>
          <w:tab w:pos="655" w:val="left"/>
        </w:tabs>
        <w:bidi w:val="0"/>
        <w:spacing w:before="0" w:after="0" w:line="313" w:lineRule="exact"/>
        <w:ind w:left="0" w:right="0"/>
        <w:jc w:val="both"/>
      </w:pPr>
      <w:bookmarkStart w:id="74" w:name="bookmark74"/>
      <w:r>
        <w:rPr>
          <w:color w:val="000000"/>
          <w:spacing w:val="0"/>
          <w:w w:val="100"/>
          <w:position w:val="0"/>
          <w:sz w:val="18"/>
          <w:szCs w:val="18"/>
        </w:rPr>
        <w:t>1</w:t>
      </w:r>
      <w:bookmarkEnd w:id="74"/>
      <w:r>
        <w:rPr>
          <w:color w:val="000000"/>
          <w:spacing w:val="0"/>
          <w:w w:val="100"/>
          <w:position w:val="0"/>
        </w:rPr>
        <w:t>、</w:t>
        <w:tab/>
        <w:t>以物联网为核心，实现智慧医疗精细化管理</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报告期内，公司根据智慧医院的长期建设规划，前期研发上线了全院覆盖物联网，在此基础上，陆续上线物联网应用及 配套系统，最终实现物联网医院整体框架的搭建，后续随着信息化的不断发展，医疗信息化产品的衍生，在已有的物联网基 础上，通过物联网数据总线，将所有系统数据整合、分析、展现，实现医院的统一化管理。</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报告期内，公司建设的全国首家全场景物联网医院在广东省第二人民医院落地投入使用，该院使用</w:t>
      </w:r>
      <w:r>
        <w:rPr>
          <w:color w:val="000000"/>
          <w:spacing w:val="0"/>
          <w:w w:val="100"/>
          <w:position w:val="0"/>
          <w:sz w:val="18"/>
          <w:szCs w:val="18"/>
        </w:rPr>
        <w:t>WLAN+</w:t>
      </w:r>
      <w:r>
        <w:rPr>
          <w:color w:val="000000"/>
          <w:spacing w:val="0"/>
          <w:w w:val="100"/>
          <w:position w:val="0"/>
        </w:rPr>
        <w:t>银江</w:t>
      </w:r>
      <w:r>
        <w:rPr>
          <w:color w:val="000000"/>
          <w:spacing w:val="0"/>
          <w:w w:val="100"/>
          <w:position w:val="0"/>
          <w:sz w:val="18"/>
          <w:szCs w:val="18"/>
        </w:rPr>
        <w:t>IOT</w:t>
      </w:r>
      <w:r>
        <w:rPr>
          <w:color w:val="000000"/>
          <w:spacing w:val="0"/>
          <w:w w:val="100"/>
          <w:position w:val="0"/>
        </w:rPr>
        <w:t>实现双 网融合，建立了医院网络的“高速公路”，为多院区业务发展建设提供数据的存储、计算以及机器学习能力，为智能终端提 供多种网络技术的联接，通过平台实现信息的跨域交互，从而加快智慧医疗、智慧服务、智慧管理的落地。同时公司以广东 省第二人民医院为样板，将全场景医院物联网向北京解放军总院</w:t>
      </w:r>
      <w:r>
        <w:rPr>
          <w:color w:val="000000"/>
          <w:spacing w:val="0"/>
          <w:w w:val="100"/>
          <w:position w:val="0"/>
          <w:sz w:val="18"/>
          <w:szCs w:val="18"/>
        </w:rPr>
        <w:t>（301</w:t>
      </w:r>
      <w:r>
        <w:rPr>
          <w:color w:val="000000"/>
          <w:spacing w:val="0"/>
          <w:w w:val="100"/>
          <w:position w:val="0"/>
        </w:rPr>
        <w:t>医院）进行推广，且逐步推广至成都市第二人民医院、 武汉常福医院、云景山医院、黄陂医院、上海新华医院、东莞人民医院等不同等级医院主体，并将继续其他医院辐射。</w:t>
      </w:r>
    </w:p>
    <w:p>
      <w:pPr>
        <w:pStyle w:val="Style25"/>
        <w:keepNext w:val="0"/>
        <w:keepLines w:val="0"/>
        <w:widowControl w:val="0"/>
        <w:shd w:val="clear" w:color="auto" w:fill="auto"/>
        <w:tabs>
          <w:tab w:pos="664" w:val="left"/>
        </w:tabs>
        <w:bidi w:val="0"/>
        <w:spacing w:before="0" w:after="0" w:line="313" w:lineRule="exact"/>
        <w:ind w:left="0" w:right="0"/>
        <w:jc w:val="both"/>
      </w:pPr>
      <w:bookmarkStart w:id="75" w:name="bookmark75"/>
      <w:r>
        <w:rPr>
          <w:color w:val="000000"/>
          <w:spacing w:val="0"/>
          <w:w w:val="100"/>
          <w:position w:val="0"/>
          <w:sz w:val="18"/>
          <w:szCs w:val="18"/>
        </w:rPr>
        <w:t>2</w:t>
      </w:r>
      <w:bookmarkEnd w:id="75"/>
      <w:r>
        <w:rPr>
          <w:color w:val="000000"/>
          <w:spacing w:val="0"/>
          <w:w w:val="100"/>
          <w:position w:val="0"/>
        </w:rPr>
        <w:t>、</w:t>
        <w:tab/>
        <w:t>与华为战略生态协同，共建</w:t>
      </w:r>
      <w:r>
        <w:rPr>
          <w:color w:val="000000"/>
          <w:spacing w:val="0"/>
          <w:w w:val="100"/>
          <w:position w:val="0"/>
          <w:sz w:val="18"/>
          <w:szCs w:val="18"/>
        </w:rPr>
        <w:t>5G</w:t>
      </w:r>
      <w:r>
        <w:rPr>
          <w:color w:val="000000"/>
          <w:spacing w:val="0"/>
          <w:w w:val="100"/>
          <w:position w:val="0"/>
        </w:rPr>
        <w:t>智慧医院</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报告期内，公司与华为的合作由产品采购向战略生态协同方向发展，共同推出物联网智慧医院解决方案，并取得良好市 场反响。自</w:t>
      </w:r>
      <w:r>
        <w:rPr>
          <w:color w:val="000000"/>
          <w:spacing w:val="0"/>
          <w:w w:val="100"/>
          <w:position w:val="0"/>
          <w:sz w:val="18"/>
          <w:szCs w:val="18"/>
        </w:rPr>
        <w:t>2017</w:t>
      </w:r>
      <w:r>
        <w:rPr>
          <w:color w:val="000000"/>
          <w:spacing w:val="0"/>
          <w:w w:val="100"/>
          <w:position w:val="0"/>
        </w:rPr>
        <w:t>年公司与华为签订战略合作框架协议以来，公司已成为华为供应商，并与华为在物联网医疗产品合作和生态 协同方面展开深入合作。在</w:t>
      </w:r>
      <w:r>
        <w:rPr>
          <w:color w:val="000000"/>
          <w:spacing w:val="0"/>
          <w:w w:val="100"/>
          <w:position w:val="0"/>
          <w:sz w:val="18"/>
          <w:szCs w:val="18"/>
        </w:rPr>
        <w:t>2021</w:t>
      </w:r>
      <w:r>
        <w:rPr>
          <w:color w:val="000000"/>
          <w:spacing w:val="0"/>
          <w:w w:val="100"/>
          <w:position w:val="0"/>
        </w:rPr>
        <w:t>年公司成为华为物联网医院核心合作伙伴，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13</w:t>
      </w:r>
      <w:r>
        <w:rPr>
          <w:color w:val="000000"/>
          <w:spacing w:val="0"/>
          <w:w w:val="100"/>
          <w:position w:val="0"/>
        </w:rPr>
        <w:t>日在上海</w:t>
      </w:r>
      <w:r>
        <w:rPr>
          <w:color w:val="000000"/>
          <w:spacing w:val="0"/>
          <w:w w:val="100"/>
          <w:position w:val="0"/>
          <w:sz w:val="18"/>
          <w:szCs w:val="18"/>
        </w:rPr>
        <w:t>“5G</w:t>
      </w:r>
      <w:r>
        <w:rPr>
          <w:color w:val="000000"/>
          <w:spacing w:val="0"/>
          <w:w w:val="100"/>
          <w:position w:val="0"/>
        </w:rPr>
        <w:t>智慧医疗集成商产业合作圆 桌会”中签订合作协议，实现了从“全面”到“全面深入”合作的重要升级。</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在华为生态大会上，华为授予公司“优秀医疗行业突出贡献奖”。同时，华为向公司采购的物联网医疗智能硬件产品同 比大幅增加，公司与华为在多家医院深度合作，共同打造物联网智慧医院。随着</w:t>
      </w:r>
      <w:r>
        <w:rPr>
          <w:color w:val="000000"/>
          <w:spacing w:val="0"/>
          <w:w w:val="100"/>
          <w:position w:val="0"/>
          <w:sz w:val="18"/>
          <w:szCs w:val="18"/>
        </w:rPr>
        <w:t>5G</w:t>
      </w:r>
      <w:r>
        <w:rPr>
          <w:color w:val="000000"/>
          <w:spacing w:val="0"/>
          <w:w w:val="100"/>
          <w:position w:val="0"/>
        </w:rPr>
        <w:t>、</w:t>
      </w:r>
      <w:r>
        <w:rPr>
          <w:color w:val="000000"/>
          <w:spacing w:val="0"/>
          <w:w w:val="100"/>
          <w:position w:val="0"/>
        </w:rPr>
        <w:t>云计算、物联网等</w:t>
      </w:r>
      <w:r>
        <w:rPr>
          <w:color w:val="000000"/>
          <w:spacing w:val="0"/>
          <w:w w:val="100"/>
          <w:position w:val="0"/>
          <w:sz w:val="18"/>
          <w:szCs w:val="18"/>
        </w:rPr>
        <w:t>ICT</w:t>
      </w:r>
      <w:r>
        <w:rPr>
          <w:color w:val="000000"/>
          <w:spacing w:val="0"/>
          <w:w w:val="100"/>
          <w:position w:val="0"/>
        </w:rPr>
        <w:t>技术的飞速发展， 物联网逐渐成为医院建设中必不可少的重要基础，公司将本着“资源共享、优势互补、互惠共赢”的原则，与生态伙伴一起， 积极拓展医院业务，加速</w:t>
      </w:r>
      <w:r>
        <w:rPr>
          <w:color w:val="000000"/>
          <w:spacing w:val="0"/>
          <w:w w:val="100"/>
          <w:position w:val="0"/>
          <w:sz w:val="18"/>
          <w:szCs w:val="18"/>
        </w:rPr>
        <w:t>5G</w:t>
      </w:r>
      <w:r>
        <w:rPr>
          <w:color w:val="000000"/>
          <w:spacing w:val="0"/>
          <w:w w:val="100"/>
          <w:position w:val="0"/>
        </w:rPr>
        <w:t xml:space="preserve">融合网关+智慧医院解决方案的落地；同时探索“物联网模块+物联网平台+生态”的模式以构建 </w:t>
      </w:r>
      <w:r>
        <w:rPr>
          <w:color w:val="000000"/>
          <w:spacing w:val="0"/>
          <w:w w:val="100"/>
          <w:position w:val="0"/>
        </w:rPr>
        <w:t>万物互联的医疗新生态。</w:t>
      </w:r>
    </w:p>
    <w:p>
      <w:pPr>
        <w:pStyle w:val="Style25"/>
        <w:keepNext w:val="0"/>
        <w:keepLines w:val="0"/>
        <w:widowControl w:val="0"/>
        <w:shd w:val="clear" w:color="auto" w:fill="auto"/>
        <w:bidi w:val="0"/>
        <w:spacing w:before="0" w:after="0" w:line="312" w:lineRule="exact"/>
        <w:ind w:left="0" w:right="0"/>
        <w:jc w:val="both"/>
      </w:pPr>
      <w:bookmarkStart w:id="76" w:name="bookmark76"/>
      <w:r>
        <w:rPr>
          <w:color w:val="000000"/>
          <w:spacing w:val="0"/>
          <w:w w:val="100"/>
          <w:position w:val="0"/>
          <w:sz w:val="18"/>
          <w:szCs w:val="18"/>
        </w:rPr>
        <w:t>3</w:t>
      </w:r>
      <w:bookmarkEnd w:id="76"/>
      <w:r>
        <w:rPr>
          <w:color w:val="000000"/>
          <w:spacing w:val="0"/>
          <w:w w:val="100"/>
          <w:position w:val="0"/>
        </w:rPr>
        <w:t>、坚持智慧医院总包模式，发挥重点案例样板效应</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报告期内，公司基于新基建的建设背景，依据国家鼓励社会办医相关政策法规，建设基于全光网络、</w:t>
      </w:r>
      <w:r>
        <w:rPr>
          <w:color w:val="000000"/>
          <w:spacing w:val="0"/>
          <w:w w:val="100"/>
          <w:position w:val="0"/>
          <w:sz w:val="18"/>
          <w:szCs w:val="18"/>
        </w:rPr>
        <w:t>5G</w:t>
      </w:r>
      <w:r>
        <w:rPr>
          <w:color w:val="000000"/>
          <w:spacing w:val="0"/>
          <w:w w:val="100"/>
          <w:position w:val="0"/>
        </w:rPr>
        <w:t>、</w:t>
      </w:r>
      <w:r>
        <w:rPr>
          <w:color w:val="000000"/>
          <w:spacing w:val="0"/>
          <w:w w:val="100"/>
          <w:position w:val="0"/>
        </w:rPr>
        <w:t>物联网等先进 技术应用的具有公司特色的“智慧医院”总包模式。目前公司在全国服务医院数量超过</w:t>
      </w:r>
      <w:r>
        <w:rPr>
          <w:color w:val="000000"/>
          <w:spacing w:val="0"/>
          <w:w w:val="100"/>
          <w:position w:val="0"/>
          <w:sz w:val="18"/>
          <w:szCs w:val="18"/>
        </w:rPr>
        <w:t>3000</w:t>
      </w:r>
      <w:r>
        <w:rPr>
          <w:color w:val="000000"/>
          <w:spacing w:val="0"/>
          <w:w w:val="100"/>
          <w:position w:val="0"/>
        </w:rPr>
        <w:t>家，报告期内，公司陆续落地厦 门马銮湾医院、驻马店市第二人民医院、宁波李惠利医院及宁波第一医院等“智慧医院”项目，在福建、河南、浙江打造样 板项目，从而辐射周边区域，不断探索迭代业务开展模式、业务规范与效果评价机制。在各地推广过程中，根据区域级别、 医院等级、当地特点等市场特性为医院量身定制业务组合，更好的服务当地医院、医生及患者。</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报告期内，在区域医疗及康养方面，公司截止目前完成多个市县的医疗健康数据互联互通，并通过纵向以及横向的数据 对比分析，为政府医疗资源分配的决策以及对卫健、民政的相关康养政策的制定起到了有效的助力；在数据安全和数据脱敏 的机制上，有效的保障了个人的隐私前提下，在商保理赔以及核查两个业务层面实现了医疗健康大数据价值的深度挖掘。截 止报告期末，公司以重庆、西安、合肥、武汉、宁波、广州、沈阳为基地，依托杭州本部支持，针对重点项目重点跟进，未 来将推向更多城市。公司继续坚持智慧医院总包模式，发挥重点案例样板效应，深耕医疗大健康产业，打造医疗大健康闭环 生态圈。</w:t>
      </w:r>
    </w:p>
    <w:p>
      <w:pPr>
        <w:pStyle w:val="Style21"/>
        <w:keepNext/>
        <w:keepLines/>
        <w:widowControl w:val="0"/>
        <w:shd w:val="clear" w:color="auto" w:fill="auto"/>
        <w:bidi w:val="0"/>
        <w:spacing w:before="0" w:after="24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三</w:t>
      </w:r>
      <w:bookmarkEnd w:id="79"/>
      <w:r>
        <w:rPr>
          <w:color w:val="000000"/>
          <w:spacing w:val="0"/>
          <w:w w:val="100"/>
          <w:position w:val="0"/>
        </w:rPr>
        <w:t>、核心竞争力分析</w:t>
      </w:r>
      <w:bookmarkEnd w:id="77"/>
      <w:bookmarkEnd w:id="78"/>
      <w:bookmarkEnd w:id="80"/>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报告期内，公司核心竞争能力未发生重大变化</w:t>
      </w:r>
    </w:p>
    <w:p>
      <w:pPr>
        <w:pStyle w:val="Style25"/>
        <w:keepNext w:val="0"/>
        <w:keepLines w:val="0"/>
        <w:widowControl w:val="0"/>
        <w:shd w:val="clear" w:color="auto" w:fill="auto"/>
        <w:tabs>
          <w:tab w:pos="861" w:val="left"/>
        </w:tabs>
        <w:bidi w:val="0"/>
        <w:spacing w:before="0" w:after="0" w:line="313" w:lineRule="exact"/>
        <w:ind w:left="0" w:right="0"/>
        <w:jc w:val="both"/>
      </w:pPr>
      <w:bookmarkStart w:id="81" w:name="bookmark81"/>
      <w:r>
        <w:rPr>
          <w:b/>
          <w:bCs/>
          <w:color w:val="000000"/>
          <w:spacing w:val="0"/>
          <w:w w:val="100"/>
          <w:position w:val="0"/>
        </w:rPr>
        <w:t>（</w:t>
      </w:r>
      <w:bookmarkEnd w:id="81"/>
      <w:r>
        <w:rPr>
          <w:b/>
          <w:bCs/>
          <w:color w:val="000000"/>
          <w:spacing w:val="0"/>
          <w:w w:val="100"/>
          <w:position w:val="0"/>
        </w:rPr>
        <w:t>一）</w:t>
        <w:tab/>
        <w:t>技术优势</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经过近</w:t>
      </w:r>
      <w:r>
        <w:rPr>
          <w:color w:val="000000"/>
          <w:spacing w:val="0"/>
          <w:w w:val="100"/>
          <w:position w:val="0"/>
          <w:sz w:val="18"/>
          <w:szCs w:val="18"/>
        </w:rPr>
        <w:t>30</w:t>
      </w:r>
      <w:r>
        <w:rPr>
          <w:color w:val="000000"/>
          <w:spacing w:val="0"/>
          <w:w w:val="100"/>
          <w:position w:val="0"/>
        </w:rPr>
        <w:t>年的技术研发与实际经营相结合的经验积累，公司目前已形成了成熟、有效的研发体系，设立了专门的研发中 心，研发中心拥有交通、健康、城市领域专业技术人才组成的研发团队，成立了市场中心、研发中心、技术中心，覆盖立项、 研发、审查、应用推广等研发全产业链。报告期内公司与浙江大学联合成立了 “智慧治理研究中心”。同时，公司建立了以 解决实际问题为导向的跨部门协作研发机制，进一步完善技术创新体系。针对项目中的技术难题，公司组织研发、工程、运 营等部门，设立有针对性的课题小组，以实际问题为导向实现多部门协作研发，为公司后续项目的推进提供指引。</w:t>
      </w:r>
    </w:p>
    <w:p>
      <w:pPr>
        <w:pStyle w:val="Style25"/>
        <w:keepNext w:val="0"/>
        <w:keepLines w:val="0"/>
        <w:widowControl w:val="0"/>
        <w:shd w:val="clear" w:color="auto" w:fill="auto"/>
        <w:tabs>
          <w:tab w:pos="861" w:val="left"/>
        </w:tabs>
        <w:bidi w:val="0"/>
        <w:spacing w:before="0" w:after="0" w:line="313" w:lineRule="exact"/>
        <w:ind w:left="0" w:right="0"/>
        <w:jc w:val="both"/>
      </w:pPr>
      <w:bookmarkStart w:id="82" w:name="bookmark82"/>
      <w:r>
        <w:rPr>
          <w:b/>
          <w:bCs/>
          <w:color w:val="000000"/>
          <w:spacing w:val="0"/>
          <w:w w:val="100"/>
          <w:position w:val="0"/>
        </w:rPr>
        <w:t>（</w:t>
      </w:r>
      <w:bookmarkEnd w:id="82"/>
      <w:r>
        <w:rPr>
          <w:b/>
          <w:bCs/>
          <w:color w:val="000000"/>
          <w:spacing w:val="0"/>
          <w:w w:val="100"/>
          <w:position w:val="0"/>
        </w:rPr>
        <w:t>二）</w:t>
        <w:tab/>
        <w:t>项目案例优势</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报告期内，城市大脑项目即将落地，取得良好示范效应。报告期内，交通领域：</w:t>
      </w:r>
      <w:r>
        <w:rPr>
          <w:color w:val="000000"/>
          <w:spacing w:val="0"/>
          <w:w w:val="100"/>
          <w:position w:val="0"/>
          <w:sz w:val="18"/>
          <w:szCs w:val="18"/>
        </w:rPr>
        <w:t>2021</w:t>
      </w:r>
      <w:r>
        <w:rPr>
          <w:color w:val="000000"/>
          <w:spacing w:val="0"/>
          <w:w w:val="100"/>
          <w:position w:val="0"/>
        </w:rPr>
        <w:t>年在综合场景产品研发上，以“情 报驱动实战”为产品定位，重点对云数据中心、情报可视化平台、情指联动应用进行了深度研发，构建智慧交管一体化数治 服务，打通了数据到决策的最短数智服务应用路径。交通信控产品持续推进，研发众多业内领先产品，做优信号优化服务， 探索全国运营模式，积极推进</w:t>
      </w:r>
      <w:r>
        <w:rPr>
          <w:color w:val="000000"/>
          <w:spacing w:val="0"/>
          <w:w w:val="100"/>
          <w:position w:val="0"/>
          <w:sz w:val="18"/>
          <w:szCs w:val="18"/>
        </w:rPr>
        <w:t>HERO</w:t>
      </w:r>
      <w:r>
        <w:rPr>
          <w:color w:val="000000"/>
          <w:spacing w:val="0"/>
          <w:w w:val="100"/>
          <w:position w:val="0"/>
        </w:rPr>
        <w:t>信号机研发，探索智慧路口关键技术及解决方案。城市领域：持续探索社会治理新模式， 大力推广复制社会治理软件产品，目前已形成了市/区县级、乡镇街道级、社区/村三级智治平台（城市大脑）模式。公司以 杭州西湖区三墩镇为基地，构建首个镇街大脑平台</w:t>
      </w:r>
      <w:r>
        <w:rPr>
          <w:color w:val="000000"/>
          <w:spacing w:val="0"/>
          <w:w w:val="100"/>
          <w:position w:val="0"/>
        </w:rPr>
        <w:t>一一</w:t>
      </w:r>
      <w:r>
        <w:rPr>
          <w:color w:val="000000"/>
          <w:spacing w:val="0"/>
          <w:w w:val="100"/>
          <w:position w:val="0"/>
        </w:rPr>
        <w:t>“镇街级一体化智治平台”，同时参与建设西湖区全域的“一体化智 治平台”建设，目前该项目已上线良好运行。公司多级城市大脑在全国多点开花，在江西、湖北、四川、福建等地稳步推进， 为未来全国范围内城市大脑的市场开拓打下了坚实基础。健康领域：以医院“全光网络”、“物联网智慧城市”等亮点解决 方案持续为广大医院加码并成功助力贵黔国际总医院成为贵州省首家通过国家医疗健康信息互联互通成熟度</w:t>
      </w:r>
      <w:r>
        <w:rPr>
          <w:color w:val="000000"/>
          <w:spacing w:val="0"/>
          <w:w w:val="100"/>
          <w:position w:val="0"/>
          <w:sz w:val="18"/>
          <w:szCs w:val="18"/>
        </w:rPr>
        <w:t>4</w:t>
      </w:r>
      <w:r>
        <w:rPr>
          <w:color w:val="000000"/>
          <w:spacing w:val="0"/>
          <w:w w:val="100"/>
          <w:position w:val="0"/>
        </w:rPr>
        <w:t>级甲等测评的 超三甲综合性医院。报告期内，华为授予了公司“优秀医疗行业突出贡献奖”；华为向公司采购的物联网医疗智能硬件产品 同比大幅增加；此外，公司与华为合作建设的全国首家全场景智能医院已在广东省第二人民医院落地投入使用。</w:t>
      </w:r>
    </w:p>
    <w:p>
      <w:pPr>
        <w:pStyle w:val="Style25"/>
        <w:keepNext w:val="0"/>
        <w:keepLines w:val="0"/>
        <w:widowControl w:val="0"/>
        <w:shd w:val="clear" w:color="auto" w:fill="auto"/>
        <w:tabs>
          <w:tab w:pos="861" w:val="left"/>
        </w:tabs>
        <w:bidi w:val="0"/>
        <w:spacing w:before="0" w:after="0" w:line="313" w:lineRule="exact"/>
        <w:ind w:left="0" w:right="0"/>
        <w:jc w:val="both"/>
      </w:pPr>
      <w:bookmarkStart w:id="83" w:name="bookmark83"/>
      <w:r>
        <w:rPr>
          <w:b/>
          <w:bCs/>
          <w:color w:val="000000"/>
          <w:spacing w:val="0"/>
          <w:w w:val="100"/>
          <w:position w:val="0"/>
        </w:rPr>
        <w:t>（</w:t>
      </w:r>
      <w:bookmarkEnd w:id="83"/>
      <w:r>
        <w:rPr>
          <w:b/>
          <w:bCs/>
          <w:color w:val="000000"/>
          <w:spacing w:val="0"/>
          <w:w w:val="100"/>
          <w:position w:val="0"/>
        </w:rPr>
        <w:t>三）</w:t>
        <w:tab/>
        <w:t>品牌优势</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报告期内，公司先后通过了</w:t>
      </w:r>
      <w:r>
        <w:rPr>
          <w:color w:val="000000"/>
          <w:spacing w:val="0"/>
          <w:w w:val="100"/>
          <w:position w:val="0"/>
          <w:sz w:val="18"/>
          <w:szCs w:val="18"/>
        </w:rPr>
        <w:t>CMMI V2.0</w:t>
      </w:r>
      <w:r>
        <w:rPr>
          <w:color w:val="000000"/>
          <w:spacing w:val="0"/>
          <w:w w:val="100"/>
          <w:position w:val="0"/>
        </w:rPr>
        <w:t>最高级别</w:t>
      </w:r>
      <w:r>
        <w:rPr>
          <w:color w:val="000000"/>
          <w:spacing w:val="0"/>
          <w:w w:val="100"/>
          <w:position w:val="0"/>
          <w:sz w:val="18"/>
          <w:szCs w:val="18"/>
        </w:rPr>
        <w:t>ML5</w:t>
      </w:r>
      <w:r>
        <w:rPr>
          <w:color w:val="000000"/>
          <w:spacing w:val="0"/>
          <w:w w:val="100"/>
          <w:position w:val="0"/>
        </w:rPr>
        <w:t>级和“软件过程及能力成熟度评估”最高级别</w:t>
      </w:r>
      <w:r>
        <w:rPr>
          <w:color w:val="000000"/>
          <w:spacing w:val="0"/>
          <w:w w:val="100"/>
          <w:position w:val="0"/>
          <w:sz w:val="18"/>
          <w:szCs w:val="18"/>
        </w:rPr>
        <w:t>L5</w:t>
      </w:r>
      <w:r>
        <w:rPr>
          <w:color w:val="000000"/>
          <w:spacing w:val="0"/>
          <w:w w:val="100"/>
          <w:position w:val="0"/>
        </w:rPr>
        <w:t>级两大研发体系的评 估认证，率先成为浙江省首家</w:t>
      </w:r>
      <w:r>
        <w:rPr>
          <w:color w:val="000000"/>
          <w:spacing w:val="0"/>
          <w:w w:val="100"/>
          <w:position w:val="0"/>
          <w:sz w:val="18"/>
          <w:szCs w:val="18"/>
        </w:rPr>
        <w:t xml:space="preserve">SPCA </w:t>
      </w:r>
      <w:r>
        <w:rPr>
          <w:color w:val="000000"/>
          <w:spacing w:val="0"/>
          <w:w w:val="100"/>
          <w:position w:val="0"/>
          <w:sz w:val="18"/>
          <w:szCs w:val="18"/>
        </w:rPr>
        <w:t>5</w:t>
      </w:r>
      <w:r>
        <w:rPr>
          <w:color w:val="000000"/>
          <w:spacing w:val="0"/>
          <w:w w:val="100"/>
          <w:position w:val="0"/>
        </w:rPr>
        <w:t>级企业、国内为数不多同时拥有</w:t>
      </w:r>
      <w:r>
        <w:rPr>
          <w:color w:val="000000"/>
          <w:spacing w:val="0"/>
          <w:w w:val="100"/>
          <w:position w:val="0"/>
          <w:sz w:val="18"/>
          <w:szCs w:val="18"/>
        </w:rPr>
        <w:t>CMMI</w:t>
      </w:r>
      <w:r>
        <w:rPr>
          <w:color w:val="000000"/>
          <w:spacing w:val="0"/>
          <w:w w:val="100"/>
          <w:position w:val="0"/>
        </w:rPr>
        <w:t>和</w:t>
      </w:r>
      <w:r>
        <w:rPr>
          <w:color w:val="000000"/>
          <w:spacing w:val="0"/>
          <w:w w:val="100"/>
          <w:position w:val="0"/>
          <w:sz w:val="18"/>
          <w:szCs w:val="18"/>
        </w:rPr>
        <w:t>SPCA</w:t>
      </w:r>
      <w:r>
        <w:rPr>
          <w:color w:val="000000"/>
          <w:spacing w:val="0"/>
          <w:w w:val="100"/>
          <w:position w:val="0"/>
        </w:rPr>
        <w:t>最高级别的软件企业，标志着公司研发管理 模式获得了国际标准与国内标准的双重认可，公司软件成熟度达国际先进水平。</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公司不断提升开放层次，发挥平台强劲支撑作用。</w:t>
      </w:r>
      <w:r>
        <w:rPr>
          <w:color w:val="000000"/>
          <w:spacing w:val="0"/>
          <w:w w:val="100"/>
          <w:position w:val="0"/>
          <w:sz w:val="18"/>
          <w:szCs w:val="18"/>
        </w:rPr>
        <w:t>2021</w:t>
      </w:r>
      <w:r>
        <w:rPr>
          <w:color w:val="000000"/>
          <w:spacing w:val="0"/>
          <w:w w:val="100"/>
          <w:position w:val="0"/>
        </w:rPr>
        <w:t>年，公司再次通过国家企业技术中心评价；公司取得了建筑装修 装饰工程专业承包贰级资质、增值电信业务经营许可证、商品售后服务评价体系五星级认证等多项资质和体系认证;荣膺</w:t>
      </w:r>
      <w:r>
        <w:rPr>
          <w:color w:val="000000"/>
          <w:spacing w:val="0"/>
          <w:w w:val="100"/>
          <w:position w:val="0"/>
          <w:sz w:val="18"/>
          <w:szCs w:val="18"/>
        </w:rPr>
        <w:t xml:space="preserve">2021 </w:t>
      </w:r>
      <w:r>
        <w:rPr>
          <w:color w:val="000000"/>
          <w:spacing w:val="0"/>
          <w:w w:val="100"/>
          <w:position w:val="0"/>
        </w:rPr>
        <w:t>年度中国软件和信息技术服务竞争力百强企业、中国安防百强工程商、</w:t>
      </w:r>
      <w:r>
        <w:rPr>
          <w:color w:val="000000"/>
          <w:spacing w:val="0"/>
          <w:w w:val="100"/>
          <w:position w:val="0"/>
          <w:sz w:val="18"/>
          <w:szCs w:val="18"/>
        </w:rPr>
        <w:t>2021</w:t>
      </w:r>
      <w:r>
        <w:rPr>
          <w:color w:val="000000"/>
          <w:spacing w:val="0"/>
          <w:w w:val="100"/>
          <w:position w:val="0"/>
        </w:rPr>
        <w:t>浙江省物联网年度创新产品奖、</w:t>
      </w:r>
      <w:r>
        <w:rPr>
          <w:color w:val="000000"/>
          <w:spacing w:val="0"/>
          <w:w w:val="100"/>
          <w:position w:val="0"/>
          <w:sz w:val="18"/>
          <w:szCs w:val="18"/>
        </w:rPr>
        <w:t>2021</w:t>
      </w:r>
      <w:r>
        <w:rPr>
          <w:color w:val="000000"/>
          <w:spacing w:val="0"/>
          <w:w w:val="100"/>
          <w:position w:val="0"/>
        </w:rPr>
        <w:t>浙江省物联 网年度领军企业奖、</w:t>
      </w:r>
      <w:r>
        <w:rPr>
          <w:color w:val="000000"/>
          <w:spacing w:val="0"/>
          <w:w w:val="100"/>
          <w:position w:val="0"/>
          <w:sz w:val="18"/>
          <w:szCs w:val="18"/>
        </w:rPr>
        <w:t>2020</w:t>
      </w:r>
      <w:r>
        <w:rPr>
          <w:color w:val="000000"/>
          <w:spacing w:val="0"/>
          <w:w w:val="100"/>
          <w:position w:val="0"/>
        </w:rPr>
        <w:t>年中国城市智能交通市场系统集成商业绩十强、</w:t>
      </w:r>
      <w:r>
        <w:rPr>
          <w:color w:val="000000"/>
          <w:spacing w:val="0"/>
          <w:w w:val="100"/>
          <w:position w:val="0"/>
          <w:sz w:val="18"/>
          <w:szCs w:val="18"/>
        </w:rPr>
        <w:t>2021</w:t>
      </w:r>
      <w:r>
        <w:rPr>
          <w:color w:val="000000"/>
          <w:spacing w:val="0"/>
          <w:w w:val="100"/>
          <w:position w:val="0"/>
        </w:rPr>
        <w:t>年度浙江软件核心竞争力企业、</w:t>
      </w:r>
      <w:r>
        <w:rPr>
          <w:color w:val="000000"/>
          <w:spacing w:val="0"/>
          <w:w w:val="100"/>
          <w:position w:val="0"/>
          <w:sz w:val="18"/>
          <w:szCs w:val="18"/>
        </w:rPr>
        <w:t>2020</w:t>
      </w:r>
      <w:r>
        <w:rPr>
          <w:color w:val="000000"/>
          <w:spacing w:val="0"/>
          <w:w w:val="100"/>
          <w:position w:val="0"/>
        </w:rPr>
        <w:t>年中国城 市智能交通市场亿元俱乐部、</w:t>
      </w:r>
      <w:r>
        <w:rPr>
          <w:color w:val="000000"/>
          <w:spacing w:val="0"/>
          <w:w w:val="100"/>
          <w:position w:val="0"/>
          <w:sz w:val="18"/>
          <w:szCs w:val="18"/>
        </w:rPr>
        <w:t>2011-2020</w:t>
      </w:r>
      <w:r>
        <w:rPr>
          <w:color w:val="000000"/>
          <w:spacing w:val="0"/>
          <w:w w:val="100"/>
          <w:position w:val="0"/>
        </w:rPr>
        <w:t>过去十年中国城市智能交通市场</w:t>
      </w:r>
      <w:r>
        <w:rPr>
          <w:color w:val="000000"/>
          <w:spacing w:val="0"/>
          <w:w w:val="100"/>
          <w:position w:val="0"/>
          <w:sz w:val="18"/>
          <w:szCs w:val="18"/>
        </w:rPr>
        <w:t>BIG5</w:t>
      </w:r>
      <w:r>
        <w:rPr>
          <w:color w:val="000000"/>
          <w:spacing w:val="0"/>
          <w:w w:val="100"/>
          <w:position w:val="0"/>
        </w:rPr>
        <w:t>、</w:t>
      </w:r>
      <w:r>
        <w:rPr>
          <w:color w:val="000000"/>
          <w:spacing w:val="0"/>
          <w:w w:val="100"/>
          <w:position w:val="0"/>
          <w:sz w:val="18"/>
          <w:szCs w:val="18"/>
        </w:rPr>
        <w:t>2021</w:t>
      </w:r>
      <w:r>
        <w:rPr>
          <w:color w:val="000000"/>
          <w:spacing w:val="0"/>
          <w:w w:val="100"/>
          <w:position w:val="0"/>
        </w:rPr>
        <w:t xml:space="preserve">年企业数字化转型优秀案例（银江街镇 </w:t>
      </w:r>
      <w:r>
        <w:rPr>
          <w:color w:val="000000"/>
          <w:spacing w:val="0"/>
          <w:w w:val="100"/>
          <w:position w:val="0"/>
        </w:rPr>
        <w:t>平台解决方案）、</w:t>
      </w:r>
      <w:r>
        <w:rPr>
          <w:color w:val="000000"/>
          <w:spacing w:val="0"/>
          <w:w w:val="100"/>
          <w:position w:val="0"/>
          <w:sz w:val="18"/>
          <w:szCs w:val="18"/>
        </w:rPr>
        <w:t>2021</w:t>
      </w:r>
      <w:r>
        <w:rPr>
          <w:color w:val="000000"/>
          <w:spacing w:val="0"/>
          <w:w w:val="100"/>
          <w:position w:val="0"/>
        </w:rPr>
        <w:t>年浙江省软件业务收入前</w:t>
      </w:r>
      <w:r>
        <w:rPr>
          <w:color w:val="000000"/>
          <w:spacing w:val="0"/>
          <w:w w:val="100"/>
          <w:position w:val="0"/>
          <w:sz w:val="18"/>
          <w:szCs w:val="18"/>
        </w:rPr>
        <w:t>30</w:t>
      </w:r>
      <w:r>
        <w:rPr>
          <w:color w:val="000000"/>
          <w:spacing w:val="0"/>
          <w:w w:val="100"/>
          <w:position w:val="0"/>
        </w:rPr>
        <w:t>家企业、浙江省工商企业信用</w:t>
      </w:r>
      <w:r>
        <w:rPr>
          <w:color w:val="000000"/>
          <w:spacing w:val="0"/>
          <w:w w:val="100"/>
          <w:position w:val="0"/>
          <w:sz w:val="18"/>
          <w:szCs w:val="18"/>
        </w:rPr>
        <w:t>AAA</w:t>
      </w:r>
      <w:r>
        <w:rPr>
          <w:color w:val="000000"/>
          <w:spacing w:val="0"/>
          <w:w w:val="100"/>
          <w:position w:val="0"/>
        </w:rPr>
        <w:t>级“守合同重信用”单位、软件信息服 务业企业信用</w:t>
      </w:r>
      <w:r>
        <w:rPr>
          <w:color w:val="000000"/>
          <w:spacing w:val="0"/>
          <w:w w:val="100"/>
          <w:position w:val="0"/>
          <w:sz w:val="18"/>
          <w:szCs w:val="18"/>
        </w:rPr>
        <w:t>AAA</w:t>
      </w:r>
      <w:r>
        <w:rPr>
          <w:color w:val="000000"/>
          <w:spacing w:val="0"/>
          <w:w w:val="100"/>
          <w:position w:val="0"/>
        </w:rPr>
        <w:t>证书、第五届中国安防百强工程（集成）商、中国软件诚信示范企业等多项重大荣誉，进一步巩固了企业 行业地位与市场竞争力。报告期内，公司持有授权专利</w:t>
      </w:r>
      <w:r>
        <w:rPr>
          <w:color w:val="000000"/>
          <w:spacing w:val="0"/>
          <w:w w:val="100"/>
          <w:position w:val="0"/>
          <w:sz w:val="18"/>
          <w:szCs w:val="18"/>
        </w:rPr>
        <w:t>243</w:t>
      </w:r>
      <w:r>
        <w:rPr>
          <w:color w:val="000000"/>
          <w:spacing w:val="0"/>
          <w:w w:val="100"/>
          <w:position w:val="0"/>
        </w:rPr>
        <w:t>项、软件著作权</w:t>
      </w:r>
      <w:r>
        <w:rPr>
          <w:color w:val="000000"/>
          <w:spacing w:val="0"/>
          <w:w w:val="100"/>
          <w:position w:val="0"/>
          <w:sz w:val="18"/>
          <w:szCs w:val="18"/>
        </w:rPr>
        <w:t>1040</w:t>
      </w:r>
      <w:r>
        <w:rPr>
          <w:color w:val="000000"/>
          <w:spacing w:val="0"/>
          <w:w w:val="100"/>
          <w:position w:val="0"/>
        </w:rPr>
        <w:t>项、软件产品</w:t>
      </w:r>
      <w:r>
        <w:rPr>
          <w:color w:val="000000"/>
          <w:spacing w:val="0"/>
          <w:w w:val="100"/>
          <w:position w:val="0"/>
          <w:sz w:val="18"/>
          <w:szCs w:val="18"/>
        </w:rPr>
        <w:t>93</w:t>
      </w:r>
      <w:r>
        <w:rPr>
          <w:color w:val="000000"/>
          <w:spacing w:val="0"/>
          <w:w w:val="100"/>
          <w:position w:val="0"/>
        </w:rPr>
        <w:t>项，成功入选了浙江省市场 监管局（省知识产权局）发布的浙江省专利创造百强企业榜单。</w:t>
      </w:r>
    </w:p>
    <w:p>
      <w:pPr>
        <w:pStyle w:val="Style25"/>
        <w:keepNext w:val="0"/>
        <w:keepLines w:val="0"/>
        <w:widowControl w:val="0"/>
        <w:shd w:val="clear" w:color="auto" w:fill="auto"/>
        <w:tabs>
          <w:tab w:pos="895" w:val="left"/>
        </w:tabs>
        <w:bidi w:val="0"/>
        <w:spacing w:before="0" w:after="0" w:line="312" w:lineRule="exact"/>
        <w:ind w:left="0" w:right="0"/>
        <w:jc w:val="both"/>
      </w:pPr>
      <w:bookmarkStart w:id="84" w:name="bookmark84"/>
      <w:r>
        <w:rPr>
          <w:b/>
          <w:bCs/>
          <w:color w:val="000000"/>
          <w:spacing w:val="0"/>
          <w:w w:val="100"/>
          <w:position w:val="0"/>
        </w:rPr>
        <w:t>（</w:t>
      </w:r>
      <w:bookmarkEnd w:id="84"/>
      <w:r>
        <w:rPr>
          <w:b/>
          <w:bCs/>
          <w:color w:val="000000"/>
          <w:spacing w:val="0"/>
          <w:w w:val="100"/>
          <w:position w:val="0"/>
        </w:rPr>
        <w:t>四）</w:t>
        <w:tab/>
        <w:t>人才优势</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国以人兴，政以才治。报告期内，公司以业绩为导向，着眼长远目标，优化人才结构，积蓄发展强劲动能，大力推进人 才战略规划建设工作。通过选好人才，建立专业人才队伍，培养高职业素养人才，激发团队发展活力，强化人才建设，</w:t>
      </w:r>
      <w:r>
        <w:rPr>
          <w:rFonts w:ascii="SimHei" w:eastAsia="SimHei" w:hAnsi="SimHei" w:cs="SimHei"/>
          <w:color w:val="000000"/>
          <w:spacing w:val="0"/>
          <w:w w:val="100"/>
          <w:position w:val="0"/>
        </w:rPr>
        <w:t xml:space="preserve">夯实 </w:t>
      </w:r>
      <w:r>
        <w:rPr>
          <w:color w:val="000000"/>
          <w:spacing w:val="0"/>
          <w:w w:val="100"/>
          <w:position w:val="0"/>
        </w:rPr>
        <w:t>发展根基，为公司在行业内发展奠定坚定基础。</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与此同时，公司为保持员工的创新活力，推进体制机制改革和政策创新，充分激发各类人才的创造活力，将合适的人用 在合适的位置，挖掘人才闪光点，补充新鲜血液，引进高精尖人才，大力推动雇主品牌形象，打造全国最佳雇主品牌企业， 荣获</w:t>
      </w:r>
      <w:r>
        <w:rPr>
          <w:color w:val="000000"/>
          <w:spacing w:val="0"/>
          <w:w w:val="100"/>
          <w:position w:val="0"/>
          <w:sz w:val="18"/>
          <w:szCs w:val="18"/>
        </w:rPr>
        <w:t>“2021</w:t>
      </w:r>
      <w:r>
        <w:rPr>
          <w:color w:val="000000"/>
          <w:spacing w:val="0"/>
          <w:w w:val="100"/>
          <w:position w:val="0"/>
        </w:rPr>
        <w:t>中国最佳雇主品牌”。</w:t>
      </w:r>
    </w:p>
    <w:p>
      <w:pPr>
        <w:pStyle w:val="Style25"/>
        <w:keepNext w:val="0"/>
        <w:keepLines w:val="0"/>
        <w:widowControl w:val="0"/>
        <w:shd w:val="clear" w:color="auto" w:fill="auto"/>
        <w:tabs>
          <w:tab w:pos="895" w:val="left"/>
        </w:tabs>
        <w:bidi w:val="0"/>
        <w:spacing w:before="0" w:after="0" w:line="312" w:lineRule="exact"/>
        <w:ind w:left="0" w:right="0"/>
        <w:jc w:val="both"/>
      </w:pPr>
      <w:bookmarkStart w:id="85" w:name="bookmark85"/>
      <w:r>
        <w:rPr>
          <w:b/>
          <w:bCs/>
          <w:color w:val="000000"/>
          <w:spacing w:val="0"/>
          <w:w w:val="100"/>
          <w:position w:val="0"/>
        </w:rPr>
        <w:t>（</w:t>
      </w:r>
      <w:bookmarkEnd w:id="85"/>
      <w:r>
        <w:rPr>
          <w:b/>
          <w:bCs/>
          <w:color w:val="000000"/>
          <w:spacing w:val="0"/>
          <w:w w:val="100"/>
          <w:position w:val="0"/>
        </w:rPr>
        <w:t>五）</w:t>
        <w:tab/>
        <w:t>治理规范优势</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公司一贯重视规范治理及投资者关系工作。报告期内，公司股东大会、董事会及董事会专门委员会、监事会按相关法律 法规和《公司章程》有效运行，重点加强风险控制及内部管理，自查并整改了存在的问题和风险隐患。</w:t>
      </w:r>
    </w:p>
    <w:p>
      <w:pPr>
        <w:pStyle w:val="Style25"/>
        <w:keepNext w:val="0"/>
        <w:keepLines w:val="0"/>
        <w:widowControl w:val="0"/>
        <w:shd w:val="clear" w:color="auto" w:fill="auto"/>
        <w:bidi w:val="0"/>
        <w:spacing w:before="0" w:after="80" w:line="312" w:lineRule="exact"/>
        <w:ind w:left="0" w:right="0"/>
        <w:jc w:val="both"/>
      </w:pPr>
      <w:r>
        <w:rPr>
          <w:color w:val="000000"/>
          <w:spacing w:val="0"/>
          <w:w w:val="100"/>
          <w:position w:val="0"/>
        </w:rPr>
        <w:t>公司高度重视投资者关系管理工作，将投资者关系管理作为工作重点，不断完善投资者关系管理工作。充分利用投资者 热线、互动易平台、网上业绩说明会、现场调研等形式与投资者保持良好的沟通交流，促进公司与投资者之间的良性互动， 加深了投资者对公司的了解和认同，努力树立公司在资</w:t>
      </w:r>
      <w:r>
        <w:rPr>
          <w:rFonts w:ascii="SimHei" w:eastAsia="SimHei" w:hAnsi="SimHei" w:cs="SimHei"/>
          <w:color w:val="000000"/>
          <w:spacing w:val="0"/>
          <w:w w:val="100"/>
          <w:position w:val="0"/>
        </w:rPr>
        <w:t>本</w:t>
      </w:r>
      <w:r>
        <w:rPr>
          <w:color w:val="000000"/>
          <w:spacing w:val="0"/>
          <w:w w:val="100"/>
          <w:position w:val="0"/>
        </w:rPr>
        <w:t>市场良好形象。</w:t>
      </w:r>
    </w:p>
    <w:p>
      <w:pPr>
        <w:pStyle w:val="Style23"/>
        <w:keepNext w:val="0"/>
        <w:keepLines w:val="0"/>
        <w:widowControl w:val="0"/>
        <w:shd w:val="clear" w:color="auto" w:fill="auto"/>
        <w:bidi w:val="0"/>
        <w:spacing w:before="0" w:after="100" w:line="240" w:lineRule="auto"/>
        <w:ind w:left="360" w:right="0" w:firstLine="0"/>
        <w:jc w:val="left"/>
      </w:pPr>
      <w:r>
        <w:rPr>
          <w:b/>
          <w:bCs/>
          <w:color w:val="000000"/>
          <w:spacing w:val="0"/>
          <w:w w:val="100"/>
          <w:position w:val="0"/>
        </w:rPr>
        <w:t>（六）核心资产优势</w:t>
      </w:r>
    </w:p>
    <w:p>
      <w:pPr>
        <w:pStyle w:val="Style23"/>
        <w:keepNext w:val="0"/>
        <w:keepLines w:val="0"/>
        <w:widowControl w:val="0"/>
        <w:shd w:val="clear" w:color="auto" w:fill="auto"/>
        <w:bidi w:val="0"/>
        <w:spacing w:before="0" w:after="0" w:line="240" w:lineRule="auto"/>
        <w:ind w:left="360" w:right="0" w:firstLine="0"/>
        <w:jc w:val="left"/>
      </w:pPr>
      <w:r>
        <w:rPr>
          <w:color w:val="000000"/>
          <w:spacing w:val="0"/>
          <w:w w:val="100"/>
          <w:position w:val="0"/>
          <w:sz w:val="18"/>
          <w:szCs w:val="18"/>
        </w:rPr>
        <w:t>1</w:t>
      </w:r>
      <w:r>
        <w:rPr>
          <w:color w:val="000000"/>
          <w:spacing w:val="0"/>
          <w:w w:val="100"/>
          <w:position w:val="0"/>
        </w:rPr>
        <w:t>、固定资产情况</w:t>
      </w:r>
    </w:p>
    <w:tbl>
      <w:tblPr>
        <w:tblOverlap w:val="never"/>
        <w:jc w:val="center"/>
        <w:tblLayout w:type="fixed"/>
      </w:tblPr>
      <w:tblGrid>
        <w:gridCol w:w="2846"/>
        <w:gridCol w:w="1560"/>
        <w:gridCol w:w="1560"/>
        <w:gridCol w:w="850"/>
        <w:gridCol w:w="994"/>
        <w:gridCol w:w="989"/>
        <w:gridCol w:w="864"/>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土地证号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宗地面积（平方米）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房屋面积（平方米）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土地用途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所属公司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抵押情况</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沪房地徐字（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020932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粤房地权证穗字第</w:t>
            </w:r>
            <w:r>
              <w:rPr>
                <w:rFonts w:ascii="Times New Roman" w:eastAsia="Times New Roman" w:hAnsi="Times New Roman" w:cs="Times New Roman"/>
                <w:color w:val="000000"/>
                <w:spacing w:val="0"/>
                <w:w w:val="100"/>
                <w:position w:val="0"/>
                <w:sz w:val="18"/>
                <w:szCs w:val="18"/>
              </w:rPr>
              <w:t>0920033520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粤房地权证穗字第</w:t>
            </w:r>
            <w:r>
              <w:rPr>
                <w:rFonts w:ascii="Times New Roman" w:eastAsia="Times New Roman" w:hAnsi="Times New Roman" w:cs="Times New Roman"/>
                <w:color w:val="000000"/>
                <w:spacing w:val="0"/>
                <w:w w:val="100"/>
                <w:position w:val="0"/>
                <w:sz w:val="18"/>
                <w:szCs w:val="18"/>
              </w:rPr>
              <w:t>0920033780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100075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2053.12.22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100075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8238.27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2053.12.22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100075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2053.12.22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100075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2053.12.22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100075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2053.12.22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100075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2053.12.22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100075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2053.12.22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100069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杭州银江电 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西高科技国用（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39430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13657.67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w:t>
      </w:r>
      <w:r>
        <w:rPr>
          <w:color w:val="000000"/>
          <w:spacing w:val="0"/>
          <w:w w:val="100"/>
          <w:position w:val="0"/>
        </w:rPr>
        <w:t>、无形资产情况</w:t>
      </w:r>
    </w:p>
    <w:p>
      <w:pPr>
        <w:pStyle w:val="Style25"/>
        <w:keepNext w:val="0"/>
        <w:keepLines w:val="0"/>
        <w:widowControl w:val="0"/>
        <w:shd w:val="clear" w:color="auto" w:fill="auto"/>
        <w:tabs>
          <w:tab w:pos="799" w:val="left"/>
        </w:tabs>
        <w:bidi w:val="0"/>
        <w:spacing w:before="0" w:after="0" w:line="317" w:lineRule="exact"/>
        <w:ind w:left="0" w:right="0"/>
        <w:jc w:val="both"/>
      </w:pPr>
      <w:bookmarkStart w:id="86" w:name="bookmark86"/>
      <w:r>
        <w:rPr>
          <w:color w:val="000000"/>
          <w:spacing w:val="0"/>
          <w:w w:val="100"/>
          <w:position w:val="0"/>
          <w:sz w:val="18"/>
          <w:szCs w:val="18"/>
        </w:rPr>
        <w:t>（</w:t>
      </w:r>
      <w:bookmarkEnd w:id="86"/>
      <w:r>
        <w:rPr>
          <w:color w:val="000000"/>
          <w:spacing w:val="0"/>
          <w:w w:val="100"/>
          <w:position w:val="0"/>
          <w:sz w:val="18"/>
          <w:szCs w:val="18"/>
        </w:rPr>
        <w:t>1）</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日，公司共有</w:t>
      </w:r>
      <w:r>
        <w:rPr>
          <w:color w:val="000000"/>
          <w:spacing w:val="0"/>
          <w:w w:val="100"/>
          <w:position w:val="0"/>
          <w:sz w:val="18"/>
          <w:szCs w:val="18"/>
        </w:rPr>
        <w:t>64</w:t>
      </w:r>
      <w:r>
        <w:rPr>
          <w:color w:val="000000"/>
          <w:spacing w:val="0"/>
          <w:w w:val="100"/>
          <w:position w:val="0"/>
        </w:rPr>
        <w:t>项注册商标。</w:t>
      </w:r>
    </w:p>
    <w:p>
      <w:pPr>
        <w:pStyle w:val="Style25"/>
        <w:keepNext w:val="0"/>
        <w:keepLines w:val="0"/>
        <w:widowControl w:val="0"/>
        <w:shd w:val="clear" w:color="auto" w:fill="auto"/>
        <w:tabs>
          <w:tab w:pos="799" w:val="left"/>
        </w:tabs>
        <w:bidi w:val="0"/>
        <w:spacing w:before="0" w:after="0" w:line="317" w:lineRule="exact"/>
        <w:ind w:left="0" w:right="0"/>
        <w:jc w:val="both"/>
      </w:pPr>
      <w:bookmarkStart w:id="87" w:name="bookmark87"/>
      <w:r>
        <w:rPr>
          <w:color w:val="000000"/>
          <w:spacing w:val="0"/>
          <w:w w:val="100"/>
          <w:position w:val="0"/>
          <w:sz w:val="18"/>
          <w:szCs w:val="18"/>
        </w:rPr>
        <w:t>（</w:t>
      </w:r>
      <w:bookmarkEnd w:id="87"/>
      <w:r>
        <w:rPr>
          <w:color w:val="000000"/>
          <w:spacing w:val="0"/>
          <w:w w:val="100"/>
          <w:position w:val="0"/>
          <w:sz w:val="18"/>
          <w:szCs w:val="18"/>
        </w:rPr>
        <w:t>2）</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日，公司共拥有</w:t>
      </w:r>
      <w:r>
        <w:rPr>
          <w:color w:val="000000"/>
          <w:spacing w:val="0"/>
          <w:w w:val="100"/>
          <w:position w:val="0"/>
          <w:sz w:val="18"/>
          <w:szCs w:val="18"/>
        </w:rPr>
        <w:t>103</w:t>
      </w:r>
      <w:r>
        <w:rPr>
          <w:color w:val="000000"/>
          <w:spacing w:val="0"/>
          <w:w w:val="100"/>
          <w:position w:val="0"/>
        </w:rPr>
        <w:t>项资质证书，其中</w:t>
      </w:r>
      <w:r>
        <w:rPr>
          <w:color w:val="000000"/>
          <w:spacing w:val="0"/>
          <w:w w:val="100"/>
          <w:position w:val="0"/>
          <w:sz w:val="18"/>
          <w:szCs w:val="18"/>
        </w:rPr>
        <w:t>2021</w:t>
      </w:r>
      <w:r>
        <w:rPr>
          <w:color w:val="000000"/>
          <w:spacing w:val="0"/>
          <w:w w:val="100"/>
          <w:position w:val="0"/>
        </w:rPr>
        <w:t>年度新增了</w:t>
      </w:r>
      <w:r>
        <w:rPr>
          <w:color w:val="000000"/>
          <w:spacing w:val="0"/>
          <w:w w:val="100"/>
          <w:position w:val="0"/>
          <w:sz w:val="18"/>
          <w:szCs w:val="18"/>
        </w:rPr>
        <w:t>8</w:t>
      </w:r>
      <w:r>
        <w:rPr>
          <w:color w:val="000000"/>
          <w:spacing w:val="0"/>
          <w:w w:val="100"/>
          <w:position w:val="0"/>
        </w:rPr>
        <w:t>项。</w:t>
      </w:r>
    </w:p>
    <w:p>
      <w:pPr>
        <w:pStyle w:val="Style25"/>
        <w:keepNext w:val="0"/>
        <w:keepLines w:val="0"/>
        <w:widowControl w:val="0"/>
        <w:shd w:val="clear" w:color="auto" w:fill="auto"/>
        <w:tabs>
          <w:tab w:pos="875" w:val="left"/>
        </w:tabs>
        <w:bidi w:val="0"/>
        <w:spacing w:before="0" w:after="0" w:line="317" w:lineRule="exact"/>
        <w:ind w:left="0" w:right="0"/>
        <w:jc w:val="both"/>
      </w:pPr>
      <w:bookmarkStart w:id="88" w:name="bookmark88"/>
      <w:r>
        <w:rPr>
          <w:color w:val="000000"/>
          <w:spacing w:val="0"/>
          <w:w w:val="100"/>
          <w:position w:val="0"/>
          <w:sz w:val="18"/>
          <w:szCs w:val="18"/>
        </w:rPr>
        <w:t>（</w:t>
      </w:r>
      <w:bookmarkEnd w:id="88"/>
      <w:r>
        <w:rPr>
          <w:color w:val="000000"/>
          <w:spacing w:val="0"/>
          <w:w w:val="100"/>
          <w:position w:val="0"/>
          <w:sz w:val="18"/>
          <w:szCs w:val="18"/>
        </w:rPr>
        <w:t>3）</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日，公司共获得</w:t>
      </w:r>
      <w:r>
        <w:rPr>
          <w:color w:val="000000"/>
          <w:spacing w:val="0"/>
          <w:w w:val="100"/>
          <w:position w:val="0"/>
          <w:sz w:val="18"/>
          <w:szCs w:val="18"/>
        </w:rPr>
        <w:t>243</w:t>
      </w:r>
      <w:r>
        <w:rPr>
          <w:color w:val="000000"/>
          <w:spacing w:val="0"/>
          <w:w w:val="100"/>
          <w:position w:val="0"/>
        </w:rPr>
        <w:t>项专利，其中</w:t>
      </w:r>
      <w:r>
        <w:rPr>
          <w:color w:val="000000"/>
          <w:spacing w:val="0"/>
          <w:w w:val="100"/>
          <w:position w:val="0"/>
          <w:sz w:val="18"/>
          <w:szCs w:val="18"/>
        </w:rPr>
        <w:t>2021</w:t>
      </w:r>
      <w:r>
        <w:rPr>
          <w:color w:val="000000"/>
          <w:spacing w:val="0"/>
          <w:w w:val="100"/>
          <w:position w:val="0"/>
        </w:rPr>
        <w:t>年年度新增授权专利</w:t>
      </w:r>
      <w:r>
        <w:rPr>
          <w:color w:val="000000"/>
          <w:spacing w:val="0"/>
          <w:w w:val="100"/>
          <w:position w:val="0"/>
          <w:sz w:val="18"/>
          <w:szCs w:val="18"/>
        </w:rPr>
        <w:t>25</w:t>
      </w:r>
      <w:r>
        <w:rPr>
          <w:color w:val="000000"/>
          <w:spacing w:val="0"/>
          <w:w w:val="100"/>
          <w:position w:val="0"/>
        </w:rPr>
        <w:t>项。正在申请注册的专利有</w:t>
      </w:r>
      <w:r>
        <w:rPr>
          <w:color w:val="000000"/>
          <w:spacing w:val="0"/>
          <w:w w:val="100"/>
          <w:position w:val="0"/>
          <w:sz w:val="18"/>
          <w:szCs w:val="18"/>
        </w:rPr>
        <w:t>46</w:t>
      </w:r>
      <w:r>
        <w:rPr>
          <w:color w:val="000000"/>
          <w:spacing w:val="0"/>
          <w:w w:val="100"/>
          <w:position w:val="0"/>
        </w:rPr>
        <w:t>项（国 家知识产权局已公开</w:t>
      </w:r>
      <w:r>
        <w:rPr>
          <w:color w:val="000000"/>
          <w:spacing w:val="0"/>
          <w:w w:val="100"/>
          <w:position w:val="0"/>
          <w:sz w:val="18"/>
          <w:szCs w:val="18"/>
        </w:rPr>
        <w:t>40</w:t>
      </w:r>
      <w:r>
        <w:rPr>
          <w:color w:val="000000"/>
          <w:spacing w:val="0"/>
          <w:w w:val="100"/>
          <w:position w:val="0"/>
        </w:rPr>
        <w:t>项）。</w:t>
      </w:r>
    </w:p>
    <w:p>
      <w:pPr>
        <w:pStyle w:val="Style25"/>
        <w:keepNext w:val="0"/>
        <w:keepLines w:val="0"/>
        <w:widowControl w:val="0"/>
        <w:shd w:val="clear" w:color="auto" w:fill="auto"/>
        <w:tabs>
          <w:tab w:pos="799" w:val="left"/>
        </w:tabs>
        <w:bidi w:val="0"/>
        <w:spacing w:before="0" w:after="0" w:line="317" w:lineRule="exact"/>
        <w:ind w:left="0" w:right="0"/>
        <w:jc w:val="both"/>
      </w:pPr>
      <w:bookmarkStart w:id="89" w:name="bookmark89"/>
      <w:r>
        <w:rPr>
          <w:color w:val="000000"/>
          <w:spacing w:val="0"/>
          <w:w w:val="100"/>
          <w:position w:val="0"/>
          <w:sz w:val="18"/>
          <w:szCs w:val="18"/>
        </w:rPr>
        <w:t>（</w:t>
      </w:r>
      <w:bookmarkEnd w:id="89"/>
      <w:r>
        <w:rPr>
          <w:color w:val="000000"/>
          <w:spacing w:val="0"/>
          <w:w w:val="100"/>
          <w:position w:val="0"/>
          <w:sz w:val="18"/>
          <w:szCs w:val="18"/>
        </w:rPr>
        <w:t>4）</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日，公司及下属全资子公司共有</w:t>
      </w:r>
      <w:r>
        <w:rPr>
          <w:color w:val="000000"/>
          <w:spacing w:val="0"/>
          <w:w w:val="100"/>
          <w:position w:val="0"/>
          <w:sz w:val="18"/>
          <w:szCs w:val="18"/>
        </w:rPr>
        <w:t>93</w:t>
      </w:r>
      <w:r>
        <w:rPr>
          <w:color w:val="000000"/>
          <w:spacing w:val="0"/>
          <w:w w:val="100"/>
          <w:position w:val="0"/>
        </w:rPr>
        <w:t>项软件产品，其中</w:t>
      </w:r>
      <w:r>
        <w:rPr>
          <w:color w:val="000000"/>
          <w:spacing w:val="0"/>
          <w:w w:val="100"/>
          <w:position w:val="0"/>
          <w:sz w:val="18"/>
          <w:szCs w:val="18"/>
        </w:rPr>
        <w:t>2021</w:t>
      </w:r>
      <w:r>
        <w:rPr>
          <w:color w:val="000000"/>
          <w:spacing w:val="0"/>
          <w:w w:val="100"/>
          <w:position w:val="0"/>
        </w:rPr>
        <w:t xml:space="preserve">年度新增了 </w:t>
      </w:r>
      <w:r>
        <w:rPr>
          <w:color w:val="000000"/>
          <w:spacing w:val="0"/>
          <w:w w:val="100"/>
          <w:position w:val="0"/>
          <w:sz w:val="18"/>
          <w:szCs w:val="18"/>
        </w:rPr>
        <w:t>1</w:t>
      </w:r>
      <w:r>
        <w:rPr>
          <w:color w:val="000000"/>
          <w:spacing w:val="0"/>
          <w:w w:val="100"/>
          <w:position w:val="0"/>
        </w:rPr>
        <w:t>项。</w:t>
      </w:r>
    </w:p>
    <w:p>
      <w:pPr>
        <w:pStyle w:val="Style25"/>
        <w:keepNext w:val="0"/>
        <w:keepLines w:val="0"/>
        <w:widowControl w:val="0"/>
        <w:shd w:val="clear" w:color="auto" w:fill="auto"/>
        <w:tabs>
          <w:tab w:pos="799" w:val="left"/>
        </w:tabs>
        <w:bidi w:val="0"/>
        <w:spacing w:before="0" w:after="40" w:line="317" w:lineRule="exact"/>
        <w:ind w:left="0" w:right="0"/>
        <w:jc w:val="both"/>
      </w:pPr>
      <w:bookmarkStart w:id="90" w:name="bookmark90"/>
      <w:r>
        <w:rPr>
          <w:color w:val="000000"/>
          <w:spacing w:val="0"/>
          <w:w w:val="100"/>
          <w:position w:val="0"/>
          <w:sz w:val="18"/>
          <w:szCs w:val="18"/>
        </w:rPr>
        <w:t>（</w:t>
      </w:r>
      <w:bookmarkEnd w:id="90"/>
      <w:r>
        <w:rPr>
          <w:color w:val="000000"/>
          <w:spacing w:val="0"/>
          <w:w w:val="100"/>
          <w:position w:val="0"/>
          <w:sz w:val="18"/>
          <w:szCs w:val="18"/>
        </w:rPr>
        <w:t>5）</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日，公司及下属全资子公司共有</w:t>
      </w:r>
      <w:r>
        <w:rPr>
          <w:color w:val="000000"/>
          <w:spacing w:val="0"/>
          <w:w w:val="100"/>
          <w:position w:val="0"/>
          <w:sz w:val="18"/>
          <w:szCs w:val="18"/>
        </w:rPr>
        <w:t>1040</w:t>
      </w:r>
      <w:r>
        <w:rPr>
          <w:color w:val="000000"/>
          <w:spacing w:val="0"/>
          <w:w w:val="100"/>
          <w:position w:val="0"/>
        </w:rPr>
        <w:t>项著作权，其中</w:t>
      </w:r>
      <w:r>
        <w:rPr>
          <w:color w:val="000000"/>
          <w:spacing w:val="0"/>
          <w:w w:val="100"/>
          <w:position w:val="0"/>
          <w:sz w:val="18"/>
          <w:szCs w:val="18"/>
        </w:rPr>
        <w:t>2021</w:t>
      </w:r>
      <w:r>
        <w:rPr>
          <w:color w:val="000000"/>
          <w:spacing w:val="0"/>
          <w:w w:val="100"/>
          <w:position w:val="0"/>
        </w:rPr>
        <w:t>年度新增了</w:t>
      </w:r>
      <w:r>
        <w:rPr>
          <w:color w:val="000000"/>
          <w:spacing w:val="0"/>
          <w:w w:val="100"/>
          <w:position w:val="0"/>
          <w:sz w:val="18"/>
          <w:szCs w:val="18"/>
        </w:rPr>
        <w:t>58</w:t>
      </w:r>
      <w:r>
        <w:rPr>
          <w:color w:val="000000"/>
          <w:spacing w:val="0"/>
          <w:w w:val="100"/>
          <w:position w:val="0"/>
        </w:rPr>
        <w:t>项。</w:t>
      </w:r>
    </w:p>
    <w:p>
      <w:pPr>
        <w:pStyle w:val="Style21"/>
        <w:keepNext/>
        <w:keepLines/>
        <w:widowControl w:val="0"/>
        <w:shd w:val="clear" w:color="auto" w:fill="auto"/>
        <w:bidi w:val="0"/>
        <w:spacing w:before="0" w:after="38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四</w:t>
      </w:r>
      <w:bookmarkEnd w:id="93"/>
      <w:r>
        <w:rPr>
          <w:color w:val="000000"/>
          <w:spacing w:val="0"/>
          <w:w w:val="100"/>
          <w:position w:val="0"/>
        </w:rPr>
        <w:t>、主营业务分析</w:t>
      </w:r>
      <w:bookmarkEnd w:id="91"/>
      <w:bookmarkEnd w:id="92"/>
      <w:bookmarkEnd w:id="94"/>
    </w:p>
    <w:p>
      <w:pPr>
        <w:pStyle w:val="Style28"/>
        <w:keepNext/>
        <w:keepLines/>
        <w:widowControl w:val="0"/>
        <w:shd w:val="clear" w:color="auto" w:fill="auto"/>
        <w:tabs>
          <w:tab w:pos="320" w:val="left"/>
        </w:tabs>
        <w:bidi w:val="0"/>
        <w:spacing w:before="0" w:after="26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w:t>
        <w:tab/>
        <w:t>概述</w:t>
      </w:r>
      <w:bookmarkEnd w:id="95"/>
      <w:bookmarkEnd w:id="96"/>
      <w:bookmarkEnd w:id="98"/>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2021</w:t>
      </w:r>
      <w:r>
        <w:rPr>
          <w:color w:val="000000"/>
          <w:spacing w:val="0"/>
          <w:w w:val="100"/>
          <w:position w:val="0"/>
        </w:rPr>
        <w:t>年，全球新冠疫情仍在蔓延，面对不确定性因素，公司在业务转型升级的同时努力克服新冠肺炎疫情对公司经营发 展带来的影响。</w:t>
      </w:r>
      <w:r>
        <w:rPr>
          <w:color w:val="000000"/>
          <w:spacing w:val="0"/>
          <w:w w:val="100"/>
          <w:position w:val="0"/>
          <w:sz w:val="18"/>
          <w:szCs w:val="18"/>
        </w:rPr>
        <w:t>2021</w:t>
      </w:r>
      <w:r>
        <w:rPr>
          <w:color w:val="000000"/>
          <w:spacing w:val="0"/>
          <w:w w:val="100"/>
          <w:position w:val="0"/>
        </w:rPr>
        <w:t>年是我国“十四五”规划的开局之年，也是我国现代化建设进程中具有特殊重要性的一年。</w:t>
      </w:r>
      <w:r>
        <w:rPr>
          <w:color w:val="000000"/>
          <w:spacing w:val="0"/>
          <w:w w:val="100"/>
          <w:position w:val="0"/>
          <w:sz w:val="18"/>
          <w:szCs w:val="18"/>
        </w:rPr>
        <w:t>2021</w:t>
      </w:r>
      <w:r>
        <w:rPr>
          <w:color w:val="000000"/>
          <w:spacing w:val="0"/>
          <w:w w:val="100"/>
          <w:position w:val="0"/>
        </w:rPr>
        <w:t>年，公 司坚持以“城市大脑建设运营服务商”核心战略定位，积极拥抱数字经济、数字改革、新基建、城市现代化建设带来的发展 机遇，全力推动交通</w:t>
      </w:r>
      <w:r>
        <w:rPr>
          <w:color w:val="000000"/>
          <w:spacing w:val="0"/>
          <w:w w:val="100"/>
          <w:position w:val="0"/>
          <w:sz w:val="18"/>
          <w:szCs w:val="18"/>
        </w:rPr>
        <w:t>AI</w:t>
      </w:r>
      <w:r>
        <w:rPr>
          <w:color w:val="000000"/>
          <w:spacing w:val="0"/>
          <w:w w:val="100"/>
          <w:position w:val="0"/>
        </w:rPr>
        <w:t>治理、社会治理、物联网医疗发展的新高度。报告期内，公司在转型中不断调整收入结构，实现营业 收入</w:t>
      </w:r>
      <w:r>
        <w:rPr>
          <w:color w:val="000000"/>
          <w:spacing w:val="0"/>
          <w:w w:val="100"/>
          <w:position w:val="0"/>
          <w:sz w:val="18"/>
          <w:szCs w:val="18"/>
        </w:rPr>
        <w:t>1,999,686,204.2</w:t>
      </w:r>
      <w:r>
        <w:rPr>
          <w:color w:val="000000"/>
          <w:spacing w:val="0"/>
          <w:w w:val="100"/>
          <w:position w:val="0"/>
          <w:sz w:val="18"/>
          <w:szCs w:val="18"/>
        </w:rPr>
        <w:t>0</w:t>
      </w:r>
      <w:r>
        <w:rPr>
          <w:color w:val="000000"/>
          <w:spacing w:val="0"/>
          <w:w w:val="100"/>
          <w:position w:val="0"/>
        </w:rPr>
        <w:t>元，同比下降</w:t>
      </w:r>
      <w:r>
        <w:rPr>
          <w:color w:val="000000"/>
          <w:spacing w:val="0"/>
          <w:w w:val="100"/>
          <w:position w:val="0"/>
          <w:sz w:val="18"/>
          <w:szCs w:val="18"/>
        </w:rPr>
        <w:t>6.48%，</w:t>
      </w:r>
      <w:r>
        <w:rPr>
          <w:color w:val="000000"/>
          <w:spacing w:val="0"/>
          <w:w w:val="100"/>
          <w:position w:val="0"/>
        </w:rPr>
        <w:t>归属于上市公司股东的净利润</w:t>
      </w:r>
      <w:r>
        <w:rPr>
          <w:color w:val="000000"/>
          <w:spacing w:val="0"/>
          <w:w w:val="100"/>
          <w:position w:val="0"/>
          <w:sz w:val="18"/>
          <w:szCs w:val="18"/>
        </w:rPr>
        <w:t xml:space="preserve">98, </w:t>
      </w:r>
      <w:r>
        <w:rPr>
          <w:color w:val="000000"/>
          <w:spacing w:val="0"/>
          <w:w w:val="100"/>
          <w:position w:val="0"/>
          <w:sz w:val="18"/>
          <w:szCs w:val="18"/>
        </w:rPr>
        <w:t>973,352.30</w:t>
      </w:r>
      <w:r>
        <w:rPr>
          <w:color w:val="000000"/>
          <w:spacing w:val="0"/>
          <w:w w:val="100"/>
          <w:position w:val="0"/>
        </w:rPr>
        <w:t>元，同比下降</w:t>
      </w:r>
      <w:r>
        <w:rPr>
          <w:color w:val="000000"/>
          <w:spacing w:val="0"/>
          <w:w w:val="100"/>
          <w:position w:val="0"/>
          <w:sz w:val="18"/>
          <w:szCs w:val="18"/>
        </w:rPr>
        <w:t xml:space="preserve">37. </w:t>
      </w:r>
      <w:r>
        <w:rPr>
          <w:color w:val="000000"/>
          <w:spacing w:val="0"/>
          <w:w w:val="100"/>
          <w:position w:val="0"/>
          <w:sz w:val="18"/>
          <w:szCs w:val="18"/>
        </w:rPr>
        <w:t>24%</w:t>
      </w:r>
      <w:r>
        <w:rPr>
          <w:color w:val="000000"/>
          <w:spacing w:val="0"/>
          <w:w w:val="100"/>
          <w:position w:val="0"/>
        </w:rPr>
        <w:t>，归属于上市 公司股东的扣除非经常损益净利润</w:t>
      </w:r>
      <w:r>
        <w:rPr>
          <w:color w:val="000000"/>
          <w:spacing w:val="0"/>
          <w:w w:val="100"/>
          <w:position w:val="0"/>
          <w:sz w:val="18"/>
          <w:szCs w:val="18"/>
        </w:rPr>
        <w:t xml:space="preserve">76,646,215. </w:t>
      </w:r>
      <w:r>
        <w:rPr>
          <w:color w:val="000000"/>
          <w:spacing w:val="0"/>
          <w:w w:val="100"/>
          <w:position w:val="0"/>
          <w:sz w:val="18"/>
          <w:szCs w:val="18"/>
        </w:rPr>
        <w:t>16</w:t>
      </w:r>
      <w:r>
        <w:rPr>
          <w:color w:val="000000"/>
          <w:spacing w:val="0"/>
          <w:w w:val="100"/>
          <w:position w:val="0"/>
        </w:rPr>
        <w:t>万元，同比下降</w:t>
      </w:r>
      <w:r>
        <w:rPr>
          <w:color w:val="000000"/>
          <w:spacing w:val="0"/>
          <w:w w:val="100"/>
          <w:position w:val="0"/>
          <w:sz w:val="18"/>
          <w:szCs w:val="18"/>
        </w:rPr>
        <w:t xml:space="preserve">43. </w:t>
      </w:r>
      <w:r>
        <w:rPr>
          <w:color w:val="000000"/>
          <w:spacing w:val="0"/>
          <w:w w:val="100"/>
          <w:position w:val="0"/>
          <w:sz w:val="18"/>
          <w:szCs w:val="18"/>
        </w:rPr>
        <w:t>88%</w:t>
      </w:r>
      <w:r>
        <w:rPr>
          <w:color w:val="000000"/>
          <w:spacing w:val="0"/>
          <w:w w:val="100"/>
          <w:position w:val="0"/>
        </w:rPr>
        <w:t>。</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报告期内，公司作为城市大脑建设运营服务商，运用人工智能、大数据、物联网等技术，着力在社会治理、城市治理、 交通治理、城市精细化管理等领域构建智慧城市智能底座，为城市管理和民生服务打造跨领域、跨区域的数据交换共享平台 和智能分析平台，以推动城市数字化管理，实现城市治理更精准，城市管理更高效。公司以城市大脑为推进主体，高度聚焦 智慧城市、智慧交通、智慧健康等领域，深耕交通大脑、镇街大脑、基层治理、健康大脑等细分行业应用，通过线上与线下 相结合做全行业应用做深行业技术，通过“系统建设+软件服务+运营服务”落实三位一体的企业发展战略和经营策略，通过 市场平台和产业资本的深度融合构建全产业链的开放生态系统。报告期内公司重点布局的产品及业务请详见第三节“经营情 况讨论与分析”之“二、报告期内公司从事的主要业务”。</w:t>
      </w:r>
    </w:p>
    <w:p>
      <w:pPr>
        <w:pStyle w:val="Style28"/>
        <w:keepNext/>
        <w:keepLines/>
        <w:widowControl w:val="0"/>
        <w:shd w:val="clear" w:color="auto" w:fill="auto"/>
        <w:tabs>
          <w:tab w:pos="330" w:val="left"/>
        </w:tabs>
        <w:bidi w:val="0"/>
        <w:spacing w:before="0" w:after="380" w:line="240" w:lineRule="auto"/>
        <w:ind w:left="0" w:right="0" w:firstLine="0"/>
        <w:jc w:val="both"/>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2</w:t>
      </w:r>
      <w:bookmarkEnd w:id="101"/>
      <w:r>
        <w:rPr>
          <w:color w:val="000000"/>
          <w:spacing w:val="0"/>
          <w:w w:val="100"/>
          <w:position w:val="0"/>
        </w:rPr>
        <w:t>、</w:t>
        <w:tab/>
        <w:t>收入与成本</w:t>
      </w:r>
      <w:bookmarkEnd w:id="100"/>
      <w:bookmarkEnd w:id="102"/>
      <w:bookmarkEnd w:id="99"/>
    </w:p>
    <w:p>
      <w:pPr>
        <w:pStyle w:val="Style38"/>
        <w:keepNext/>
        <w:keepLines/>
        <w:widowControl w:val="0"/>
        <w:shd w:val="clear" w:color="auto" w:fill="auto"/>
        <w:bidi w:val="0"/>
        <w:spacing w:before="0" w:after="26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3"/>
      <w:bookmarkEnd w:id="104"/>
      <w:bookmarkEnd w:id="106"/>
    </w:p>
    <w:p>
      <w:pPr>
        <w:pStyle w:val="Style25"/>
        <w:keepNext w:val="0"/>
        <w:keepLines w:val="0"/>
        <w:widowControl w:val="0"/>
        <w:shd w:val="clear" w:color="auto" w:fill="auto"/>
        <w:bidi w:val="0"/>
        <w:spacing w:before="0" w:after="160" w:line="312" w:lineRule="exact"/>
        <w:ind w:left="0" w:right="0" w:firstLine="0"/>
        <w:jc w:val="both"/>
      </w:pPr>
      <w:r>
        <w:rPr>
          <w:color w:val="000000"/>
          <w:spacing w:val="0"/>
          <w:w w:val="100"/>
          <w:position w:val="0"/>
        </w:rPr>
        <w:t>营业收入整体情况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1,999,686,204.20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2,138,181,930.27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1,999,686,204.20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2,138,181,930.27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946,451,480.45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1,009,863,325.67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348,720,270.92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333,984,017.51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677,693,654.60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771,669,858.63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26,820,798.23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22,664,728.46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40,193,692.70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48,750,548.01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384,939,594.31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385,941,838.41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946,851,417.69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1,027,182,599.30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108,982,898.13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144,327,280.29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85,586,569.54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117,813,824.36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81,787,165.75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89,589,822.88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351,344,866.08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324,576,017.02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both"/>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7"/>
      <w:bookmarkEnd w:id="108"/>
      <w:bookmarkEnd w:id="110"/>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1,999,686,204.20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1,486,947,361.51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946,451,480.45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662,881,133.76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348,720,270.92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229,161,354.13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677,693,654.60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578,273,828.89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384,939,594.31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289,211,261.81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946,851,417.69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713,437,344.05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351,344,866.08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263,933,156.67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both"/>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1"/>
      <w:bookmarkEnd w:id="112"/>
      <w:bookmarkEnd w:id="114"/>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tabs>
          <w:tab w:pos="493" w:val="left"/>
        </w:tabs>
        <w:bidi w:val="0"/>
        <w:spacing w:before="0" w:line="240" w:lineRule="auto"/>
        <w:ind w:left="0" w:right="0" w:firstLine="0"/>
        <w:jc w:val="both"/>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5"/>
      <w:bookmarkEnd w:id="116"/>
      <w:bookmarkEnd w:id="118"/>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9"/>
      <w:bookmarkEnd w:id="120"/>
      <w:bookmarkEnd w:id="122"/>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1,486,947,361.51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1,609,601,729.45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r>
    </w:tbl>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662,881,133.76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707,902,840.61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229,161,354.13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220,998,317.45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578,273,828.89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665,570,315.13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综合服务收入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16,631,044.73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15,130,256.26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shd w:val="clear" w:color="auto" w:fill="auto"/>
        <w:tabs>
          <w:tab w:pos="493" w:val="left"/>
        </w:tabs>
        <w:bidi w:val="0"/>
        <w:spacing w:before="0" w:line="240" w:lineRule="auto"/>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3"/>
      <w:bookmarkEnd w:id="124"/>
      <w:bookmarkEnd w:id="126"/>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4</w:t>
      </w:r>
      <w:r>
        <w:rPr>
          <w:color w:val="000000"/>
          <w:spacing w:val="0"/>
          <w:w w:val="100"/>
          <w:position w:val="0"/>
        </w:rPr>
        <w:t>日，子公司浙江银江智慧城市信息技术研究院有限公司新设</w:t>
      </w:r>
      <w:r>
        <w:rPr>
          <w:color w:val="000000"/>
          <w:spacing w:val="0"/>
          <w:w w:val="100"/>
          <w:position w:val="0"/>
          <w:sz w:val="18"/>
          <w:szCs w:val="18"/>
        </w:rPr>
        <w:t>100%</w:t>
      </w:r>
      <w:r>
        <w:rPr>
          <w:color w:val="000000"/>
          <w:spacing w:val="0"/>
          <w:w w:val="100"/>
          <w:position w:val="0"/>
        </w:rPr>
        <w:t>控股公司浙江银江人工智能数据科技有限公司。</w:t>
      </w:r>
    </w:p>
    <w:p>
      <w:pPr>
        <w:pStyle w:val="Style38"/>
        <w:keepNext/>
        <w:keepLines/>
        <w:widowControl w:val="0"/>
        <w:shd w:val="clear" w:color="auto" w:fill="auto"/>
        <w:tabs>
          <w:tab w:pos="493" w:val="left"/>
        </w:tabs>
        <w:bidi w:val="0"/>
        <w:spacing w:before="0" w:line="240" w:lineRule="auto"/>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7"/>
      <w:bookmarkEnd w:id="128"/>
      <w:bookmarkEnd w:id="130"/>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1"/>
      <w:bookmarkEnd w:id="132"/>
      <w:bookmarkEnd w:id="134"/>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973"/>
        <w:gridCol w:w="46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370,353,480.41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90,882,112.23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88,055,045.87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73,400,525.63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63,626,643.36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54,389,153.32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370,353,480.41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183,912,540.54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51,599,067.17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35,260,260.48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33,654,840.27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32,933,098.63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30,465,273.99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183,912,540.54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3</w:t>
      </w:r>
      <w:bookmarkEnd w:id="137"/>
      <w:r>
        <w:rPr>
          <w:color w:val="000000"/>
          <w:spacing w:val="0"/>
          <w:w w:val="100"/>
          <w:position w:val="0"/>
        </w:rPr>
        <w:t>、费用</w:t>
      </w:r>
      <w:bookmarkEnd w:id="135"/>
      <w:bookmarkEnd w:id="136"/>
      <w:bookmarkEnd w:id="13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57,440,876.55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46,427,801.18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145,422,217.95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139,077,278.60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80,002,791.08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80,955,025.62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106,639,311.66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71,735,352.83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4</w:t>
      </w:r>
      <w:bookmarkEnd w:id="141"/>
      <w:r>
        <w:rPr>
          <w:color w:val="000000"/>
          <w:spacing w:val="0"/>
          <w:w w:val="100"/>
          <w:position w:val="0"/>
        </w:rPr>
        <w:t>、研发投入</w:t>
      </w:r>
      <w:bookmarkEnd w:id="139"/>
      <w:bookmarkEnd w:id="140"/>
      <w:bookmarkEnd w:id="142"/>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银江全域交通</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rPr>
              <w:t>治理平台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运用流式数仓、时空大 数据、智慧物联网及人 工智能等前沿技术构建 面向全域交通治理的数 据中枢、算法引擎、业 务平台体系及硬件终端 系统，形成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 术体系的城市级全域交 通治理整体解决方案。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项目正在进行中，取 得了阶段性进展，阶 段成果已在杭州、南 昌、太原等多个城市 落地应用，正在辽 源、西昌等城市进行 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研发数字化道路系统、交通 信号集成控制系统、交通信 号智能优化系统、绿波协调 在线监测系统、街镇社区交 通综合治理与出行服务系 统，以及面向学校、医院、 综合体、产业园、地铁等的 多场景应用，构建城市交通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数据采集、实时融合、多维 分析、预警诊治、智能控制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流程闭环，赋能城市交通治 理的专业化、精细化和智能 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公司城市大脑战略下自主研 发的旗舰产品，进一步强化 公司在智能交通行业的领军 地位。</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区级一体化智治中 心平台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在数字化改革背景下，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为构建省市县乡一体的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项目正在进行中，取 得了阶段性进展，阶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整体智治、数字政府、数 字经济、数字社会，数字法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公司城市大脑战略在区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层面的落地实践，有助于优</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整体智治格局夯实基</w:t>
            </w:r>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础，打造具备</w:t>
            </w:r>
            <w:r>
              <w:rPr>
                <w:rFonts w:ascii="SimHei" w:eastAsia="SimHei" w:hAnsi="SimHei" w:cs="SimHei"/>
                <w:color w:val="000000"/>
                <w:spacing w:val="0"/>
                <w:w w:val="100"/>
                <w:position w:val="0"/>
              </w:rPr>
              <w:t>一</w:t>
            </w:r>
            <w:r>
              <w:rPr>
                <w:color w:val="000000"/>
                <w:spacing w:val="0"/>
                <w:w w:val="100"/>
                <w:position w:val="0"/>
              </w:rPr>
              <w:t>体化、</w:t>
            </w:r>
          </w:p>
          <w:p>
            <w:pPr>
              <w:pStyle w:val="Style2"/>
              <w:keepNext w:val="0"/>
              <w:keepLines w:val="0"/>
              <w:widowControl w:val="0"/>
              <w:shd w:val="clear" w:color="auto" w:fill="auto"/>
              <w:bidi w:val="0"/>
              <w:spacing w:before="0" w:after="140" w:line="312" w:lineRule="exact"/>
              <w:ind w:left="0" w:right="0" w:firstLine="0"/>
              <w:jc w:val="both"/>
            </w:pPr>
            <w:r>
              <w:rPr>
                <w:rFonts w:ascii="SimHei" w:eastAsia="SimHei" w:hAnsi="SimHei" w:cs="SimHei"/>
                <w:color w:val="000000"/>
                <w:spacing w:val="0"/>
                <w:w w:val="100"/>
                <w:position w:val="0"/>
              </w:rPr>
              <w:t>立</w:t>
            </w:r>
            <w:r>
              <w:rPr>
                <w:color w:val="000000"/>
                <w:spacing w:val="0"/>
                <w:w w:val="100"/>
                <w:position w:val="0"/>
              </w:rPr>
              <w:t>体化、实战化、聚合</w:t>
            </w:r>
          </w:p>
          <w:p>
            <w:pPr>
              <w:pStyle w:val="Style2"/>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化、互动化特征的数字 驾驶舱，对策特大城市 核心主城区基层治理难 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段成果已在杭州市 西湖区落地应用。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省数字化改革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大板块为</w:t>
            </w:r>
          </w:p>
          <w:p>
            <w:pPr>
              <w:pStyle w:val="Style2"/>
              <w:keepNext w:val="0"/>
              <w:keepLines w:val="0"/>
              <w:widowControl w:val="0"/>
              <w:shd w:val="clear" w:color="auto" w:fill="auto"/>
              <w:bidi w:val="0"/>
              <w:spacing w:before="0" w:after="140" w:line="307" w:lineRule="exact"/>
              <w:ind w:left="0" w:right="0" w:firstLine="0"/>
              <w:jc w:val="both"/>
            </w:pPr>
            <w:r>
              <w:rPr>
                <w:rFonts w:ascii="SimHei" w:eastAsia="SimHei" w:hAnsi="SimHei" w:cs="SimHei"/>
                <w:color w:val="000000"/>
                <w:spacing w:val="0"/>
                <w:w w:val="100"/>
                <w:position w:val="0"/>
              </w:rPr>
              <w:t>—</w:t>
            </w:r>
            <w:r>
              <w:rPr>
                <w:color w:val="000000"/>
                <w:spacing w:val="0"/>
                <w:w w:val="100"/>
                <w:position w:val="0"/>
              </w:rPr>
              <w:t>体总体布局作为纲领进彳</w:t>
            </w:r>
            <w:r>
              <w:rPr>
                <w:rFonts w:ascii="SimHei" w:eastAsia="SimHei" w:hAnsi="SimHei" w:cs="SimHei"/>
                <w:color w:val="000000"/>
                <w:spacing w:val="0"/>
                <w:w w:val="100"/>
                <w:position w:val="0"/>
              </w:rPr>
              <w:t>亍</w:t>
            </w:r>
          </w:p>
          <w:p>
            <w:pPr>
              <w:pStyle w:val="Style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数字驾驶舱顶层设计和建</w:t>
            </w:r>
          </w:p>
          <w:p>
            <w:pPr>
              <w:pStyle w:val="Style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设，实现纵横结合，构建</w:t>
            </w:r>
            <w:r>
              <w:rPr>
                <w:rFonts w:ascii="SimHei" w:eastAsia="SimHei" w:hAnsi="SimHei" w:cs="SimHei"/>
                <w:color w:val="000000"/>
                <w:spacing w:val="0"/>
                <w:w w:val="100"/>
                <w:position w:val="0"/>
              </w:rPr>
              <w:t>立</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体化的数字驾驶舱，纵向包</w:t>
            </w:r>
          </w:p>
          <w:p>
            <w:pPr>
              <w:pStyle w:val="Style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括街道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乡镇级数字驾驶舱； 横向包括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综合指挥、平安 盾、企诊卫士、西湖码、瞭</w:t>
            </w:r>
          </w:p>
          <w:p>
            <w:pPr>
              <w:pStyle w:val="Style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望哨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舆情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SimHei" w:eastAsia="SimHei" w:hAnsi="SimHei" w:cs="SimHei"/>
                <w:color w:val="000000"/>
                <w:spacing w:val="0"/>
                <w:w w:val="100"/>
                <w:position w:val="0"/>
              </w:rPr>
              <w:t>子</w:t>
            </w:r>
            <w:r>
              <w:rPr>
                <w:color w:val="000000"/>
                <w:spacing w:val="0"/>
                <w:w w:val="100"/>
                <w:position w:val="0"/>
              </w:rPr>
              <w:t>应用场景的扩</w:t>
            </w:r>
          </w:p>
          <w:p>
            <w:pPr>
              <w:pStyle w:val="Style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展，并与指挥联动的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指挥调</w:t>
            </w:r>
          </w:p>
          <w:p>
            <w:pPr>
              <w:pStyle w:val="Style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r>
              <w:rPr>
                <w:rFonts w:ascii="SimHei" w:eastAsia="SimHei" w:hAnsi="SimHei" w:cs="SimHei"/>
                <w:color w:val="000000"/>
                <w:spacing w:val="0"/>
                <w:w w:val="100"/>
                <w:position w:val="0"/>
              </w:rPr>
              <w:t>子</w:t>
            </w:r>
            <w:r>
              <w:rPr>
                <w:color w:val="000000"/>
                <w:spacing w:val="0"/>
                <w:w w:val="100"/>
                <w:position w:val="0"/>
              </w:rPr>
              <w:t>专题对接联动。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化公司业务结构、收入结构 和资产结构，实现公司业务 的再升级。</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镇街社会治理数字 驾驶舱平台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在城市大脑建设的总体 框架下，按照社会管理 创新的指导思想和建设 规范要求，赋能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县乡一 体、条抓块统、整体智 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社会治理新机制，提 高社会治理的扁平化、 数字化、实战化、精细 化，为镇街政府提供社 会治理智慧化整体解决 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项目正在进行中，取 得了阶段性进展，阶 段成果已在杭州市 三墩镇落地应用。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创新运用大数据、云计算、 物联网、区块链、人工智能 等前沿科技构建的平台型城 市协同和智能中枢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整合了 汇集政府、企业和社会数据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在城市治理领域进行融合计 算</w:t>
            </w:r>
            <w:r>
              <w:rPr>
                <w:color w:val="000000"/>
                <w:spacing w:val="0"/>
                <w:w w:val="100"/>
                <w:position w:val="0"/>
                <w:sz w:val="18"/>
                <w:szCs w:val="18"/>
              </w:rPr>
              <w:t>，</w:t>
            </w:r>
            <w:r>
              <w:rPr>
                <w:color w:val="000000"/>
                <w:spacing w:val="0"/>
                <w:w w:val="100"/>
                <w:position w:val="0"/>
              </w:rPr>
              <w:t xml:space="preserve">实现城市运行的生命体 征感知、公共资源配置、宏 观决策指挥、事件预测预警、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治理等功能。研发 内容包括智慧党建平台、智 慧执法平台、智慧平安平台、 智慧经济平台、智慧民生及 社区平台、智慧防控平台、 数智平台及</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个子场景应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公司城市大脑解决方案在乡 镇街道层面的落地实践，通 过数字赋能、场景应用、精 准智控等方面探索推进乡镇 街道基层治理的数字化改 革，有助于优化公司业务结 构、收入结构和资产结构， 实现公司业务的再升级。</w:t>
            </w: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党政机关整体智治 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面向统战、宣传、组织、 文化工作需求，实现了 党建工作的数字化界面 和实体化界面的融合， 更好地服务人民群众， 使得党政工作更便捷高 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项目正在进行中，取 得了阶段性进展，阶 段成果已在已在杭 州市西湖区落地应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平台包括三大核心组成部 分：党组织建设、人大代表 建设和政协委员建设。党组 织建设子系统提供组织工作 结构化数据生成、数据挖掘 分析、实时动态呈现等功能。 研发人大智联线平台、区级 履职平台，畅通人大代表、 政协代表与人民群众的沟通 渠道，解决委员助力基层治 理工作中的痛点难点问题， 更好地服务人民群众。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丰富公司政府基层治理产品 线，增强公司业务竞争力。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西湖码助基层应用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通过数字化赋能，推进 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民有所呼、我有所 应、民有所求、我有所 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，着力破解广大干部 在工作生活中遇到的关 键问题、高频问题、疑 难问题，为干部提供一 站式云服务。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项目正在进行中，取 得了阶段性进展，阶 段成果已在已在杭 州市西湖区落地应 用，前期成果获得了 浙江省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年度改 革突破奖银奖。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小时智能分派系统， 精准高效地分派事件至对应 指挥中心，大幅降低事件流 转时效、减少人工干预、缩 短办件流程，实现事件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秒 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丰富公司政府基层治理产品 线，增强公司业务竞争力。</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Enloop</w:t>
            </w:r>
            <w:r>
              <w:rPr>
                <w:color w:val="000000"/>
                <w:spacing w:val="0"/>
                <w:w w:val="100"/>
                <w:position w:val="0"/>
              </w:rPr>
              <w:t>大数据平台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业务数据化、数据 业务化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的数字化应用 闭环为目标，为政府、 企业提供从数据整合、 治理、保护、共享到数 据分析、可视表达、智 能应用的全过程支撑。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进行中，阶段成果通 过中国信通院大数 据产品检测，取得华 为鲲鹏凌云认证。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平台包括两大核心组成部 分：</w:t>
            </w:r>
            <w:r>
              <w:rPr>
                <w:rFonts w:ascii="Times New Roman" w:eastAsia="Times New Roman" w:hAnsi="Times New Roman" w:cs="Times New Roman"/>
                <w:color w:val="000000"/>
                <w:spacing w:val="0"/>
                <w:w w:val="100"/>
                <w:position w:val="0"/>
                <w:sz w:val="18"/>
                <w:szCs w:val="18"/>
              </w:rPr>
              <w:t>ENLOOP-Hub</w:t>
            </w:r>
            <w:r>
              <w:rPr>
                <w:color w:val="000000"/>
                <w:spacing w:val="0"/>
                <w:w w:val="100"/>
                <w:position w:val="0"/>
              </w:rPr>
              <w:t>数据中枢 平台和</w:t>
            </w:r>
            <w:r>
              <w:rPr>
                <w:rFonts w:ascii="Times New Roman" w:eastAsia="Times New Roman" w:hAnsi="Times New Roman" w:cs="Times New Roman"/>
                <w:color w:val="000000"/>
                <w:spacing w:val="0"/>
                <w:w w:val="100"/>
                <w:position w:val="0"/>
                <w:sz w:val="18"/>
                <w:szCs w:val="18"/>
              </w:rPr>
              <w:t>ENLOOP-Ana</w:t>
            </w:r>
            <w:r>
              <w:rPr>
                <w:color w:val="000000"/>
                <w:spacing w:val="0"/>
                <w:w w:val="100"/>
                <w:position w:val="0"/>
              </w:rPr>
              <w:t>智能中 枢平台。通过数据汇聚加速 信息资源整合利用，推动跨 部门、跨行业的城市信息资 源有序汇聚、横向贯通、深 度共享、价值释放，为数据 业务化应用创新提供一站式 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公司持续研发并提供通用的 大数据共性技术平台，是城 市大脑的基础平台。</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医疗物联网网 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加速</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医疗网络基础 设施建设、丰富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技术 在医疗健康行业应用的 背景下立项研发，面向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技术与医疗行业技 术与应用融合需求，通 过南北向开放，实现了 不同协议产品和业务应 用的融合，从而打造智 慧医疗新生态。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进行中，阶段成果已 取得华为测试报告。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通过下行</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LORA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ZIGBEE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BLE </w:t>
            </w:r>
            <w:r>
              <w:rPr>
                <w:color w:val="000000"/>
                <w:spacing w:val="0"/>
                <w:w w:val="100"/>
                <w:position w:val="0"/>
              </w:rPr>
              <w:t xml:space="preserve">等协 议进行数据的采集，内部完 成信号的格式转化通过上行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对接医院</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专网实现信 号的上传，可将物联网与</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进行有效融合</w:t>
            </w:r>
            <w:r>
              <w:rPr>
                <w:color w:val="000000"/>
                <w:spacing w:val="0"/>
                <w:w w:val="100"/>
                <w:position w:val="0"/>
                <w:sz w:val="18"/>
                <w:szCs w:val="18"/>
              </w:rPr>
              <w:t>，</w:t>
            </w:r>
            <w:r>
              <w:rPr>
                <w:color w:val="000000"/>
                <w:spacing w:val="0"/>
                <w:w w:val="100"/>
                <w:position w:val="0"/>
              </w:rPr>
              <w:t>提供高可靠 的网络传输和连接。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银江与华为在物联网医院赛 道的深度合作，有助于提升 公司核心竞争力，更好的服 务于医疗机构，同时加速</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医疗融合应用发展，促进医 疗行业数字化、网络化、智 能化转型。</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智慧安保平台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针对特种运输车辆、交 通应急事件、以及大型 安保任务等场景应用提 供专门的解决方案，实 现特殊任务的指挥调度 管理可视化、资源物质 配置预案化、智能设备 联动控制自动化，为交 通管理部门提供高效的 信息化支撑，辅助用户 分析决策。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充分发挥物联网优势，以地 理信息可视化为手段，实时 监测路网中的特殊车辆的位 置信息以及安保警力位置分 布；以监控、无人机为可视 化辅助手段，全过程动态跟 踪处置突发情况，保障车辆 安全；以智能设备的自动化 控制为技术手段保障车辆快 速抵达目的地，切实提高防 疫、安保的核心战斗力。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为交通管理部门实现在重大 活动、赛事、特勤保障的高 效协作和快速的处突响应能 力，丰富了公司智能交通的 产品体系。</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可视化实战分析应 用平台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融合跨网跨平台、多维 度的海量交通大数据， 通过数据价值挖掘解决 交通系统中的深层次问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基于大数据分析基础平台， 利用大数据、云计算、互联 网、</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人工智能等新技术手 段，面向路网态势、交通设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大数据、人工智能等新兴技 术与智能交通的深度融合的 产品，增强公司的竞争力。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题，为交管部门在交通 堵点治理、交通警情处 置等实际业务场景应用 提供支撑，最终实现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缓 堵保畅、治安防控、警 力调度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的目标。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备、交通设施、交通枢纽等 智能交通基础设施资源，以 及车辆画像、交通警情、交 通违法、交通事故、交通警 力、资源运维、资源协调等 交通运行信息建立专题化、 可视化的分析与监测信息， 支撑实时分析计算、多层次、 多场景、多维度分析。</w:t>
            </w:r>
          </w:p>
        </w:tc>
        <w:tc>
          <w:tcPr>
            <w:tcBorders>
              <w:top w:val="single" w:sz="4"/>
              <w:left w:val="single" w:sz="4"/>
              <w:right w:val="single" w:sz="4"/>
            </w:tcBorders>
            <w:shd w:val="clear" w:color="auto" w:fill="FFFFFF"/>
            <w:vAlign w:val="top"/>
          </w:tcPr>
          <w:p>
            <w:pPr>
              <w:widowControl w:val="0"/>
              <w:rPr>
                <w:sz w:val="10"/>
                <w:szCs w:val="10"/>
              </w:rPr>
            </w:pPr>
          </w:p>
        </w:tc>
      </w:tr>
      <w:tr>
        <w:trPr>
          <w:trHeight w:val="47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健康大数据分析与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综合管理平台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深化数据互联与利用， 实现区域卫生大数据分 析，形成健康医疗大数 据项目建设与运营服务 解决方案。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搭建了卫生资源主题域、医 疗服务主题域、公共卫生主 题域、药物管理主题域、电 子病历主题域、医疗保障主 题域</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大健康大数据仓库， 研发实现了健康大数据仓 库、管理决策支持系统、居 民健康分析系统、临床数据 分析系统、自定义报表等功 能，支持开展</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项不同主题 不同维度的健康医疗大数据 分析应用，提升了各级医疗 机构的诊疗能力和水平，有 效支撑跨部门协同、社会服 务和政府决策。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大数据、人工智能等新兴技 术与智慧医疗的深度融合的 产品，增强公司的竞争力。</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8" w:hRule="exact"/>
        </w:trPr>
        <w:tc>
          <w:tcPr>
            <w:gridSpan w:val="4"/>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141,877,409.12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91,269,778.30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119,155,919.99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29,441,879.77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20,341,232.46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31,409,977.91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公司研发人员构成发生重大变化的原因及影响</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5</w:t>
      </w:r>
      <w:bookmarkEnd w:id="145"/>
      <w:r>
        <w:rPr>
          <w:color w:val="000000"/>
          <w:spacing w:val="0"/>
          <w:w w:val="100"/>
          <w:position w:val="0"/>
        </w:rPr>
        <w:t>、现金流</w:t>
      </w:r>
      <w:bookmarkEnd w:id="143"/>
      <w:bookmarkEnd w:id="144"/>
      <w:bookmarkEnd w:id="14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290"/>
        <w:gridCol w:w="2294"/>
        <w:gridCol w:w="229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1,863,649,027.54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1,799,434,770.79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2,124,017,931.67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1,890,926,855.36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-260,368,904.13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-91,492,084.57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314,649,590.70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950,951,214.97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178,216,648.00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792,307,677.88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136,432,942.70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158,643,537.09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1,746,172,678.78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2,056,516,489.63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1,902,046,133.60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2,050,910,339.14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-155,873,454.82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5,606,150.49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-279,606,299.20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72,809,599.98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-484.02%</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334" w:val="left"/>
        </w:tabs>
        <w:bidi w:val="0"/>
        <w:spacing w:before="0" w:after="100" w:line="240" w:lineRule="auto"/>
        <w:ind w:left="0" w:right="0" w:firstLine="0"/>
        <w:jc w:val="left"/>
      </w:pPr>
      <w:bookmarkStart w:id="147" w:name="bookmark147"/>
      <w:r>
        <w:rPr>
          <w:rFonts w:ascii="Times New Roman" w:eastAsia="Times New Roman" w:hAnsi="Times New Roman" w:cs="Times New Roman"/>
          <w:color w:val="000000"/>
          <w:spacing w:val="0"/>
          <w:w w:val="100"/>
          <w:position w:val="0"/>
          <w:sz w:val="18"/>
          <w:szCs w:val="18"/>
        </w:rPr>
        <w:t>1</w:t>
      </w:r>
      <w:bookmarkEnd w:id="147"/>
      <w:r>
        <w:rPr>
          <w:color w:val="000000"/>
          <w:spacing w:val="0"/>
          <w:w w:val="100"/>
          <w:position w:val="0"/>
        </w:rPr>
        <w:t>、</w:t>
        <w:tab/>
        <w:t>经营活动产生的现金流量净额减少，主要是项目采购支付增加和项目回款不及预期所致。</w:t>
      </w:r>
    </w:p>
    <w:p>
      <w:pPr>
        <w:pStyle w:val="Style25"/>
        <w:keepNext w:val="0"/>
        <w:keepLines w:val="0"/>
        <w:widowControl w:val="0"/>
        <w:shd w:val="clear" w:color="auto" w:fill="auto"/>
        <w:tabs>
          <w:tab w:pos="354" w:val="left"/>
        </w:tabs>
        <w:bidi w:val="0"/>
        <w:spacing w:before="0" w:after="100" w:line="240" w:lineRule="auto"/>
        <w:ind w:left="0" w:right="0" w:firstLine="0"/>
        <w:jc w:val="left"/>
      </w:pPr>
      <w:bookmarkStart w:id="148" w:name="bookmark148"/>
      <w:r>
        <w:rPr>
          <w:rFonts w:ascii="Times New Roman" w:eastAsia="Times New Roman" w:hAnsi="Times New Roman" w:cs="Times New Roman"/>
          <w:color w:val="000000"/>
          <w:spacing w:val="0"/>
          <w:w w:val="100"/>
          <w:position w:val="0"/>
          <w:sz w:val="18"/>
          <w:szCs w:val="18"/>
        </w:rPr>
        <w:t>2</w:t>
      </w:r>
      <w:bookmarkEnd w:id="148"/>
      <w:r>
        <w:rPr>
          <w:color w:val="000000"/>
          <w:spacing w:val="0"/>
          <w:w w:val="100"/>
          <w:position w:val="0"/>
        </w:rPr>
        <w:t>、</w:t>
        <w:tab/>
        <w:t>投资活动产生的现金流量净额减少，主要是上期控股股东回款所致。</w:t>
      </w:r>
    </w:p>
    <w:p>
      <w:pPr>
        <w:pStyle w:val="Style25"/>
        <w:keepNext w:val="0"/>
        <w:keepLines w:val="0"/>
        <w:widowControl w:val="0"/>
        <w:shd w:val="clear" w:color="auto" w:fill="auto"/>
        <w:tabs>
          <w:tab w:pos="354" w:val="left"/>
        </w:tabs>
        <w:bidi w:val="0"/>
        <w:spacing w:before="0" w:after="140" w:line="240" w:lineRule="auto"/>
        <w:ind w:left="0" w:right="0" w:firstLine="0"/>
        <w:jc w:val="left"/>
      </w:pPr>
      <w:bookmarkStart w:id="149" w:name="bookmark149"/>
      <w:r>
        <w:rPr>
          <w:rFonts w:ascii="Times New Roman" w:eastAsia="Times New Roman" w:hAnsi="Times New Roman" w:cs="Times New Roman"/>
          <w:color w:val="000000"/>
          <w:spacing w:val="0"/>
          <w:w w:val="100"/>
          <w:position w:val="0"/>
          <w:sz w:val="18"/>
          <w:szCs w:val="18"/>
        </w:rPr>
        <w:t>3</w:t>
      </w:r>
      <w:bookmarkEnd w:id="149"/>
      <w:r>
        <w:rPr>
          <w:color w:val="000000"/>
          <w:spacing w:val="0"/>
          <w:w w:val="100"/>
          <w:position w:val="0"/>
        </w:rPr>
        <w:t>、</w:t>
        <w:tab/>
        <w:t>筹资活动产生的现金流量净额减少，主要支付股利、利息费用和偿还短期借款所致。</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numPr>
          <w:ilvl w:val="0"/>
          <w:numId w:val="1"/>
        </w:numPr>
        <w:shd w:val="clear" w:color="auto" w:fill="auto"/>
        <w:tabs>
          <w:tab w:pos="282" w:val="left"/>
          <w:tab w:pos="728" w:val="left"/>
        </w:tabs>
        <w:bidi w:val="0"/>
        <w:spacing w:before="0" w:after="380" w:line="240" w:lineRule="auto"/>
        <w:ind w:left="0" w:right="0" w:firstLine="0"/>
        <w:jc w:val="left"/>
      </w:pPr>
      <w:bookmarkStart w:id="150" w:name="bookmark150"/>
      <w:bookmarkEnd w:id="150"/>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58" w:val="left"/>
        </w:tabs>
        <w:bidi w:val="0"/>
        <w:spacing w:before="0" w:after="3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五</w:t>
      </w:r>
      <w:bookmarkEnd w:id="153"/>
      <w:r>
        <w:rPr>
          <w:color w:val="000000"/>
          <w:spacing w:val="0"/>
          <w:w w:val="100"/>
          <w:position w:val="0"/>
        </w:rPr>
        <w:t>、</w:t>
        <w:tab/>
        <w:t>非主营业务情况</w:t>
      </w:r>
      <w:bookmarkEnd w:id="151"/>
      <w:bookmarkEnd w:id="152"/>
      <w:bookmarkEnd w:id="154"/>
    </w:p>
    <w:p>
      <w:pPr>
        <w:pStyle w:val="Style25"/>
        <w:keepNext w:val="0"/>
        <w:keepLines w:val="0"/>
        <w:widowControl w:val="0"/>
        <w:numPr>
          <w:ilvl w:val="0"/>
          <w:numId w:val="1"/>
        </w:numPr>
        <w:shd w:val="clear" w:color="auto" w:fill="auto"/>
        <w:tabs>
          <w:tab w:pos="282" w:val="left"/>
          <w:tab w:pos="728" w:val="left"/>
        </w:tabs>
        <w:bidi w:val="0"/>
        <w:spacing w:before="0" w:after="380" w:line="240" w:lineRule="auto"/>
        <w:ind w:left="0" w:right="0" w:firstLine="0"/>
        <w:jc w:val="left"/>
      </w:pPr>
      <w:bookmarkStart w:id="155" w:name="bookmark155"/>
      <w:bookmarkEnd w:id="155"/>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58" w:val="left"/>
        </w:tabs>
        <w:bidi w:val="0"/>
        <w:spacing w:before="0" w:after="3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六</w:t>
      </w:r>
      <w:bookmarkEnd w:id="158"/>
      <w:r>
        <w:rPr>
          <w:color w:val="000000"/>
          <w:spacing w:val="0"/>
          <w:w w:val="100"/>
          <w:position w:val="0"/>
        </w:rPr>
        <w:t>、</w:t>
        <w:tab/>
        <w:t>资产及负债状况分析</w:t>
      </w:r>
      <w:bookmarkEnd w:id="156"/>
      <w:bookmarkEnd w:id="157"/>
      <w:bookmarkEnd w:id="159"/>
    </w:p>
    <w:p>
      <w:pPr>
        <w:pStyle w:val="Style28"/>
        <w:keepNext/>
        <w:keepLines/>
        <w:widowControl w:val="0"/>
        <w:shd w:val="clear" w:color="auto" w:fill="auto"/>
        <w:bidi w:val="0"/>
        <w:spacing w:before="0" w:after="38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、资产构成重大变动情况</w:t>
      </w:r>
      <w:bookmarkEnd w:id="160"/>
      <w:bookmarkEnd w:id="161"/>
      <w:bookmarkEnd w:id="16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560"/>
        <w:gridCol w:w="1277"/>
        <w:gridCol w:w="1416"/>
        <w:gridCol w:w="1277"/>
        <w:gridCol w:w="1133"/>
        <w:gridCol w:w="14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占总资产比例</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426"/>
        <w:gridCol w:w="1560"/>
        <w:gridCol w:w="1277"/>
        <w:gridCol w:w="1416"/>
        <w:gridCol w:w="1277"/>
        <w:gridCol w:w="1133"/>
        <w:gridCol w:w="14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425,997,510.12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699,721,404.35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1,891,057,204.26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1,635,029,402.65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1,770,257,194.50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1,713,059,673.34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39,601,069.70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116,629,925.34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589,446,366.30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677,819,033.27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589,944,044.61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592,330,993.57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232,667,128.52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96,845,820.71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121,165,628.73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56,423,908.29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19,845,988.11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1,654,090,908.02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1,737,724,263.22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36,823,706.39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58,258,592.44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17,611,301.06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2</w:t>
      </w:r>
      <w:bookmarkEnd w:id="166"/>
      <w:r>
        <w:rPr>
          <w:color w:val="000000"/>
          <w:spacing w:val="0"/>
          <w:w w:val="100"/>
          <w:position w:val="0"/>
        </w:rPr>
        <w:t>、以公允价值计量的资产和负债</w:t>
      </w:r>
      <w:bookmarkEnd w:id="164"/>
      <w:bookmarkEnd w:id="165"/>
      <w:bookmarkEnd w:id="167"/>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782"/>
        <w:gridCol w:w="135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301,394,572.</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-94,387,909.63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15,002,040.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103,053,344.</w:t>
            </w:r>
          </w:p>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91,451,278.16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301,394,572.</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-94,387,909.63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15,002,040.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103,053,344.</w:t>
            </w:r>
          </w:p>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91,451,278.16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应收款项融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304,034,572.</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-94,387,909.63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15,002,040.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103,053,344.</w:t>
            </w:r>
          </w:p>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96,267,278.16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
        <w:keepNext w:val="0"/>
        <w:keepLines w:val="0"/>
        <w:widowControl w:val="0"/>
        <w:shd w:val="clear" w:color="auto" w:fill="auto"/>
        <w:bidi w:val="0"/>
        <w:spacing w:before="0" w:after="3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28"/>
        <w:keepNext/>
        <w:keepLines/>
        <w:widowControl w:val="0"/>
        <w:shd w:val="clear" w:color="auto" w:fill="auto"/>
        <w:bidi w:val="0"/>
        <w:spacing w:before="0" w:after="36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、截至报告期末的资产权利受限情况</w:t>
      </w:r>
      <w:bookmarkEnd w:id="168"/>
      <w:bookmarkEnd w:id="169"/>
      <w:bookmarkEnd w:id="171"/>
    </w:p>
    <w:tbl>
      <w:tblPr>
        <w:tblOverlap w:val="never"/>
        <w:jc w:val="center"/>
        <w:tblLayout w:type="fixed"/>
      </w:tblPr>
      <w:tblGrid>
        <w:gridCol w:w="3518"/>
        <w:gridCol w:w="2976"/>
        <w:gridCol w:w="3269"/>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945" w:val="left"/>
              </w:tabs>
              <w:bidi w:val="0"/>
              <w:spacing w:before="0" w:after="0" w:line="240" w:lineRule="auto"/>
              <w:ind w:left="0" w:right="0" w:firstLine="460"/>
              <w:jc w:val="left"/>
            </w:pPr>
            <w:r>
              <w:rPr>
                <w:color w:val="000000"/>
                <w:spacing w:val="0"/>
                <w:w w:val="100"/>
                <w:position w:val="0"/>
              </w:rPr>
              <w:t>项</w:t>
              <w:tab/>
              <w:t>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受限原因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货币资金（注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71,754, </w:t>
            </w:r>
            <w:r>
              <w:rPr>
                <w:color w:val="000000"/>
                <w:spacing w:val="0"/>
                <w:w w:val="100"/>
                <w:position w:val="0"/>
                <w:sz w:val="18"/>
                <w:szCs w:val="18"/>
              </w:rPr>
              <w:t>655.47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保证金、诉讼保全</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应收账款（注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用于质押的应收账款</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投资性房地产（注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39, </w:t>
            </w:r>
            <w:r>
              <w:rPr>
                <w:color w:val="000000"/>
                <w:spacing w:val="0"/>
                <w:w w:val="100"/>
                <w:position w:val="0"/>
                <w:sz w:val="18"/>
                <w:szCs w:val="18"/>
              </w:rPr>
              <w:t>927,088.66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用于抵押的房屋建筑物</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089" w:val="left"/>
              </w:tabs>
              <w:bidi w:val="0"/>
              <w:spacing w:before="0" w:after="0" w:line="240" w:lineRule="auto"/>
              <w:ind w:left="0" w:right="0" w:firstLine="46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156, 681, </w:t>
            </w:r>
            <w:r>
              <w:rPr>
                <w:color w:val="000000"/>
                <w:spacing w:val="0"/>
                <w:w w:val="100"/>
                <w:position w:val="0"/>
                <w:sz w:val="18"/>
                <w:szCs w:val="18"/>
              </w:rPr>
              <w:t xml:space="preserve">744.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七</w:t>
      </w:r>
      <w:bookmarkEnd w:id="174"/>
      <w:r>
        <w:rPr>
          <w:color w:val="000000"/>
          <w:spacing w:val="0"/>
          <w:w w:val="100"/>
          <w:position w:val="0"/>
        </w:rPr>
        <w:t>、投资状况分析</w:t>
      </w:r>
      <w:bookmarkEnd w:id="172"/>
      <w:bookmarkEnd w:id="173"/>
      <w:bookmarkEnd w:id="175"/>
    </w:p>
    <w:p>
      <w:pPr>
        <w:pStyle w:val="Style28"/>
        <w:keepNext/>
        <w:keepLines/>
        <w:widowControl w:val="0"/>
        <w:shd w:val="clear" w:color="auto" w:fill="auto"/>
        <w:bidi w:val="0"/>
        <w:spacing w:before="0" w:after="36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、总体情况</w:t>
      </w:r>
      <w:bookmarkEnd w:id="176"/>
      <w:bookmarkEnd w:id="177"/>
      <w:bookmarkEnd w:id="179"/>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176,090,467.37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73,540,994.03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139.45%</w:t>
            </w:r>
          </w:p>
        </w:tc>
      </w:tr>
    </w:tbl>
    <w:p>
      <w:pPr>
        <w:widowControl w:val="0"/>
        <w:spacing w:after="359" w:line="1" w:lineRule="exact"/>
      </w:pPr>
    </w:p>
    <w:p>
      <w:pPr>
        <w:pStyle w:val="Style28"/>
        <w:keepNext/>
        <w:keepLines/>
        <w:widowControl w:val="0"/>
        <w:shd w:val="clear" w:color="auto" w:fill="auto"/>
        <w:tabs>
          <w:tab w:pos="378" w:val="left"/>
        </w:tabs>
        <w:bidi w:val="0"/>
        <w:spacing w:before="0" w:after="36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w:t>
        <w:tab/>
        <w:t>报告期内获取的重大的股权投资情况</w:t>
      </w:r>
      <w:bookmarkEnd w:id="180"/>
      <w:bookmarkEnd w:id="181"/>
      <w:bookmarkEnd w:id="18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报告期内正在进行的重大的非股权投资情况</w:t>
      </w:r>
      <w:bookmarkEnd w:id="184"/>
      <w:bookmarkEnd w:id="185"/>
      <w:bookmarkEnd w:id="187"/>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4</w:t>
      </w:r>
      <w:bookmarkEnd w:id="190"/>
      <w:r>
        <w:rPr>
          <w:color w:val="000000"/>
          <w:spacing w:val="0"/>
          <w:w w:val="100"/>
          <w:position w:val="0"/>
        </w:rPr>
        <w:t>、</w:t>
        <w:tab/>
        <w:t>以公允价值计量的金融资产</w:t>
      </w:r>
      <w:bookmarkEnd w:id="188"/>
      <w:bookmarkEnd w:id="189"/>
      <w:bookmarkEnd w:id="191"/>
    </w:p>
    <w:p>
      <w:pPr>
        <w:pStyle w:val="Style25"/>
        <w:keepNext w:val="0"/>
        <w:keepLines w:val="0"/>
        <w:widowControl w:val="0"/>
        <w:numPr>
          <w:ilvl w:val="0"/>
          <w:numId w:val="1"/>
        </w:numPr>
        <w:shd w:val="clear" w:color="auto" w:fill="auto"/>
        <w:tabs>
          <w:tab w:pos="282" w:val="left"/>
        </w:tabs>
        <w:bidi w:val="0"/>
        <w:spacing w:before="0" w:after="360" w:line="240" w:lineRule="auto"/>
        <w:ind w:left="0" w:right="0" w:firstLine="0"/>
        <w:jc w:val="left"/>
      </w:pPr>
      <w:bookmarkStart w:id="192" w:name="bookmark192"/>
      <w:bookmarkEnd w:id="19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5</w:t>
      </w:r>
      <w:bookmarkEnd w:id="195"/>
      <w:r>
        <w:rPr>
          <w:color w:val="000000"/>
          <w:spacing w:val="0"/>
          <w:w w:val="100"/>
          <w:position w:val="0"/>
        </w:rPr>
        <w:t>、</w:t>
        <w:tab/>
        <w:t>募集资金使用情况</w:t>
      </w:r>
      <w:bookmarkEnd w:id="193"/>
      <w:bookmarkEnd w:id="194"/>
      <w:bookmarkEnd w:id="196"/>
    </w:p>
    <w:p>
      <w:pPr>
        <w:pStyle w:val="Style25"/>
        <w:keepNext w:val="0"/>
        <w:keepLines w:val="0"/>
        <w:widowControl w:val="0"/>
        <w:numPr>
          <w:ilvl w:val="0"/>
          <w:numId w:val="1"/>
        </w:numPr>
        <w:shd w:val="clear" w:color="auto" w:fill="auto"/>
        <w:tabs>
          <w:tab w:pos="282" w:val="left"/>
        </w:tabs>
        <w:bidi w:val="0"/>
        <w:spacing w:before="0" w:after="140" w:line="240" w:lineRule="auto"/>
        <w:ind w:left="0" w:right="0" w:firstLine="0"/>
        <w:jc w:val="left"/>
      </w:pPr>
      <w:bookmarkStart w:id="197" w:name="bookmark197"/>
      <w:bookmarkEnd w:id="19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1"/>
        <w:keepNext/>
        <w:keepLines/>
        <w:widowControl w:val="0"/>
        <w:shd w:val="clear" w:color="auto" w:fill="auto"/>
        <w:bidi w:val="0"/>
        <w:spacing w:before="0" w:line="240" w:lineRule="auto"/>
        <w:ind w:left="0" w:right="0" w:firstLine="0"/>
        <w:jc w:val="left"/>
        <w:rPr>
          <w:sz w:val="24"/>
          <w:szCs w:val="24"/>
        </w:rPr>
      </w:pPr>
      <w:bookmarkStart w:id="198" w:name="bookmark198"/>
      <w:bookmarkStart w:id="199" w:name="bookmark199"/>
      <w:bookmarkStart w:id="200" w:name="bookmark200"/>
      <w:bookmarkStart w:id="201" w:name="bookmark201"/>
      <w:r>
        <w:rPr>
          <w:color w:val="000000"/>
          <w:spacing w:val="0"/>
          <w:w w:val="100"/>
          <w:position w:val="0"/>
          <w:sz w:val="22"/>
          <w:szCs w:val="22"/>
        </w:rPr>
        <w:t>八</w:t>
      </w:r>
      <w:bookmarkEnd w:id="200"/>
      <w:r>
        <w:rPr>
          <w:color w:val="000000"/>
          <w:spacing w:val="0"/>
          <w:w w:val="100"/>
          <w:position w:val="0"/>
          <w:sz w:val="22"/>
          <w:szCs w:val="22"/>
        </w:rPr>
        <w:t>、重大资产和股权出售</w:t>
      </w:r>
      <w:r>
        <w:rPr>
          <w:rFonts w:ascii="Times New Roman" w:eastAsia="Times New Roman" w:hAnsi="Times New Roman" w:cs="Times New Roman"/>
          <w:color w:val="000000"/>
          <w:spacing w:val="0"/>
          <w:w w:val="100"/>
          <w:position w:val="0"/>
          <w:sz w:val="24"/>
          <w:szCs w:val="24"/>
        </w:rPr>
        <w:t>0</w:t>
      </w:r>
      <w:bookmarkEnd w:id="198"/>
      <w:bookmarkEnd w:id="199"/>
      <w:bookmarkEnd w:id="201"/>
    </w:p>
    <w:p>
      <w:pPr>
        <w:pStyle w:val="Style28"/>
        <w:keepNext/>
        <w:keepLines/>
        <w:widowControl w:val="0"/>
        <w:shd w:val="clear" w:color="auto" w:fill="auto"/>
        <w:bidi w:val="0"/>
        <w:spacing w:before="0" w:after="36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、出售重大资产情况</w:t>
      </w:r>
      <w:bookmarkEnd w:id="202"/>
      <w:bookmarkEnd w:id="203"/>
      <w:bookmarkEnd w:id="205"/>
    </w:p>
    <w:p>
      <w:pPr>
        <w:pStyle w:val="Style25"/>
        <w:keepNext w:val="0"/>
        <w:keepLines w:val="0"/>
        <w:widowControl w:val="0"/>
        <w:numPr>
          <w:ilvl w:val="0"/>
          <w:numId w:val="1"/>
        </w:numPr>
        <w:shd w:val="clear" w:color="auto" w:fill="auto"/>
        <w:tabs>
          <w:tab w:pos="282" w:val="left"/>
        </w:tabs>
        <w:bidi w:val="0"/>
        <w:spacing w:before="0" w:after="140" w:line="240" w:lineRule="auto"/>
        <w:ind w:left="0" w:right="0" w:firstLine="0"/>
        <w:jc w:val="left"/>
      </w:pPr>
      <w:bookmarkStart w:id="206" w:name="bookmark206"/>
      <w:bookmarkEnd w:id="20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r>
        <w:br w:type="page"/>
      </w:r>
    </w:p>
    <w:p>
      <w:pPr>
        <w:pStyle w:val="Style28"/>
        <w:keepNext/>
        <w:keepLines/>
        <w:widowControl w:val="0"/>
        <w:shd w:val="clear" w:color="auto" w:fill="auto"/>
        <w:bidi w:val="0"/>
        <w:spacing w:before="0" w:after="38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、出售重大股权情况</w:t>
      </w:r>
      <w:bookmarkEnd w:id="207"/>
      <w:bookmarkEnd w:id="208"/>
      <w:bookmarkEnd w:id="21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九</w:t>
      </w:r>
      <w:bookmarkEnd w:id="213"/>
      <w:r>
        <w:rPr>
          <w:color w:val="000000"/>
          <w:spacing w:val="0"/>
          <w:w w:val="100"/>
          <w:position w:val="0"/>
        </w:rPr>
        <w:t>、主要控股参股公司分析</w:t>
      </w:r>
      <w:bookmarkEnd w:id="211"/>
      <w:bookmarkEnd w:id="212"/>
      <w:bookmarkEnd w:id="214"/>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835"/>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杭州银江智慧城 市技术集团有限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98,309,441.3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53,987,078.0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-708,995.16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-479,686.18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杭州银江智慧健 康集团有限公司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47,654,771.4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13,535,509.3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39,850,047.9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-13,221,814.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6,187,221.32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济南银江信息技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101,768,879.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13,439,984.2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88,055,045.8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6,091,530.03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4,949,413.35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江西银江智慧城 市信息技术有限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10,336,000.0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5,505,047.26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608,821.36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-4,906,956.2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-4,906,956.2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山东银江交通技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14,771,252.2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10,051,161.2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-589,790.80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-589,902.95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山西银江交通信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16,921,337.8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6,722,403.57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11,982,431.7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594,994.44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495,761.65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沈阳智享大健康 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智能技术服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120,273,042.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104,876,960.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2,607,227.00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-10,185,133.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-10,213,561.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西安银江智慧城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智能技术服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10,333,000.0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14,660,704.1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-1,978,283.4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3,496,217.70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-4,361,089.6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浙江银江交通技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智能技术服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99,275,122.7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32,071,799.2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110,632,785.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4,767,000.66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5,308,654.01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浙江银江智慧交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智能技术服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82,668,590.3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55,127,393.1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31,309,708.9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530,029.12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525,523.23</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主要控股参股公司情况说明</w:t>
      </w:r>
    </w:p>
    <w:p>
      <w:pPr>
        <w:pStyle w:val="Style21"/>
        <w:keepNext/>
        <w:keepLines/>
        <w:widowControl w:val="0"/>
        <w:shd w:val="clear" w:color="auto" w:fill="auto"/>
        <w:bidi w:val="0"/>
        <w:spacing w:before="0" w:after="380" w:line="240" w:lineRule="auto"/>
        <w:ind w:left="0" w:right="0" w:firstLine="0"/>
        <w:jc w:val="both"/>
      </w:pPr>
      <w:bookmarkStart w:id="215" w:name="bookmark215"/>
      <w:bookmarkStart w:id="216" w:name="bookmark216"/>
      <w:bookmarkStart w:id="217" w:name="bookmark217"/>
      <w:r>
        <w:rPr>
          <w:color w:val="000000"/>
          <w:spacing w:val="0"/>
          <w:w w:val="100"/>
          <w:position w:val="0"/>
        </w:rPr>
        <w:t>十、公司控制的结构化主体情况</w:t>
      </w:r>
      <w:bookmarkEnd w:id="215"/>
      <w:bookmarkEnd w:id="216"/>
      <w:bookmarkEnd w:id="217"/>
    </w:p>
    <w:p>
      <w:pPr>
        <w:pStyle w:val="Style25"/>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218" w:name="bookmark218"/>
      <w:bookmarkStart w:id="219" w:name="bookmark219"/>
      <w:bookmarkStart w:id="220" w:name="bookmark220"/>
      <w:r>
        <w:rPr>
          <w:color w:val="000000"/>
          <w:spacing w:val="0"/>
          <w:w w:val="100"/>
          <w:position w:val="0"/>
        </w:rPr>
        <w:t>十一、公司未来发展的展望</w:t>
      </w:r>
      <w:bookmarkEnd w:id="218"/>
      <w:bookmarkEnd w:id="219"/>
      <w:bookmarkEnd w:id="220"/>
    </w:p>
    <w:p>
      <w:pPr>
        <w:pStyle w:val="Style25"/>
        <w:keepNext w:val="0"/>
        <w:keepLines w:val="0"/>
        <w:widowControl w:val="0"/>
        <w:numPr>
          <w:ilvl w:val="0"/>
          <w:numId w:val="3"/>
        </w:numPr>
        <w:shd w:val="clear" w:color="auto" w:fill="auto"/>
        <w:tabs>
          <w:tab w:pos="861" w:val="left"/>
        </w:tabs>
        <w:bidi w:val="0"/>
        <w:spacing w:before="0" w:after="0" w:line="314" w:lineRule="exact"/>
        <w:ind w:left="0" w:right="0"/>
        <w:jc w:val="both"/>
      </w:pPr>
      <w:bookmarkStart w:id="221" w:name="bookmark221"/>
      <w:bookmarkEnd w:id="221"/>
      <w:r>
        <w:rPr>
          <w:b/>
          <w:bCs/>
          <w:color w:val="000000"/>
          <w:spacing w:val="0"/>
          <w:w w:val="100"/>
          <w:position w:val="0"/>
        </w:rPr>
        <w:t>公司未来发展战略</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年是中国十四五规划的开启第二年，公司作为城市大脑建设运营服务商，牢牢把握新基建和基层治理的宏观方 向，坚定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城市大脑建设运营服务商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核心战略定位，以技术产品创新驱动产业升级迭代通过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双轮驱动发展， 聚焦智慧经济建设。未来公司将公司依托人工智能、大数据、物联网、数据挛生等新一代信息技术，为交通出行、城市 管理、社会治理、民生服务等方面打造跨领域、跨区域的数据资源交换和共享平台。公司高度聚焦人工智能和物联网技 术和产品在智慧交通、智慧健康、智慧治理等领域的场景应用，目前已形成了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产品交付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 的发展战略和经营策略。公司率先布局了基层治理的数字化建设，并以杭州为试点案例，创新推出了镇街大脑整体解决 方案及相关产品应用。镇街大脑是基于城市大脑总体框架及社会治理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五位一体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的理念，运用物联网、云计算、大数据、 人工智能等前沿技术，构建了多元化全域智治平台，打造以乡镇和街道级别的基层大脑(即镇街大脑)，为基层社会治 理提供一揽子解决方案。</w:t>
      </w:r>
    </w:p>
    <w:p>
      <w:pPr>
        <w:pStyle w:val="Style25"/>
        <w:keepNext w:val="0"/>
        <w:keepLines w:val="0"/>
        <w:widowControl w:val="0"/>
        <w:numPr>
          <w:ilvl w:val="0"/>
          <w:numId w:val="3"/>
        </w:numPr>
        <w:shd w:val="clear" w:color="auto" w:fill="auto"/>
        <w:tabs>
          <w:tab w:pos="861" w:val="left"/>
        </w:tabs>
        <w:bidi w:val="0"/>
        <w:spacing w:before="0" w:after="0" w:line="314" w:lineRule="exact"/>
        <w:ind w:left="0" w:right="0"/>
        <w:jc w:val="both"/>
      </w:pPr>
      <w:bookmarkStart w:id="222" w:name="bookmark222"/>
      <w:bookmarkEnd w:id="222"/>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年经营计划</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根据公司战略规划，</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年公司总体经营思路是巩固现有业务，继续开拓新领域新产品业务，进一步执行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 脑建设运营服务商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的战略定位并稳抓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的基本盘，实现智慧城市建设、维护、运营和服务全过程发展，持续提 升公司综合竞争力。</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年度重点工作计划如下：</w:t>
      </w:r>
    </w:p>
    <w:p>
      <w:pPr>
        <w:pStyle w:val="Style25"/>
        <w:keepNext w:val="0"/>
        <w:keepLines w:val="0"/>
        <w:widowControl w:val="0"/>
        <w:numPr>
          <w:ilvl w:val="0"/>
          <w:numId w:val="5"/>
        </w:numPr>
        <w:shd w:val="clear" w:color="auto" w:fill="auto"/>
        <w:tabs>
          <w:tab w:pos="765" w:val="left"/>
        </w:tabs>
        <w:bidi w:val="0"/>
        <w:spacing w:before="0" w:after="0" w:line="314" w:lineRule="exact"/>
        <w:ind w:left="0" w:right="0"/>
        <w:jc w:val="both"/>
      </w:pPr>
      <w:bookmarkStart w:id="223" w:name="bookmark223"/>
      <w:bookmarkEnd w:id="223"/>
      <w:r>
        <w:rPr>
          <w:color w:val="000000"/>
          <w:spacing w:val="0"/>
          <w:w w:val="100"/>
          <w:position w:val="0"/>
        </w:rPr>
        <w:t>坚定城市大脑战略，持续构建数字产业平台</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高度把握国家“十四五”规划，紧跟各省市政策导向，结合公司城市大脑战略，公司通过技术和产品创新，持续构 建城市大脑产业平台，覆盖交通大脑、镇街大脑、司法大脑等领域。其中城市大脑以杭州、吉安为建设运营样本，进一 步向国内其他区域推广落地；交通大脑通过数据算力中枢和软硬件“手脚联动”，实现完整的交通大脑闭环和深度应用 服务，在杭州、南昌、太原等地实现进一步应用升级并在其他目标城市进行推广；镇街大脑以杭州西湖区模式为样板， 以成都固驿镇为切入点，将全面在浙江省内及其他省份城市推广复制。</w:t>
      </w:r>
    </w:p>
    <w:p>
      <w:pPr>
        <w:pStyle w:val="Style25"/>
        <w:keepNext w:val="0"/>
        <w:keepLines w:val="0"/>
        <w:widowControl w:val="0"/>
        <w:numPr>
          <w:ilvl w:val="0"/>
          <w:numId w:val="5"/>
        </w:numPr>
        <w:shd w:val="clear" w:color="auto" w:fill="auto"/>
        <w:tabs>
          <w:tab w:pos="765" w:val="left"/>
        </w:tabs>
        <w:bidi w:val="0"/>
        <w:spacing w:before="0" w:after="0" w:line="314" w:lineRule="exact"/>
        <w:ind w:left="0" w:right="0"/>
        <w:jc w:val="both"/>
      </w:pPr>
      <w:bookmarkStart w:id="224" w:name="bookmark224"/>
      <w:bookmarkEnd w:id="224"/>
      <w:r>
        <w:rPr>
          <w:color w:val="000000"/>
          <w:spacing w:val="0"/>
          <w:w w:val="100"/>
          <w:position w:val="0"/>
        </w:rPr>
        <w:t>深耕交通</w:t>
      </w:r>
      <w:r>
        <w:rPr>
          <w:color w:val="000000"/>
          <w:spacing w:val="0"/>
          <w:w w:val="100"/>
          <w:position w:val="0"/>
          <w:sz w:val="18"/>
          <w:szCs w:val="18"/>
        </w:rPr>
        <w:t>AI</w:t>
      </w:r>
      <w:r>
        <w:rPr>
          <w:color w:val="000000"/>
          <w:spacing w:val="0"/>
          <w:w w:val="100"/>
          <w:position w:val="0"/>
        </w:rPr>
        <w:t>治理，为智慧出行赋能</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在</w:t>
      </w:r>
      <w:r>
        <w:rPr>
          <w:color w:val="000000"/>
          <w:spacing w:val="0"/>
          <w:w w:val="100"/>
          <w:position w:val="0"/>
          <w:sz w:val="18"/>
          <w:szCs w:val="18"/>
        </w:rPr>
        <w:t>2021</w:t>
      </w:r>
      <w:r>
        <w:rPr>
          <w:color w:val="000000"/>
          <w:spacing w:val="0"/>
          <w:w w:val="100"/>
          <w:position w:val="0"/>
        </w:rPr>
        <w:t>年的基础上，公司将继续加大对交通</w:t>
      </w:r>
      <w:r>
        <w:rPr>
          <w:color w:val="000000"/>
          <w:spacing w:val="0"/>
          <w:w w:val="100"/>
          <w:position w:val="0"/>
          <w:sz w:val="18"/>
          <w:szCs w:val="18"/>
        </w:rPr>
        <w:t>AI</w:t>
      </w:r>
      <w:r>
        <w:rPr>
          <w:color w:val="000000"/>
          <w:spacing w:val="0"/>
          <w:w w:val="100"/>
          <w:position w:val="0"/>
        </w:rPr>
        <w:t>治理、智能信控、交通信号配时综等方面产品和解决方案的完善。进 一步巩固交通数据治理产品体系，强化交通信号集成总控能力；深耕数字化运营服务，优化商业模式实现迅速复制；紧 密结合市场需求，探索多样化交通治理场景；布局</w:t>
      </w:r>
      <w:r>
        <w:rPr>
          <w:color w:val="000000"/>
          <w:spacing w:val="0"/>
          <w:w w:val="100"/>
          <w:position w:val="0"/>
          <w:sz w:val="18"/>
          <w:szCs w:val="18"/>
        </w:rPr>
        <w:t>V2X</w:t>
      </w:r>
      <w:r>
        <w:rPr>
          <w:color w:val="000000"/>
          <w:spacing w:val="0"/>
          <w:w w:val="100"/>
          <w:position w:val="0"/>
        </w:rPr>
        <w:t>终端设备，为自动驾驶保驾护航。</w:t>
      </w:r>
    </w:p>
    <w:p>
      <w:pPr>
        <w:pStyle w:val="Style25"/>
        <w:keepNext w:val="0"/>
        <w:keepLines w:val="0"/>
        <w:widowControl w:val="0"/>
        <w:numPr>
          <w:ilvl w:val="0"/>
          <w:numId w:val="5"/>
        </w:numPr>
        <w:shd w:val="clear" w:color="auto" w:fill="auto"/>
        <w:tabs>
          <w:tab w:pos="765" w:val="left"/>
        </w:tabs>
        <w:bidi w:val="0"/>
        <w:spacing w:before="0" w:after="0" w:line="314" w:lineRule="exact"/>
        <w:ind w:left="0" w:right="0"/>
        <w:jc w:val="both"/>
      </w:pPr>
      <w:bookmarkStart w:id="225" w:name="bookmark225"/>
      <w:bookmarkEnd w:id="225"/>
      <w:r>
        <w:rPr>
          <w:color w:val="000000"/>
          <w:spacing w:val="0"/>
          <w:w w:val="100"/>
          <w:position w:val="0"/>
        </w:rPr>
        <w:t>完善社会治理产品体系，助力赋能基层治理更精准</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公司以《十四五规划和二</w:t>
      </w:r>
      <w:r>
        <w:rPr>
          <w:color w:val="000000"/>
          <w:spacing w:val="0"/>
          <w:w w:val="100"/>
          <w:position w:val="0"/>
          <w:sz w:val="18"/>
          <w:szCs w:val="18"/>
        </w:rPr>
        <w:t>O</w:t>
      </w:r>
      <w:r>
        <w:rPr>
          <w:color w:val="000000"/>
          <w:spacing w:val="0"/>
          <w:w w:val="100"/>
          <w:position w:val="0"/>
        </w:rPr>
        <w:t>三五年远景目标的建议》和各省市数字化改革为契机，顺应国家和各级政府部门“加强 数字社会、数字政府建设，提升公共服务、社会治理等数字化智能化”的方向，公司将重点关注基层治理数字化建设业 务。紧密结合城市大脑总体框架及社会治理“五位一体”的理念，运用物联网、云计算、大数据、人工智能、区块链等 前沿技术，打造以区县、镇街、村社三级为框架结构的社会治理一揽子解决方案。公司将继续加大在浙江省及其他省份 推广复制力度，打造公司业务创新的标杆典范。</w:t>
      </w:r>
    </w:p>
    <w:p>
      <w:pPr>
        <w:pStyle w:val="Style25"/>
        <w:keepNext w:val="0"/>
        <w:keepLines w:val="0"/>
        <w:widowControl w:val="0"/>
        <w:numPr>
          <w:ilvl w:val="0"/>
          <w:numId w:val="5"/>
        </w:numPr>
        <w:shd w:val="clear" w:color="auto" w:fill="auto"/>
        <w:tabs>
          <w:tab w:pos="765" w:val="left"/>
        </w:tabs>
        <w:bidi w:val="0"/>
        <w:spacing w:before="0" w:after="0" w:line="314" w:lineRule="exact"/>
        <w:ind w:left="0" w:right="0"/>
        <w:jc w:val="both"/>
      </w:pPr>
      <w:bookmarkStart w:id="226" w:name="bookmark226"/>
      <w:bookmarkEnd w:id="226"/>
      <w:r>
        <w:rPr>
          <w:color w:val="000000"/>
          <w:spacing w:val="0"/>
          <w:w w:val="100"/>
          <w:position w:val="0"/>
        </w:rPr>
        <w:t>深耕物联网技术，发力物联网医疗</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公司在</w:t>
      </w:r>
      <w:r>
        <w:rPr>
          <w:color w:val="000000"/>
          <w:spacing w:val="0"/>
          <w:w w:val="100"/>
          <w:position w:val="0"/>
          <w:sz w:val="18"/>
          <w:szCs w:val="18"/>
        </w:rPr>
        <w:t>2021</w:t>
      </w:r>
      <w:r>
        <w:rPr>
          <w:color w:val="000000"/>
          <w:spacing w:val="0"/>
          <w:w w:val="100"/>
          <w:position w:val="0"/>
        </w:rPr>
        <w:t>年的基础上，继续加大对物联网技术的研发和产品的升级迭代，在已有的物联网架构基础上，通过物联 网数据总线，将所有系统数据整合、分析、展现，实现目标客户医院的统一化、精细化管理，打造物联网医院的行业标 准，实现产业的飞速发展。</w:t>
      </w:r>
    </w:p>
    <w:p>
      <w:pPr>
        <w:pStyle w:val="Style25"/>
        <w:keepNext w:val="0"/>
        <w:keepLines w:val="0"/>
        <w:widowControl w:val="0"/>
        <w:numPr>
          <w:ilvl w:val="0"/>
          <w:numId w:val="5"/>
        </w:numPr>
        <w:shd w:val="clear" w:color="auto" w:fill="auto"/>
        <w:tabs>
          <w:tab w:pos="765" w:val="left"/>
        </w:tabs>
        <w:bidi w:val="0"/>
        <w:spacing w:before="0" w:after="0" w:line="311" w:lineRule="exact"/>
        <w:ind w:left="0" w:right="0"/>
        <w:jc w:val="both"/>
      </w:pPr>
      <w:bookmarkStart w:id="227" w:name="bookmark227"/>
      <w:bookmarkEnd w:id="227"/>
      <w:r>
        <w:rPr>
          <w:color w:val="000000"/>
          <w:spacing w:val="0"/>
          <w:w w:val="100"/>
          <w:position w:val="0"/>
        </w:rPr>
        <w:t>加强对外深度合作，实现生态协同发展</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加强对外合作的广度、深度、力度，通过解决方案合作、产品开发合作、市场共享合作等方式，积极主动协同央企、 国企、高校、科研单位及华为等大型企业巨头，形成广泛合作的生态。一方面，在传统智慧城市、智慧交通、智慧高速、 智慧轨交等领域保持良好的增长；另一方面，在新兴业务上围绕城市大脑、基层治理、交通</w:t>
      </w:r>
      <w:r>
        <w:rPr>
          <w:color w:val="000000"/>
          <w:spacing w:val="0"/>
          <w:w w:val="100"/>
          <w:position w:val="0"/>
          <w:sz w:val="18"/>
          <w:szCs w:val="18"/>
        </w:rPr>
        <w:t>AI</w:t>
      </w:r>
      <w:r>
        <w:rPr>
          <w:color w:val="000000"/>
          <w:spacing w:val="0"/>
          <w:w w:val="100"/>
          <w:position w:val="0"/>
        </w:rPr>
        <w:t>治理、物联网医疗展开全 方位深度合作，实现创新业务质的飞跃。</w:t>
      </w:r>
    </w:p>
    <w:p>
      <w:pPr>
        <w:pStyle w:val="Style25"/>
        <w:keepNext w:val="0"/>
        <w:keepLines w:val="0"/>
        <w:widowControl w:val="0"/>
        <w:numPr>
          <w:ilvl w:val="0"/>
          <w:numId w:val="5"/>
        </w:numPr>
        <w:shd w:val="clear" w:color="auto" w:fill="auto"/>
        <w:tabs>
          <w:tab w:pos="765" w:val="left"/>
        </w:tabs>
        <w:bidi w:val="0"/>
        <w:spacing w:before="0" w:after="0" w:line="311" w:lineRule="exact"/>
        <w:ind w:left="0" w:right="0"/>
        <w:jc w:val="both"/>
      </w:pPr>
      <w:bookmarkStart w:id="228" w:name="bookmark228"/>
      <w:bookmarkEnd w:id="228"/>
      <w:r>
        <w:rPr>
          <w:color w:val="000000"/>
          <w:spacing w:val="0"/>
          <w:w w:val="100"/>
          <w:position w:val="0"/>
        </w:rPr>
        <w:t>全力推进再融资，实现产业再升级</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公司拟通过非公开发行股票募集</w:t>
      </w:r>
      <w:r>
        <w:rPr>
          <w:color w:val="000000"/>
          <w:spacing w:val="0"/>
          <w:w w:val="100"/>
          <w:position w:val="0"/>
          <w:sz w:val="18"/>
          <w:szCs w:val="18"/>
        </w:rPr>
        <w:t>10</w:t>
      </w:r>
      <w:r>
        <w:rPr>
          <w:color w:val="000000"/>
          <w:spacing w:val="0"/>
          <w:w w:val="100"/>
          <w:position w:val="0"/>
        </w:rPr>
        <w:t>亿元，推动公司技术和产业再升级发展。本次募集资金用于“城市大脑”整体解 决方案研发及实施项目、基于新一代信息技术的智慧医院项目和补充流动资金项目。</w:t>
      </w:r>
      <w:r>
        <w:rPr>
          <w:color w:val="000000"/>
          <w:spacing w:val="0"/>
          <w:w w:val="100"/>
          <w:position w:val="0"/>
          <w:sz w:val="18"/>
          <w:szCs w:val="18"/>
        </w:rPr>
        <w:t>2021</w:t>
      </w:r>
      <w:r>
        <w:rPr>
          <w:color w:val="000000"/>
          <w:spacing w:val="0"/>
          <w:w w:val="100"/>
          <w:position w:val="0"/>
        </w:rPr>
        <w:t>年是公司上市的第</w:t>
      </w:r>
      <w:r>
        <w:rPr>
          <w:color w:val="000000"/>
          <w:spacing w:val="0"/>
          <w:w w:val="100"/>
          <w:position w:val="0"/>
          <w:sz w:val="18"/>
          <w:szCs w:val="18"/>
        </w:rPr>
        <w:t>12</w:t>
      </w:r>
      <w:r>
        <w:rPr>
          <w:color w:val="000000"/>
          <w:spacing w:val="0"/>
          <w:w w:val="100"/>
          <w:position w:val="0"/>
        </w:rPr>
        <w:t xml:space="preserve">个年头， </w:t>
      </w:r>
      <w:r>
        <w:rPr>
          <w:color w:val="000000"/>
          <w:spacing w:val="0"/>
          <w:w w:val="100"/>
          <w:position w:val="0"/>
        </w:rPr>
        <w:t>公司的战略已由“智慧城市建设运营服务商”升级为“城市大脑运营服务商”，公司技术和产业的发展离不开资本市场 和全体股东的支持。公司将以本次再融资为契机，以技术创新驱动为核心，以建设运营服务为抓手，推广“城市大脑” 系统建设和服务，不断提升公司数据运营服务能力。</w:t>
      </w:r>
    </w:p>
    <w:p>
      <w:pPr>
        <w:pStyle w:val="Style25"/>
        <w:keepNext w:val="0"/>
        <w:keepLines w:val="0"/>
        <w:widowControl w:val="0"/>
        <w:shd w:val="clear" w:color="auto" w:fill="auto"/>
        <w:bidi w:val="0"/>
        <w:spacing w:before="0" w:after="100" w:line="313" w:lineRule="exact"/>
        <w:ind w:left="0" w:right="0"/>
        <w:jc w:val="left"/>
      </w:pPr>
      <w:bookmarkStart w:id="229" w:name="bookmark229"/>
      <w:r>
        <w:rPr>
          <w:b/>
          <w:bCs/>
          <w:color w:val="000000"/>
          <w:spacing w:val="0"/>
          <w:w w:val="100"/>
          <w:position w:val="0"/>
        </w:rPr>
        <w:t>（</w:t>
      </w:r>
      <w:bookmarkEnd w:id="229"/>
      <w:r>
        <w:rPr>
          <w:b/>
          <w:bCs/>
          <w:color w:val="000000"/>
          <w:spacing w:val="0"/>
          <w:w w:val="100"/>
          <w:position w:val="0"/>
        </w:rPr>
        <w:t>三）风险因素</w:t>
      </w:r>
    </w:p>
    <w:p>
      <w:pPr>
        <w:pStyle w:val="Style25"/>
        <w:keepNext w:val="0"/>
        <w:keepLines w:val="0"/>
        <w:widowControl w:val="0"/>
        <w:shd w:val="clear" w:color="auto" w:fill="auto"/>
        <w:tabs>
          <w:tab w:pos="654" w:val="left"/>
        </w:tabs>
        <w:bidi w:val="0"/>
        <w:spacing w:before="0" w:after="0" w:line="360" w:lineRule="auto"/>
        <w:ind w:left="0" w:right="0"/>
        <w:jc w:val="left"/>
      </w:pPr>
      <w:bookmarkStart w:id="230" w:name="bookmark230"/>
      <w:r>
        <w:rPr>
          <w:rFonts w:ascii="Times New Roman" w:eastAsia="Times New Roman" w:hAnsi="Times New Roman" w:cs="Times New Roman"/>
          <w:color w:val="000000"/>
          <w:spacing w:val="0"/>
          <w:w w:val="100"/>
          <w:position w:val="0"/>
          <w:sz w:val="18"/>
          <w:szCs w:val="18"/>
        </w:rPr>
        <w:t>1</w:t>
      </w:r>
      <w:bookmarkEnd w:id="230"/>
      <w:r>
        <w:rPr>
          <w:color w:val="000000"/>
          <w:spacing w:val="0"/>
          <w:w w:val="100"/>
          <w:position w:val="0"/>
        </w:rPr>
        <w:t>、</w:t>
        <w:tab/>
        <w:t>政策性风险</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公司所处智慧城市建设相关行业与国家宏观经济运行状况密切，公司的发展与国民经济运行状况呈正相关性，当前公司 主要客户为政府部门，政府政策、宏观调控政策、政府主管负责人的更替等因素直接和间接影响公司主营业务和公司客户。</w:t>
      </w:r>
    </w:p>
    <w:p>
      <w:pPr>
        <w:pStyle w:val="Style25"/>
        <w:keepNext w:val="0"/>
        <w:keepLines w:val="0"/>
        <w:widowControl w:val="0"/>
        <w:shd w:val="clear" w:color="auto" w:fill="auto"/>
        <w:bidi w:val="0"/>
        <w:spacing w:before="0" w:after="100" w:line="313" w:lineRule="exact"/>
        <w:ind w:left="0" w:right="0"/>
        <w:jc w:val="left"/>
      </w:pPr>
      <w:r>
        <w:rPr>
          <w:color w:val="000000"/>
          <w:spacing w:val="0"/>
          <w:w w:val="100"/>
          <w:position w:val="0"/>
        </w:rPr>
        <w:t>应对措施：为减少因行业集中形成的风险，公司更积极增加各相关细分行业的投入，筛选优质客户，并选择信誉好、财 政充足的客户共同合作，规避客户风险。</w:t>
      </w:r>
    </w:p>
    <w:p>
      <w:pPr>
        <w:pStyle w:val="Style25"/>
        <w:keepNext w:val="0"/>
        <w:keepLines w:val="0"/>
        <w:widowControl w:val="0"/>
        <w:shd w:val="clear" w:color="auto" w:fill="auto"/>
        <w:tabs>
          <w:tab w:pos="674" w:val="left"/>
        </w:tabs>
        <w:bidi w:val="0"/>
        <w:spacing w:before="0" w:after="0" w:line="360" w:lineRule="auto"/>
        <w:ind w:left="0" w:right="0"/>
        <w:jc w:val="left"/>
      </w:pPr>
      <w:bookmarkStart w:id="231" w:name="bookmark231"/>
      <w:r>
        <w:rPr>
          <w:rFonts w:ascii="Times New Roman" w:eastAsia="Times New Roman" w:hAnsi="Times New Roman" w:cs="Times New Roman"/>
          <w:color w:val="000000"/>
          <w:spacing w:val="0"/>
          <w:w w:val="100"/>
          <w:position w:val="0"/>
          <w:sz w:val="18"/>
          <w:szCs w:val="18"/>
        </w:rPr>
        <w:t>2</w:t>
      </w:r>
      <w:bookmarkEnd w:id="231"/>
      <w:r>
        <w:rPr>
          <w:color w:val="000000"/>
          <w:spacing w:val="0"/>
          <w:w w:val="100"/>
          <w:position w:val="0"/>
        </w:rPr>
        <w:t>、</w:t>
        <w:tab/>
        <w:t>核心人员流失风险</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行业技术变革日新月异和市场竞争的不断加剧，特别是大数据和互联网的产业兴起，对公司的市场开拓、技术储备和人 才储备带来一定的挑战。如果公司不能有效保持和完善核心人员的激励机制，将会影响到核心人员积极性、创造性的发挥， 也会影响到核心团队后备力量的建设，造成人才流失，从而给公司的生产经营造成不利影响。</w:t>
      </w:r>
    </w:p>
    <w:p>
      <w:pPr>
        <w:pStyle w:val="Style25"/>
        <w:keepNext w:val="0"/>
        <w:keepLines w:val="0"/>
        <w:widowControl w:val="0"/>
        <w:shd w:val="clear" w:color="auto" w:fill="auto"/>
        <w:bidi w:val="0"/>
        <w:spacing w:before="0" w:after="100" w:line="313" w:lineRule="exact"/>
        <w:ind w:left="0" w:right="0"/>
        <w:jc w:val="left"/>
      </w:pPr>
      <w:r>
        <w:rPr>
          <w:color w:val="000000"/>
          <w:spacing w:val="0"/>
          <w:w w:val="100"/>
          <w:position w:val="0"/>
        </w:rPr>
        <w:t xml:space="preserve">应对措施:人才资源是公司核心竞争力，公司把对外部高端人才的引进和对内部骨干及后备人才的培养提到了战略高度， 建立完善了的人才聘用及管理、激励制度，并通过股权激励、员工持股计划、子公司改制来稳定核心技术人才队伍。公司的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银江合伙人计划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通过选择合适的全资和控股子公司股权改造，实现子公司经营管理层持有其所经营的子公司适当比例的股 权，使股东、管理层、骨干员工的利益进一步趋同，为公司的持续发展提供制度性和政策性的保障环境。公司自上市以来， 核心人员稳定，流失风险较小。</w:t>
      </w:r>
    </w:p>
    <w:p>
      <w:pPr>
        <w:pStyle w:val="Style25"/>
        <w:keepNext w:val="0"/>
        <w:keepLines w:val="0"/>
        <w:widowControl w:val="0"/>
        <w:shd w:val="clear" w:color="auto" w:fill="auto"/>
        <w:tabs>
          <w:tab w:pos="674" w:val="left"/>
        </w:tabs>
        <w:bidi w:val="0"/>
        <w:spacing w:before="0" w:after="0" w:line="360" w:lineRule="auto"/>
        <w:ind w:left="0" w:right="0"/>
        <w:jc w:val="both"/>
      </w:pPr>
      <w:bookmarkStart w:id="232" w:name="bookmark232"/>
      <w:r>
        <w:rPr>
          <w:rFonts w:ascii="Times New Roman" w:eastAsia="Times New Roman" w:hAnsi="Times New Roman" w:cs="Times New Roman"/>
          <w:color w:val="000000"/>
          <w:spacing w:val="0"/>
          <w:w w:val="100"/>
          <w:position w:val="0"/>
          <w:sz w:val="18"/>
          <w:szCs w:val="18"/>
        </w:rPr>
        <w:t>3</w:t>
      </w:r>
      <w:bookmarkEnd w:id="232"/>
      <w:r>
        <w:rPr>
          <w:color w:val="000000"/>
          <w:spacing w:val="0"/>
          <w:w w:val="100"/>
          <w:position w:val="0"/>
        </w:rPr>
        <w:t>、</w:t>
        <w:tab/>
        <w:t>智慧城市业务模式的风险</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智慧城市建设主导者是城市管理者即地方政府或政府有关部门，而受益者则是城市的主体即城市中的企业和市民。由于 智慧城市总包项目投资总金额大、项目建设周期长、项目所涉及的地方政府下属部门或分支机构较多、智慧城市总包合同仅 为较笼统的框架性协议，因此智慧城市总包业务模式存在政府换届或国家政策调整变化、地方政府财政紧张导致投入延迟或 无法持续投入、费用控制不力、公司现金流压力和回款压力等因素造成项目部分或全部无法实施或延期的风险。</w:t>
      </w:r>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应对措施：公司会持续密切关注国家政策和相关法律法规规章制度在智慧城市建设方面的变化，选择地方财政和信誉情 况较好的地区开拓业务市场，由专门的工作小组跟进总包业务项目，及时向公司管理层反馈项目进展情况，按照项目计划严 格控制项目费用和成本投入，并以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质量优先、风险为上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为指导原则，对于风险可能较大的总包业务项目采取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宁可暂缓、 宁可放弃、不可强求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的执行原则，降低总包业务风险。</w:t>
      </w:r>
    </w:p>
    <w:p>
      <w:pPr>
        <w:pStyle w:val="Style25"/>
        <w:keepNext w:val="0"/>
        <w:keepLines w:val="0"/>
        <w:widowControl w:val="0"/>
        <w:shd w:val="clear" w:color="auto" w:fill="auto"/>
        <w:tabs>
          <w:tab w:pos="674" w:val="left"/>
        </w:tabs>
        <w:bidi w:val="0"/>
        <w:spacing w:before="0" w:after="0" w:line="360" w:lineRule="auto"/>
        <w:ind w:left="0" w:right="0"/>
        <w:jc w:val="both"/>
      </w:pPr>
      <w:bookmarkStart w:id="233" w:name="bookmark233"/>
      <w:r>
        <w:rPr>
          <w:rFonts w:ascii="Times New Roman" w:eastAsia="Times New Roman" w:hAnsi="Times New Roman" w:cs="Times New Roman"/>
          <w:color w:val="000000"/>
          <w:spacing w:val="0"/>
          <w:w w:val="100"/>
          <w:position w:val="0"/>
          <w:sz w:val="18"/>
          <w:szCs w:val="18"/>
        </w:rPr>
        <w:t>4</w:t>
      </w:r>
      <w:bookmarkEnd w:id="233"/>
      <w:r>
        <w:rPr>
          <w:color w:val="000000"/>
          <w:spacing w:val="0"/>
          <w:w w:val="100"/>
          <w:position w:val="0"/>
        </w:rPr>
        <w:t>、</w:t>
        <w:tab/>
        <w:t>投资并购及管理风险</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为了公司发展战略及规划的需要，公司及公司全资子公司或产业基金于相继完成多个公司的股权投资和并购，但投资并 购本身就是一种风险较高的商业活动。随着投资并购项目的不断增多，公司与被投资并购的企业之间存在业务模式、管理制 度、企业文化上的差异，异地管理带来的管控风险、团队的稳定性风险等因素都给公司管理带来新的挑战。同时，公司对外 投资并购时，存在项目本身承诺利润能否实现、市场政策变化及法律等方面的风险因素。</w:t>
      </w:r>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应对措施：公司在投资并购方面采取较为稳健的投资策略，审慎选择投资标的，投前做好市场以及收购对象的尽职调查 工作，并完善投资并购协议以减少法律风险，投后发挥协同效应实现其价值，从而不断提升公司盈利能力和市场规模。同时， 公司将加强内部控制尤其是风险控制体系建设，以面对公司规模扩大后所带来的管理风险。</w:t>
      </w:r>
    </w:p>
    <w:p>
      <w:pPr>
        <w:pStyle w:val="Style25"/>
        <w:keepNext w:val="0"/>
        <w:keepLines w:val="0"/>
        <w:widowControl w:val="0"/>
        <w:shd w:val="clear" w:color="auto" w:fill="auto"/>
        <w:tabs>
          <w:tab w:pos="674" w:val="left"/>
        </w:tabs>
        <w:bidi w:val="0"/>
        <w:spacing w:before="0" w:after="0" w:line="360" w:lineRule="auto"/>
        <w:ind w:left="0" w:right="0"/>
        <w:jc w:val="both"/>
      </w:pPr>
      <w:bookmarkStart w:id="234" w:name="bookmark234"/>
      <w:r>
        <w:rPr>
          <w:rFonts w:ascii="Times New Roman" w:eastAsia="Times New Roman" w:hAnsi="Times New Roman" w:cs="Times New Roman"/>
          <w:color w:val="000000"/>
          <w:spacing w:val="0"/>
          <w:w w:val="100"/>
          <w:position w:val="0"/>
          <w:sz w:val="18"/>
          <w:szCs w:val="18"/>
        </w:rPr>
        <w:t>5</w:t>
      </w:r>
      <w:bookmarkEnd w:id="234"/>
      <w:r>
        <w:rPr>
          <w:color w:val="000000"/>
          <w:spacing w:val="0"/>
          <w:w w:val="100"/>
          <w:position w:val="0"/>
        </w:rPr>
        <w:t>、</w:t>
        <w:tab/>
        <w:t>商业模式创新风险</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凡是创新就一定具有不确定性，就一定存在风险。目前公司业务采用的是智慧城市项目建设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业务总包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数据运营服务 三结合的商业模式，无论是政府出资企业建设模式，或政府和企业共同出资建设模式，或政府规划第三方建设和运营模式， 均存在不同利弊和风险。同时，公司创新的城市大脑运营服务是智慧城市推进面临的最大挑战之一，是全行业企业都需要探 索的新业务和新模式，存在大量的不确定性。</w:t>
      </w:r>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应对措施：公司会密切关注与行业相关的国家政策法规的跟踪与研究，在现有智慧城市项目商业模式的基础上，根据市 场和行业发展需求，采取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业务并重且比例优化的经营方式，在保证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业务体量的基础上，逐步提升 ，，增量</w:t>
      </w:r>
      <w:r>
        <w:rPr>
          <w:color w:val="000000"/>
          <w:spacing w:val="0"/>
          <w:w w:val="100"/>
          <w:position w:val="0"/>
          <w:sz w:val="18"/>
          <w:szCs w:val="18"/>
        </w:rPr>
        <w:t>，</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大型软件支持和交付、运维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数据运营服务的业务占比，待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业务的商业模式得到充分验证后再大规模 推进，由此可以尽可能降低由于商业模式创新风险对公司可能带来的影响。</w:t>
      </w:r>
      <w:r>
        <w:br w:type="page"/>
      </w:r>
    </w:p>
    <w:p>
      <w:pPr>
        <w:pStyle w:val="Style21"/>
        <w:keepNext/>
        <w:keepLines/>
        <w:widowControl w:val="0"/>
        <w:shd w:val="clear" w:color="auto" w:fill="auto"/>
        <w:bidi w:val="0"/>
        <w:spacing w:before="0" w:after="340" w:line="240" w:lineRule="auto"/>
        <w:ind w:left="0" w:right="0" w:firstLine="0"/>
        <w:jc w:val="left"/>
      </w:pPr>
      <w:bookmarkStart w:id="235" w:name="bookmark235"/>
      <w:bookmarkStart w:id="236" w:name="bookmark236"/>
      <w:bookmarkStart w:id="237" w:name="bookmark237"/>
      <w:r>
        <w:rPr>
          <w:color w:val="000000"/>
          <w:spacing w:val="0"/>
          <w:w w:val="100"/>
          <w:position w:val="0"/>
        </w:rPr>
        <w:t>十二、报告期内接待调研、沟通、采访等活动登记表</w:t>
      </w:r>
      <w:bookmarkEnd w:id="235"/>
      <w:bookmarkEnd w:id="236"/>
      <w:bookmarkEnd w:id="237"/>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27"/>
        <w:gridCol w:w="955"/>
        <w:gridCol w:w="1277"/>
        <w:gridCol w:w="1133"/>
        <w:gridCol w:w="1814"/>
        <w:gridCol w:w="18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就公司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年度年报 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 告相关问题进行解答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公司未来战略规划相 关问题解答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就公司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报告相关问题进行解 答</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sectPr>
          <w:footnotePr>
            <w:pos w:val="pageBottom"/>
            <w:numFmt w:val="decimal"/>
            <w:numRestart w:val="continuous"/>
          </w:footnotePr>
          <w:pgSz w:w="11900" w:h="16840"/>
          <w:pgMar w:top="1374" w:right="1062" w:bottom="1441" w:left="1060" w:header="0" w:footer="3" w:gutter="0"/>
          <w:cols w:space="720"/>
          <w:noEndnote/>
          <w:rtlGutter w:val="0"/>
          <w:docGrid w:linePitch="360"/>
        </w:sectPr>
      </w:pPr>
    </w:p>
    <w:p>
      <w:pPr>
        <w:pStyle w:val="Style10"/>
        <w:keepNext/>
        <w:keepLines/>
        <w:widowControl w:val="0"/>
        <w:shd w:val="clear" w:color="auto" w:fill="auto"/>
        <w:bidi w:val="0"/>
        <w:spacing w:before="540" w:after="580" w:line="240" w:lineRule="auto"/>
        <w:ind w:left="0" w:right="0" w:firstLine="0"/>
        <w:jc w:val="center"/>
      </w:pPr>
      <w:bookmarkStart w:id="238" w:name="bookmark238"/>
      <w:bookmarkStart w:id="239" w:name="bookmark239"/>
      <w:bookmarkStart w:id="240" w:name="bookmark240"/>
      <w:r>
        <w:rPr>
          <w:color w:val="000000"/>
          <w:spacing w:val="0"/>
          <w:w w:val="100"/>
          <w:position w:val="0"/>
        </w:rPr>
        <w:t>第四节公司治理</w:t>
      </w:r>
      <w:bookmarkEnd w:id="238"/>
      <w:bookmarkEnd w:id="239"/>
      <w:bookmarkEnd w:id="240"/>
    </w:p>
    <w:p>
      <w:pPr>
        <w:pStyle w:val="Style21"/>
        <w:keepNext/>
        <w:keepLines/>
        <w:widowControl w:val="0"/>
        <w:shd w:val="clear" w:color="auto" w:fill="auto"/>
        <w:bidi w:val="0"/>
        <w:spacing w:before="0" w:after="26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一</w:t>
      </w:r>
      <w:bookmarkEnd w:id="243"/>
      <w:r>
        <w:rPr>
          <w:color w:val="000000"/>
          <w:spacing w:val="0"/>
          <w:w w:val="100"/>
          <w:position w:val="0"/>
        </w:rPr>
        <w:t>、公司治理的基本状况</w:t>
      </w:r>
      <w:bookmarkEnd w:id="241"/>
      <w:bookmarkEnd w:id="242"/>
      <w:bookmarkEnd w:id="244"/>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报告期内，公司严格按照《公司法》、《证券法》、《上市公司治理准则》、《深圳证券交易所创业板股票上市规则》、 《深圳证券交易所创业板上市公司规范运作指引》等法律法规的要求，不断完善公司治理结构，进一步规范公司运作，提高 公司治理水平。截至报告期末，公司治理的实际状况符合《上市公司治理准则》和《深圳证券交易所创业板上市公司规范运 作指引》的要求。</w:t>
      </w:r>
    </w:p>
    <w:p>
      <w:pPr>
        <w:pStyle w:val="Style25"/>
        <w:keepNext w:val="0"/>
        <w:keepLines w:val="0"/>
        <w:widowControl w:val="0"/>
        <w:shd w:val="clear" w:color="auto" w:fill="auto"/>
        <w:tabs>
          <w:tab w:pos="654" w:val="left"/>
        </w:tabs>
        <w:bidi w:val="0"/>
        <w:spacing w:before="0" w:after="0" w:line="313" w:lineRule="exact"/>
        <w:ind w:left="0" w:right="0"/>
        <w:jc w:val="left"/>
      </w:pPr>
      <w:bookmarkStart w:id="245" w:name="bookmark245"/>
      <w:r>
        <w:rPr>
          <w:color w:val="000000"/>
          <w:spacing w:val="0"/>
          <w:w w:val="100"/>
          <w:position w:val="0"/>
          <w:sz w:val="18"/>
          <w:szCs w:val="18"/>
        </w:rPr>
        <w:t>1</w:t>
      </w:r>
      <w:bookmarkEnd w:id="245"/>
      <w:r>
        <w:rPr>
          <w:color w:val="000000"/>
          <w:spacing w:val="0"/>
          <w:w w:val="100"/>
          <w:position w:val="0"/>
        </w:rPr>
        <w:t>、</w:t>
        <w:tab/>
        <w:t>关于股东与股东大会</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公司严格按照《公司法》、《深圳证券交易所创业板上市公司规范运作指引》、《公司章程》、《股东大会议事规则》 等规定要求，召集、召开股东大会，确保所有股东享有平等地位，保护全体股东的利益。</w:t>
      </w:r>
      <w:r>
        <w:rPr>
          <w:color w:val="000000"/>
          <w:spacing w:val="0"/>
          <w:w w:val="100"/>
          <w:position w:val="0"/>
          <w:sz w:val="18"/>
          <w:szCs w:val="18"/>
        </w:rPr>
        <w:t>2021</w:t>
      </w:r>
      <w:r>
        <w:rPr>
          <w:color w:val="000000"/>
          <w:spacing w:val="0"/>
          <w:w w:val="100"/>
          <w:position w:val="0"/>
        </w:rPr>
        <w:t>年度公司共召开</w:t>
      </w:r>
      <w:r>
        <w:rPr>
          <w:color w:val="000000"/>
          <w:spacing w:val="0"/>
          <w:w w:val="100"/>
          <w:position w:val="0"/>
          <w:sz w:val="18"/>
          <w:szCs w:val="18"/>
        </w:rPr>
        <w:t>5</w:t>
      </w:r>
      <w:r>
        <w:rPr>
          <w:color w:val="000000"/>
          <w:spacing w:val="0"/>
          <w:w w:val="100"/>
          <w:position w:val="0"/>
        </w:rPr>
        <w:t>次股东大会， 均使用网络投票表决和现场投票表决相结合的形式召开，让中小投资者充分行使自己的权利。同时，公司聘请律师出席见证 了股东大会会议的召集、召开和表决程序的合法性，维护股东的合法权益。</w:t>
      </w:r>
    </w:p>
    <w:p>
      <w:pPr>
        <w:pStyle w:val="Style25"/>
        <w:keepNext w:val="0"/>
        <w:keepLines w:val="0"/>
        <w:widowControl w:val="0"/>
        <w:shd w:val="clear" w:color="auto" w:fill="auto"/>
        <w:tabs>
          <w:tab w:pos="664" w:val="left"/>
        </w:tabs>
        <w:bidi w:val="0"/>
        <w:spacing w:before="0" w:after="0" w:line="313" w:lineRule="exact"/>
        <w:ind w:left="0" w:right="0"/>
        <w:jc w:val="left"/>
      </w:pPr>
      <w:bookmarkStart w:id="246" w:name="bookmark246"/>
      <w:r>
        <w:rPr>
          <w:color w:val="000000"/>
          <w:spacing w:val="0"/>
          <w:w w:val="100"/>
          <w:position w:val="0"/>
          <w:sz w:val="18"/>
          <w:szCs w:val="18"/>
        </w:rPr>
        <w:t>2</w:t>
      </w:r>
      <w:bookmarkEnd w:id="246"/>
      <w:r>
        <w:rPr>
          <w:color w:val="000000"/>
          <w:spacing w:val="0"/>
          <w:w w:val="100"/>
          <w:position w:val="0"/>
        </w:rPr>
        <w:t>、</w:t>
        <w:tab/>
        <w:t>关于公司与控股股东</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公司拥有独立完整的业务和自主经营能力，在业务、人员、资产、机构、财务等方面均独立于控股股东，公司董事会、 监事会和内部机构独立运作。公司控股股东依法行使其权利并承担义务，没有超越股东大会直接或间接干预公司经营活动， 不存在控股股东、实际控制人利用其控制地位侵害其他股东利益的行为；报告期内公司没有为控股股东及其关联企业提供担 保，亦不存在控股股东非经营性占用公司资金的行为；公司与控股股东及其关联单位不存在同业竞争的情况；公司与控股股 东及其关联单位存在关联交易，已按照信息披露要求对外披露。</w:t>
      </w:r>
    </w:p>
    <w:p>
      <w:pPr>
        <w:pStyle w:val="Style25"/>
        <w:keepNext w:val="0"/>
        <w:keepLines w:val="0"/>
        <w:widowControl w:val="0"/>
        <w:shd w:val="clear" w:color="auto" w:fill="auto"/>
        <w:tabs>
          <w:tab w:pos="664" w:val="left"/>
        </w:tabs>
        <w:bidi w:val="0"/>
        <w:spacing w:before="0" w:after="0" w:line="313" w:lineRule="exact"/>
        <w:ind w:left="0" w:right="0"/>
        <w:jc w:val="both"/>
      </w:pPr>
      <w:bookmarkStart w:id="247" w:name="bookmark247"/>
      <w:r>
        <w:rPr>
          <w:color w:val="000000"/>
          <w:spacing w:val="0"/>
          <w:w w:val="100"/>
          <w:position w:val="0"/>
          <w:sz w:val="18"/>
          <w:szCs w:val="18"/>
        </w:rPr>
        <w:t>3</w:t>
      </w:r>
      <w:bookmarkEnd w:id="247"/>
      <w:r>
        <w:rPr>
          <w:color w:val="000000"/>
          <w:spacing w:val="0"/>
          <w:w w:val="100"/>
          <w:position w:val="0"/>
        </w:rPr>
        <w:t>、</w:t>
        <w:tab/>
        <w:t>关于董事和董事会</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公司董事会设董事</w:t>
      </w:r>
      <w:r>
        <w:rPr>
          <w:color w:val="000000"/>
          <w:spacing w:val="0"/>
          <w:w w:val="100"/>
          <w:position w:val="0"/>
          <w:sz w:val="18"/>
          <w:szCs w:val="18"/>
        </w:rPr>
        <w:t>9</w:t>
      </w:r>
      <w:r>
        <w:rPr>
          <w:color w:val="000000"/>
          <w:spacing w:val="0"/>
          <w:w w:val="100"/>
          <w:position w:val="0"/>
        </w:rPr>
        <w:t>名，其中独立董事</w:t>
      </w:r>
      <w:r>
        <w:rPr>
          <w:color w:val="000000"/>
          <w:spacing w:val="0"/>
          <w:w w:val="100"/>
          <w:position w:val="0"/>
          <w:sz w:val="18"/>
          <w:szCs w:val="18"/>
        </w:rPr>
        <w:t>3</w:t>
      </w:r>
      <w:r>
        <w:rPr>
          <w:color w:val="000000"/>
          <w:spacing w:val="0"/>
          <w:w w:val="100"/>
          <w:position w:val="0"/>
        </w:rPr>
        <w:t xml:space="preserve">名，董事会的人数及人员构成符合法律、法规和《公司章程》的要求。公司董事 依据《深圳证券交易所创业板上市公司规范运作指引》、《公司章程》、《董事会议事规则》、《独立董事工作细则》等开 展工作，出席董事会和股东大会，依法行使职权，勤勉尽责地履行职责和义务。报告期内，公司董事会共召开了 </w:t>
      </w:r>
      <w:r>
        <w:rPr>
          <w:color w:val="000000"/>
          <w:spacing w:val="0"/>
          <w:w w:val="100"/>
          <w:position w:val="0"/>
          <w:sz w:val="18"/>
          <w:szCs w:val="18"/>
        </w:rPr>
        <w:t>9</w:t>
      </w:r>
      <w:r>
        <w:rPr>
          <w:color w:val="000000"/>
          <w:spacing w:val="0"/>
          <w:w w:val="100"/>
          <w:position w:val="0"/>
        </w:rPr>
        <w:t>次会议， 会议的召集召开程序符合法律法规、《公司章程》及《公司董事会议事规则》的相关规定。公司董事会下设战略决策委员会、 提名委员会、审计委员会、薪酬与考核委员会四个专门委员会。各委员会依据《公司章程》和各委员会议事规则的规定履行 职权。</w:t>
      </w:r>
    </w:p>
    <w:p>
      <w:pPr>
        <w:pStyle w:val="Style25"/>
        <w:keepNext w:val="0"/>
        <w:keepLines w:val="0"/>
        <w:widowControl w:val="0"/>
        <w:shd w:val="clear" w:color="auto" w:fill="auto"/>
        <w:tabs>
          <w:tab w:pos="669" w:val="left"/>
        </w:tabs>
        <w:bidi w:val="0"/>
        <w:spacing w:before="0" w:after="0" w:line="313" w:lineRule="exact"/>
        <w:ind w:left="0" w:right="0"/>
        <w:jc w:val="both"/>
      </w:pPr>
      <w:bookmarkStart w:id="248" w:name="bookmark248"/>
      <w:r>
        <w:rPr>
          <w:color w:val="000000"/>
          <w:spacing w:val="0"/>
          <w:w w:val="100"/>
          <w:position w:val="0"/>
          <w:sz w:val="18"/>
          <w:szCs w:val="18"/>
        </w:rPr>
        <w:t>4</w:t>
      </w:r>
      <w:bookmarkEnd w:id="248"/>
      <w:r>
        <w:rPr>
          <w:color w:val="000000"/>
          <w:spacing w:val="0"/>
          <w:w w:val="100"/>
          <w:position w:val="0"/>
        </w:rPr>
        <w:t>、</w:t>
        <w:tab/>
        <w:t>关于监事和监事会</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公司监事会设监事</w:t>
      </w:r>
      <w:r>
        <w:rPr>
          <w:color w:val="000000"/>
          <w:spacing w:val="0"/>
          <w:w w:val="100"/>
          <w:position w:val="0"/>
          <w:sz w:val="18"/>
          <w:szCs w:val="18"/>
        </w:rPr>
        <w:t>3</w:t>
      </w:r>
      <w:r>
        <w:rPr>
          <w:color w:val="000000"/>
          <w:spacing w:val="0"/>
          <w:w w:val="100"/>
          <w:position w:val="0"/>
        </w:rPr>
        <w:t>名，其中职工监事</w:t>
      </w:r>
      <w:r>
        <w:rPr>
          <w:color w:val="000000"/>
          <w:spacing w:val="0"/>
          <w:w w:val="100"/>
          <w:position w:val="0"/>
          <w:sz w:val="18"/>
          <w:szCs w:val="18"/>
        </w:rPr>
        <w:t>1</w:t>
      </w:r>
      <w:r>
        <w:rPr>
          <w:color w:val="000000"/>
          <w:spacing w:val="0"/>
          <w:w w:val="100"/>
          <w:position w:val="0"/>
        </w:rPr>
        <w:t xml:space="preserve">名，监事会的人数和构成符合法律、法规的要求。公司监事能够按照《监事会议 事规则》的要求，认真履行自己的职责，对公司重大事项、财务状况以及董事、高管人员履行职责的合法合规性进行监督。 报告期内，公司监事会共召开了 </w:t>
      </w:r>
      <w:r>
        <w:rPr>
          <w:color w:val="000000"/>
          <w:spacing w:val="0"/>
          <w:w w:val="100"/>
          <w:position w:val="0"/>
          <w:sz w:val="18"/>
          <w:szCs w:val="18"/>
        </w:rPr>
        <w:t>8</w:t>
      </w:r>
      <w:r>
        <w:rPr>
          <w:color w:val="000000"/>
          <w:spacing w:val="0"/>
          <w:w w:val="100"/>
          <w:position w:val="0"/>
        </w:rPr>
        <w:t>次会议，会议的召集、召开程序符合法律法规、《公司章程》及《公司监事会议事规则》 的相关规定。</w:t>
      </w:r>
    </w:p>
    <w:p>
      <w:pPr>
        <w:pStyle w:val="Style25"/>
        <w:keepNext w:val="0"/>
        <w:keepLines w:val="0"/>
        <w:widowControl w:val="0"/>
        <w:shd w:val="clear" w:color="auto" w:fill="auto"/>
        <w:tabs>
          <w:tab w:pos="669" w:val="left"/>
        </w:tabs>
        <w:bidi w:val="0"/>
        <w:spacing w:before="0" w:after="0" w:line="313" w:lineRule="exact"/>
        <w:ind w:left="0" w:right="0"/>
        <w:jc w:val="both"/>
      </w:pPr>
      <w:bookmarkStart w:id="249" w:name="bookmark249"/>
      <w:r>
        <w:rPr>
          <w:color w:val="000000"/>
          <w:spacing w:val="0"/>
          <w:w w:val="100"/>
          <w:position w:val="0"/>
          <w:sz w:val="18"/>
          <w:szCs w:val="18"/>
        </w:rPr>
        <w:t>5</w:t>
      </w:r>
      <w:bookmarkEnd w:id="249"/>
      <w:r>
        <w:rPr>
          <w:color w:val="000000"/>
          <w:spacing w:val="0"/>
          <w:w w:val="100"/>
          <w:position w:val="0"/>
        </w:rPr>
        <w:t>、</w:t>
        <w:tab/>
        <w:t>关于绩效评价与激励约束机制</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公司已建立绩效评价与激励约束机制。为调动公司员工工作的积极性，公司针对不同岗位制定不同的绩效考核标准。公 司董事会下设的薪酬与考核委员会负责对公司董事及高管进行绩效考核，且已逐步完善和建立公正、透明的绩效评价标准和 激励约束机制。《公司章程》明确规定了高级管理人员的履职行为、权限和职责，高级管理人员的聘任公开、透明，符合法 律、法规的规定，现有的考核及激励约束机制符合公司的发展现状。</w:t>
      </w:r>
    </w:p>
    <w:p>
      <w:pPr>
        <w:pStyle w:val="Style25"/>
        <w:keepNext w:val="0"/>
        <w:keepLines w:val="0"/>
        <w:widowControl w:val="0"/>
        <w:shd w:val="clear" w:color="auto" w:fill="auto"/>
        <w:tabs>
          <w:tab w:pos="669" w:val="left"/>
        </w:tabs>
        <w:bidi w:val="0"/>
        <w:spacing w:before="0" w:after="0" w:line="313" w:lineRule="exact"/>
        <w:ind w:left="0" w:right="0"/>
        <w:jc w:val="both"/>
      </w:pPr>
      <w:bookmarkStart w:id="250" w:name="bookmark250"/>
      <w:r>
        <w:rPr>
          <w:color w:val="000000"/>
          <w:spacing w:val="0"/>
          <w:w w:val="100"/>
          <w:position w:val="0"/>
          <w:sz w:val="18"/>
          <w:szCs w:val="18"/>
        </w:rPr>
        <w:t>6</w:t>
      </w:r>
      <w:bookmarkEnd w:id="250"/>
      <w:r>
        <w:rPr>
          <w:color w:val="000000"/>
          <w:spacing w:val="0"/>
          <w:w w:val="100"/>
          <w:position w:val="0"/>
        </w:rPr>
        <w:t>、</w:t>
        <w:tab/>
        <w:t>关于信息披露与透明度</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完整地披露有关信息；并指定公司董事会秘书负责信息披露工作，协调公司与投资者的关系，接待股东来访，回答投资者咨 询。公司指定《证券时报》为信息披露报纸，巨潮资讯网</w:t>
      </w:r>
      <w:r>
        <w:rPr>
          <w:color w:val="000000"/>
          <w:spacing w:val="0"/>
          <w:w w:val="100"/>
          <w:position w:val="0"/>
          <w:sz w:val="18"/>
          <w:szCs w:val="18"/>
        </w:rPr>
        <w:t>(</w:t>
      </w:r>
      <w:r>
        <w:rPr>
          <w:color w:val="000000"/>
          <w:spacing w:val="0"/>
          <w:w w:val="100"/>
          <w:position w:val="0"/>
          <w:sz w:val="18"/>
          <w:szCs w:val="18"/>
        </w:rPr>
        <w:t>www. cninfo. com. cn)</w:t>
      </w:r>
      <w:r>
        <w:rPr>
          <w:color w:val="000000"/>
          <w:spacing w:val="0"/>
          <w:w w:val="100"/>
          <w:position w:val="0"/>
        </w:rPr>
        <w:t>为信息披露网站，确保公司所有股东能够 以平等的机会获得信息。</w:t>
      </w:r>
    </w:p>
    <w:p>
      <w:pPr>
        <w:pStyle w:val="Style25"/>
        <w:keepNext w:val="0"/>
        <w:keepLines w:val="0"/>
        <w:widowControl w:val="0"/>
        <w:shd w:val="clear" w:color="auto" w:fill="auto"/>
        <w:tabs>
          <w:tab w:pos="669" w:val="left"/>
        </w:tabs>
        <w:bidi w:val="0"/>
        <w:spacing w:before="0" w:after="120" w:line="313" w:lineRule="exact"/>
        <w:ind w:left="0" w:right="0"/>
        <w:jc w:val="both"/>
      </w:pPr>
      <w:bookmarkStart w:id="251" w:name="bookmark251"/>
      <w:r>
        <w:rPr>
          <w:color w:val="000000"/>
          <w:spacing w:val="0"/>
          <w:w w:val="100"/>
          <w:position w:val="0"/>
          <w:sz w:val="18"/>
          <w:szCs w:val="18"/>
        </w:rPr>
        <w:t>7</w:t>
      </w:r>
      <w:bookmarkEnd w:id="251"/>
      <w:r>
        <w:rPr>
          <w:color w:val="000000"/>
          <w:spacing w:val="0"/>
          <w:w w:val="100"/>
          <w:position w:val="0"/>
        </w:rPr>
        <w:t>、</w:t>
        <w:tab/>
        <w:t>关于相关利益者</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公司充分尊重和维护相关利益者的合法权益，积极与相关利益者合作，加强与各方的沟通和交流，实现股东、员工、社 会等各方利益的协调平衡，共同推动公司持续、健康的发展。</w:t>
      </w:r>
    </w:p>
    <w:p>
      <w:pPr>
        <w:pStyle w:val="Style25"/>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20" w:line="31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tabs>
          <w:tab w:pos="590" w:val="left"/>
        </w:tabs>
        <w:bidi w:val="0"/>
        <w:spacing w:before="0" w:after="260" w:line="312" w:lineRule="exact"/>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二</w:t>
      </w:r>
      <w:bookmarkEnd w:id="254"/>
      <w:r>
        <w:rPr>
          <w:color w:val="000000"/>
          <w:spacing w:val="0"/>
          <w:w w:val="100"/>
          <w:position w:val="0"/>
        </w:rPr>
        <w:t>、</w:t>
        <w:tab/>
        <w:t>公司相对于控股股东、实际控制人在保证公司资产、人员、财务、机构、业务等方面的 独立情况</w:t>
      </w:r>
      <w:bookmarkEnd w:id="252"/>
      <w:bookmarkEnd w:id="253"/>
      <w:bookmarkEnd w:id="255"/>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报告期内，公司严格按照《公司法》、《证券法》等法律法规和《公司章程》的要求规范运作，在资产、人员、财务、 机构、业务等方面与控股股东、实际控制人分开，具有完整的业务体系和直接面向市场独立经营的能力。</w:t>
      </w:r>
    </w:p>
    <w:p>
      <w:pPr>
        <w:pStyle w:val="Style25"/>
        <w:keepNext w:val="0"/>
        <w:keepLines w:val="0"/>
        <w:widowControl w:val="0"/>
        <w:shd w:val="clear" w:color="auto" w:fill="auto"/>
        <w:tabs>
          <w:tab w:pos="714" w:val="left"/>
        </w:tabs>
        <w:bidi w:val="0"/>
        <w:spacing w:before="0" w:after="0" w:line="315" w:lineRule="exact"/>
        <w:ind w:left="0" w:right="0"/>
        <w:jc w:val="both"/>
      </w:pPr>
      <w:bookmarkStart w:id="256" w:name="bookmark256"/>
      <w:r>
        <w:rPr>
          <w:color w:val="000000"/>
          <w:spacing w:val="0"/>
          <w:w w:val="100"/>
          <w:position w:val="0"/>
          <w:sz w:val="18"/>
          <w:szCs w:val="18"/>
        </w:rPr>
        <w:t>1</w:t>
      </w:r>
      <w:bookmarkEnd w:id="256"/>
      <w:r>
        <w:rPr>
          <w:color w:val="000000"/>
          <w:spacing w:val="0"/>
          <w:w w:val="100"/>
          <w:position w:val="0"/>
        </w:rPr>
        <w:t>、</w:t>
        <w:tab/>
        <w:t>资产独立情况</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公司拥有独立于控股股东、实际控制人及其控制的其他企业的生产经营场所、商标、专利和权利，对所属资产拥有完全 控制支配权。公司资产完整，独立于控股股东、实际控制人及其控制的其他企业。</w:t>
      </w:r>
    </w:p>
    <w:p>
      <w:pPr>
        <w:pStyle w:val="Style25"/>
        <w:keepNext w:val="0"/>
        <w:keepLines w:val="0"/>
        <w:widowControl w:val="0"/>
        <w:shd w:val="clear" w:color="auto" w:fill="auto"/>
        <w:tabs>
          <w:tab w:pos="724" w:val="left"/>
        </w:tabs>
        <w:bidi w:val="0"/>
        <w:spacing w:before="0" w:after="0" w:line="315" w:lineRule="exact"/>
        <w:ind w:left="0" w:right="0"/>
        <w:jc w:val="both"/>
      </w:pPr>
      <w:bookmarkStart w:id="257" w:name="bookmark257"/>
      <w:r>
        <w:rPr>
          <w:color w:val="000000"/>
          <w:spacing w:val="0"/>
          <w:w w:val="100"/>
          <w:position w:val="0"/>
          <w:sz w:val="18"/>
          <w:szCs w:val="18"/>
        </w:rPr>
        <w:t>2</w:t>
      </w:r>
      <w:bookmarkEnd w:id="257"/>
      <w:r>
        <w:rPr>
          <w:color w:val="000000"/>
          <w:spacing w:val="0"/>
          <w:w w:val="100"/>
          <w:position w:val="0"/>
        </w:rPr>
        <w:t>、</w:t>
        <w:tab/>
        <w:t>人员独立情况</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公司董事、监事均严格按照《公司法》和《公司章程》的有关规定选举产生，高级管理人员均由董事会聘任，不存在控 股股东或其他关联方干涉公司人事任免的情况。公司总经理、副总经理、财务总监和董事会秘书等高级管理人员均未在控股 股东、实际控制人及其控制的其他企业中担任任何职务，未在控股股东、实际控制人及其控制的其他企业领薪；公司财务人 员也未在控股股东、实际控制人及其控制的其他企业中兼职。</w:t>
      </w:r>
    </w:p>
    <w:p>
      <w:pPr>
        <w:pStyle w:val="Style25"/>
        <w:keepNext w:val="0"/>
        <w:keepLines w:val="0"/>
        <w:widowControl w:val="0"/>
        <w:shd w:val="clear" w:color="auto" w:fill="auto"/>
        <w:tabs>
          <w:tab w:pos="724" w:val="left"/>
        </w:tabs>
        <w:bidi w:val="0"/>
        <w:spacing w:before="0" w:after="0" w:line="315" w:lineRule="exact"/>
        <w:ind w:left="0" w:right="0"/>
        <w:jc w:val="both"/>
      </w:pPr>
      <w:bookmarkStart w:id="258" w:name="bookmark258"/>
      <w:r>
        <w:rPr>
          <w:color w:val="000000"/>
          <w:spacing w:val="0"/>
          <w:w w:val="100"/>
          <w:position w:val="0"/>
          <w:sz w:val="18"/>
          <w:szCs w:val="18"/>
        </w:rPr>
        <w:t>3</w:t>
      </w:r>
      <w:bookmarkEnd w:id="258"/>
      <w:r>
        <w:rPr>
          <w:color w:val="000000"/>
          <w:spacing w:val="0"/>
          <w:w w:val="100"/>
          <w:position w:val="0"/>
        </w:rPr>
        <w:t>、</w:t>
        <w:tab/>
        <w:t>财务独立情况</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公司设立了独立的财务部门，配备了专门的财务人员，并建立健全了独立的财务核算体系，制定了完善的财务会计制度 和财务管理体系，独立进行财务决策，独立在银行开设账户，独立办理纳税登记，独立依法纳税。</w:t>
      </w:r>
    </w:p>
    <w:p>
      <w:pPr>
        <w:pStyle w:val="Style25"/>
        <w:keepNext w:val="0"/>
        <w:keepLines w:val="0"/>
        <w:widowControl w:val="0"/>
        <w:shd w:val="clear" w:color="auto" w:fill="auto"/>
        <w:tabs>
          <w:tab w:pos="729" w:val="left"/>
        </w:tabs>
        <w:bidi w:val="0"/>
        <w:spacing w:before="0" w:after="0" w:line="315" w:lineRule="exact"/>
        <w:ind w:left="0" w:right="0"/>
        <w:jc w:val="both"/>
      </w:pPr>
      <w:bookmarkStart w:id="259" w:name="bookmark259"/>
      <w:r>
        <w:rPr>
          <w:color w:val="000000"/>
          <w:spacing w:val="0"/>
          <w:w w:val="100"/>
          <w:position w:val="0"/>
          <w:sz w:val="18"/>
          <w:szCs w:val="18"/>
        </w:rPr>
        <w:t>4</w:t>
      </w:r>
      <w:bookmarkEnd w:id="259"/>
      <w:r>
        <w:rPr>
          <w:color w:val="000000"/>
          <w:spacing w:val="0"/>
          <w:w w:val="100"/>
          <w:position w:val="0"/>
        </w:rPr>
        <w:t>、</w:t>
        <w:tab/>
        <w:t>机构独立情况</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公司按照《公司法》、《公司章程》及其他相关法律、法规及规范性文件规定，建立了符合公司实际情况、独立、健全 的内部管理机构，独立行使管理职权，公司经营和办公场所与控股股东、实际控制人及其控制的其他企业严格分开，不存在 与控股股东、实际控制人及其控制的其他企业混合经营、合署办公的情形。</w:t>
      </w:r>
    </w:p>
    <w:p>
      <w:pPr>
        <w:pStyle w:val="Style25"/>
        <w:keepNext w:val="0"/>
        <w:keepLines w:val="0"/>
        <w:widowControl w:val="0"/>
        <w:shd w:val="clear" w:color="auto" w:fill="auto"/>
        <w:tabs>
          <w:tab w:pos="729" w:val="left"/>
        </w:tabs>
        <w:bidi w:val="0"/>
        <w:spacing w:before="0" w:after="0" w:line="315" w:lineRule="exact"/>
        <w:ind w:left="0" w:right="0"/>
        <w:jc w:val="both"/>
      </w:pPr>
      <w:bookmarkStart w:id="260" w:name="bookmark260"/>
      <w:r>
        <w:rPr>
          <w:color w:val="000000"/>
          <w:spacing w:val="0"/>
          <w:w w:val="100"/>
          <w:position w:val="0"/>
          <w:sz w:val="18"/>
          <w:szCs w:val="18"/>
        </w:rPr>
        <w:t>5</w:t>
      </w:r>
      <w:bookmarkEnd w:id="260"/>
      <w:r>
        <w:rPr>
          <w:color w:val="000000"/>
          <w:spacing w:val="0"/>
          <w:w w:val="100"/>
          <w:position w:val="0"/>
        </w:rPr>
        <w:t>、</w:t>
        <w:tab/>
        <w:t>业务独立情况</w:t>
      </w:r>
    </w:p>
    <w:p>
      <w:pPr>
        <w:pStyle w:val="Style25"/>
        <w:keepNext w:val="0"/>
        <w:keepLines w:val="0"/>
        <w:widowControl w:val="0"/>
        <w:shd w:val="clear" w:color="auto" w:fill="auto"/>
        <w:bidi w:val="0"/>
        <w:spacing w:before="0" w:after="320" w:line="315" w:lineRule="exact"/>
        <w:ind w:left="0" w:right="0"/>
        <w:jc w:val="both"/>
      </w:pPr>
      <w:r>
        <w:rPr>
          <w:color w:val="000000"/>
          <w:spacing w:val="0"/>
          <w:w w:val="100"/>
          <w:position w:val="0"/>
        </w:rPr>
        <w:t>公司具有独立的业务经营体系和直接面向市场独立经营的能力，与控股股东、实际控制人及其控制的其他企业均不从事 相同、相近的业务，主营业务收入和利润不依赖于与股东及其他关联方的关联交易。</w:t>
      </w:r>
    </w:p>
    <w:p>
      <w:pPr>
        <w:pStyle w:val="Style21"/>
        <w:keepNext/>
        <w:keepLines/>
        <w:widowControl w:val="0"/>
        <w:shd w:val="clear" w:color="auto" w:fill="auto"/>
        <w:tabs>
          <w:tab w:pos="590" w:val="left"/>
        </w:tabs>
        <w:bidi w:val="0"/>
        <w:spacing w:before="0" w:line="312" w:lineRule="exact"/>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三</w:t>
      </w:r>
      <w:bookmarkEnd w:id="263"/>
      <w:r>
        <w:rPr>
          <w:color w:val="000000"/>
          <w:spacing w:val="0"/>
          <w:w w:val="100"/>
          <w:position w:val="0"/>
        </w:rPr>
        <w:t>、</w:t>
        <w:tab/>
        <w:t>同业竞争情况</w:t>
      </w:r>
      <w:bookmarkEnd w:id="261"/>
      <w:bookmarkEnd w:id="262"/>
      <w:bookmarkEnd w:id="264"/>
    </w:p>
    <w:p>
      <w:pPr>
        <w:pStyle w:val="Style25"/>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90" w:val="left"/>
        </w:tabs>
        <w:bidi w:val="0"/>
        <w:spacing w:before="0" w:line="312" w:lineRule="exact"/>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四</w:t>
      </w:r>
      <w:bookmarkEnd w:id="267"/>
      <w:r>
        <w:rPr>
          <w:color w:val="000000"/>
          <w:spacing w:val="0"/>
          <w:w w:val="100"/>
          <w:position w:val="0"/>
        </w:rPr>
        <w:t>、</w:t>
        <w:tab/>
        <w:t>报告期内召开的年度股东大会和临时股东大会的有关情况</w:t>
      </w:r>
      <w:bookmarkEnd w:id="265"/>
      <w:bookmarkEnd w:id="266"/>
      <w:bookmarkEnd w:id="268"/>
    </w:p>
    <w:p>
      <w:pPr>
        <w:pStyle w:val="Style28"/>
        <w:keepNext/>
        <w:keepLines/>
        <w:widowControl w:val="0"/>
        <w:shd w:val="clear" w:color="auto" w:fill="auto"/>
        <w:bidi w:val="0"/>
        <w:spacing w:before="0" w:after="320" w:line="240" w:lineRule="auto"/>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1</w:t>
      </w:r>
      <w:bookmarkEnd w:id="271"/>
      <w:r>
        <w:rPr>
          <w:color w:val="000000"/>
          <w:spacing w:val="0"/>
          <w:w w:val="100"/>
          <w:position w:val="0"/>
        </w:rPr>
        <w:t>、本报告期股东大会情况</w:t>
      </w:r>
      <w:bookmarkEnd w:id="269"/>
      <w:bookmarkEnd w:id="270"/>
      <w:bookmarkEnd w:id="272"/>
    </w:p>
    <w:tbl>
      <w:tblPr>
        <w:tblOverlap w:val="never"/>
        <w:jc w:val="center"/>
        <w:tblLayout w:type="fixed"/>
      </w:tblPr>
      <w:tblGrid>
        <w:gridCol w:w="1286"/>
        <w:gridCol w:w="850"/>
        <w:gridCol w:w="850"/>
        <w:gridCol w:w="994"/>
        <w:gridCol w:w="994"/>
        <w:gridCol w:w="461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《关于终止公开发行可转换公司债券事项的议案》、《关于 公司符合非公开发行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股股票条件的议案》、《关于公司非 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股股票方案的议案》、《关于公司非公开发行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股股票预案的议案》、《关于公司非公开发行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w:t>
            </w:r>
          </w:p>
        </w:tc>
      </w:tr>
    </w:tbl>
    <w:p>
      <w:pPr>
        <w:spacing w:lineRule="exact" w:line="1"/>
        <w:rPr>
          <w:sz w:val="2"/>
          <w:szCs w:val="2"/>
        </w:rPr>
      </w:pPr>
      <w:r>
        <w:br w:type="page"/>
      </w:r>
    </w:p>
    <w:tbl>
      <w:tblPr>
        <w:tblOverlap w:val="never"/>
        <w:jc w:val="center"/>
        <w:tblLayout w:type="fixed"/>
      </w:tblPr>
      <w:tblGrid>
        <w:gridCol w:w="1286"/>
        <w:gridCol w:w="850"/>
        <w:gridCol w:w="850"/>
        <w:gridCol w:w="994"/>
        <w:gridCol w:w="994"/>
        <w:gridCol w:w="4613"/>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论证分析报告的议案》、《关于公司非公开发行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 集资金使用的可行性分析报告的议案》、《关于前次募集资 金使用情况报告的议案》、《关于公司非公开发行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 摊薄即期回报、采取填补措施及相关承诺的议案》、《关于 公司未来三年股东回报规划（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年）的议案》、 《关于提请股东大会授权董事会全权办理公司非公开发行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股股票具体事宜的议案》、《关于公司设立募集资金专项 存储账户的议案》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《关于延长非公开发行股票股东大会决议有效期及授权董 事会有效期的议案》</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年度董事会工作报告》、《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年度监事会工作报 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年年度报告全文及其摘要》、《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年度财务决 算报告》、《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年度财务预算报告》、《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 预案》、《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年日常关联交易计划》、《关于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年向银行 申请综合授信额度的议案》、《关于终止参与发起设立大爱 人寿保险股份有限公司的议案》</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《关于拟变更公司名称、证券简称暨修订〈公司章程〉的 议案》</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color w:val="000000"/>
                <w:spacing w:val="0"/>
                <w:w w:val="100"/>
                <w:position w:val="0"/>
                <w:sz w:val="18"/>
                <w:szCs w:val="18"/>
              </w:rPr>
              <w:t>〈</w:t>
            </w:r>
            <w:r>
              <w:rPr>
                <w:color w:val="000000"/>
                <w:spacing w:val="0"/>
                <w:w w:val="100"/>
                <w:position w:val="0"/>
              </w:rPr>
              <w:t>银江技术股份有限公司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 （草案）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银江技术股份有限公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年股票期权激励计划实施考核管理办法</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《关于提请股东大会授权董事会办理公司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 激励计划有关事项的议案》</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2</w:t>
      </w:r>
      <w:bookmarkEnd w:id="275"/>
      <w:r>
        <w:rPr>
          <w:color w:val="000000"/>
          <w:spacing w:val="0"/>
          <w:w w:val="100"/>
          <w:position w:val="0"/>
        </w:rPr>
        <w:t>、表决权恢复的优先股股东请求召开临时股东大会</w:t>
      </w:r>
      <w:bookmarkEnd w:id="273"/>
      <w:bookmarkEnd w:id="274"/>
      <w:bookmarkEnd w:id="27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五</w:t>
      </w:r>
      <w:bookmarkEnd w:id="279"/>
      <w:r>
        <w:rPr>
          <w:color w:val="000000"/>
          <w:spacing w:val="0"/>
          <w:w w:val="100"/>
          <w:position w:val="0"/>
        </w:rPr>
        <w:t>、</w:t>
        <w:tab/>
        <w:t>公司具有表决权差异安排</w:t>
      </w:r>
      <w:bookmarkEnd w:id="277"/>
      <w:bookmarkEnd w:id="278"/>
      <w:bookmarkEnd w:id="28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六</w:t>
      </w:r>
      <w:bookmarkEnd w:id="283"/>
      <w:r>
        <w:rPr>
          <w:color w:val="000000"/>
          <w:spacing w:val="0"/>
          <w:w w:val="100"/>
          <w:position w:val="0"/>
        </w:rPr>
        <w:t>、</w:t>
        <w:tab/>
        <w:t>红筹架构公司治理情况</w:t>
      </w:r>
      <w:bookmarkEnd w:id="281"/>
      <w:bookmarkEnd w:id="282"/>
      <w:bookmarkEnd w:id="28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8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七</w:t>
      </w:r>
      <w:bookmarkEnd w:id="287"/>
      <w:r>
        <w:rPr>
          <w:color w:val="000000"/>
          <w:spacing w:val="0"/>
          <w:w w:val="100"/>
          <w:position w:val="0"/>
        </w:rPr>
        <w:t>、</w:t>
        <w:tab/>
        <w:t>董事、监事和高级管理人员情况</w:t>
      </w:r>
      <w:bookmarkEnd w:id="285"/>
      <w:bookmarkEnd w:id="286"/>
      <w:bookmarkEnd w:id="288"/>
    </w:p>
    <w:p>
      <w:pPr>
        <w:pStyle w:val="Style28"/>
        <w:keepNext/>
        <w:keepLines/>
        <w:widowControl w:val="0"/>
        <w:shd w:val="clear" w:color="auto" w:fill="auto"/>
        <w:bidi w:val="0"/>
        <w:spacing w:before="0" w:after="320" w:line="240" w:lineRule="auto"/>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1</w:t>
      </w:r>
      <w:bookmarkEnd w:id="291"/>
      <w:r>
        <w:rPr>
          <w:color w:val="000000"/>
          <w:spacing w:val="0"/>
          <w:w w:val="100"/>
          <w:position w:val="0"/>
        </w:rPr>
        <w:t>、基本情况</w:t>
      </w:r>
      <w:bookmarkEnd w:id="289"/>
      <w:bookmarkEnd w:id="290"/>
      <w:bookmarkEnd w:id="292"/>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韩振兴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王瑞慷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花少富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董事、董 事会秘 书、副总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蒋立靓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倪净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赵新建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罗吉华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张芸芸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余力航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孔桦桦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任刚要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财务总 监、副总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 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报告期是否存在任期内董事、监事离任和高级管理人员解聘的情况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陈才君、秦俊峰、秦浪因个人原因离职，韩振兴被聘任董事。</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930"/>
        <w:gridCol w:w="1416"/>
        <w:gridCol w:w="2410"/>
        <w:gridCol w:w="24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韩振兴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被聘任</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2</w:t>
      </w:r>
      <w:bookmarkEnd w:id="295"/>
      <w:r>
        <w:rPr>
          <w:color w:val="000000"/>
          <w:spacing w:val="0"/>
          <w:w w:val="100"/>
          <w:position w:val="0"/>
        </w:rPr>
        <w:t>、任职情况</w:t>
      </w:r>
      <w:bookmarkEnd w:id="293"/>
      <w:bookmarkEnd w:id="294"/>
      <w:bookmarkEnd w:id="296"/>
    </w:p>
    <w:p>
      <w:pPr>
        <w:pStyle w:val="Style25"/>
        <w:keepNext w:val="0"/>
        <w:keepLines w:val="0"/>
        <w:widowControl w:val="0"/>
        <w:shd w:val="clear" w:color="auto" w:fill="auto"/>
        <w:bidi w:val="0"/>
        <w:spacing w:before="0" w:after="120" w:line="32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shd w:val="clear" w:color="auto" w:fill="auto"/>
        <w:bidi w:val="0"/>
        <w:spacing w:before="0" w:after="120" w:line="326" w:lineRule="exact"/>
        <w:ind w:left="0" w:right="0" w:firstLine="360"/>
        <w:jc w:val="left"/>
      </w:pPr>
      <w:r>
        <w:rPr>
          <w:color w:val="000000"/>
          <w:spacing w:val="0"/>
          <w:w w:val="100"/>
          <w:position w:val="0"/>
        </w:rPr>
        <w:t>王腾，男，中国国籍，</w:t>
      </w:r>
      <w:r>
        <w:rPr>
          <w:color w:val="000000"/>
          <w:spacing w:val="0"/>
          <w:w w:val="100"/>
          <w:position w:val="0"/>
          <w:sz w:val="18"/>
          <w:szCs w:val="18"/>
        </w:rPr>
        <w:t>1987</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月出生，无境外永久居留权，本科学历。</w:t>
      </w:r>
      <w:r>
        <w:rPr>
          <w:color w:val="000000"/>
          <w:spacing w:val="0"/>
          <w:w w:val="100"/>
          <w:position w:val="0"/>
          <w:sz w:val="18"/>
          <w:szCs w:val="18"/>
        </w:rPr>
        <w:t>2014</w:t>
      </w:r>
      <w:r>
        <w:rPr>
          <w:color w:val="000000"/>
          <w:spacing w:val="0"/>
          <w:w w:val="100"/>
          <w:position w:val="0"/>
        </w:rPr>
        <w:t>年起就职银江技术股份有限公司，现任银 江技术股份有限公司董事长、总经理、北京银江智慧城市技术有限公司执行董事。</w:t>
      </w:r>
    </w:p>
    <w:p>
      <w:pPr>
        <w:pStyle w:val="Style25"/>
        <w:keepNext w:val="0"/>
        <w:keepLines w:val="0"/>
        <w:widowControl w:val="0"/>
        <w:shd w:val="clear" w:color="auto" w:fill="auto"/>
        <w:bidi w:val="0"/>
        <w:spacing w:before="0" w:after="120" w:line="322" w:lineRule="exact"/>
        <w:ind w:left="0" w:right="0" w:firstLine="360"/>
        <w:jc w:val="left"/>
      </w:pPr>
      <w:r>
        <w:rPr>
          <w:color w:val="000000"/>
          <w:spacing w:val="0"/>
          <w:w w:val="100"/>
          <w:position w:val="0"/>
        </w:rPr>
        <w:t>韩振兴，男，中国国籍，</w:t>
      </w:r>
      <w:r>
        <w:rPr>
          <w:color w:val="000000"/>
          <w:spacing w:val="0"/>
          <w:w w:val="100"/>
          <w:position w:val="0"/>
          <w:sz w:val="18"/>
          <w:szCs w:val="18"/>
        </w:rPr>
        <w:t>1989</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月出生，无境外永久居留权，本科学历。</w:t>
      </w:r>
      <w:r>
        <w:rPr>
          <w:color w:val="000000"/>
          <w:spacing w:val="0"/>
          <w:w w:val="100"/>
          <w:position w:val="0"/>
          <w:sz w:val="18"/>
          <w:szCs w:val="18"/>
        </w:rPr>
        <w:t>2014</w:t>
      </w:r>
      <w:r>
        <w:rPr>
          <w:color w:val="000000"/>
          <w:spacing w:val="0"/>
          <w:w w:val="100"/>
          <w:position w:val="0"/>
        </w:rPr>
        <w:t>年起就职银江技术股份有限公司，现任 银江技术股份有限公司董事、副总经理，杭州银江智慧健康集团有限公司董事长。</w:t>
      </w:r>
    </w:p>
    <w:p>
      <w:pPr>
        <w:pStyle w:val="Style25"/>
        <w:keepNext w:val="0"/>
        <w:keepLines w:val="0"/>
        <w:widowControl w:val="0"/>
        <w:shd w:val="clear" w:color="auto" w:fill="auto"/>
        <w:bidi w:val="0"/>
        <w:spacing w:before="0" w:after="120" w:line="317" w:lineRule="exact"/>
        <w:ind w:left="0" w:right="0"/>
        <w:jc w:val="both"/>
      </w:pPr>
      <w:r>
        <w:rPr>
          <w:color w:val="000000"/>
          <w:spacing w:val="0"/>
          <w:w w:val="100"/>
          <w:position w:val="0"/>
        </w:rPr>
        <w:t>王瑞慷，男，中国国籍，</w:t>
      </w:r>
      <w:r>
        <w:rPr>
          <w:color w:val="000000"/>
          <w:spacing w:val="0"/>
          <w:w w:val="100"/>
          <w:position w:val="0"/>
          <w:sz w:val="18"/>
          <w:szCs w:val="18"/>
        </w:rPr>
        <w:t>1975</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月出生，无境外永久居留权，工商管理硕士。历任银江技术股份有限公司董事，现任 银江技术股份有限公司董事。</w:t>
      </w:r>
    </w:p>
    <w:p>
      <w:pPr>
        <w:pStyle w:val="Style25"/>
        <w:keepNext w:val="0"/>
        <w:keepLines w:val="0"/>
        <w:widowControl w:val="0"/>
        <w:shd w:val="clear" w:color="auto" w:fill="auto"/>
        <w:bidi w:val="0"/>
        <w:spacing w:before="0" w:after="120" w:line="319" w:lineRule="exact"/>
        <w:ind w:left="0" w:right="0"/>
        <w:jc w:val="both"/>
      </w:pPr>
      <w:r>
        <w:rPr>
          <w:color w:val="000000"/>
          <w:spacing w:val="0"/>
          <w:w w:val="100"/>
          <w:position w:val="0"/>
        </w:rPr>
        <w:t>花少富，男，中国国籍，</w:t>
      </w:r>
      <w:r>
        <w:rPr>
          <w:color w:val="000000"/>
          <w:spacing w:val="0"/>
          <w:w w:val="100"/>
          <w:position w:val="0"/>
          <w:sz w:val="18"/>
          <w:szCs w:val="18"/>
        </w:rPr>
        <w:t>1987</w:t>
      </w:r>
      <w:r>
        <w:rPr>
          <w:color w:val="000000"/>
          <w:spacing w:val="0"/>
          <w:w w:val="100"/>
          <w:position w:val="0"/>
        </w:rPr>
        <w:t>年</w:t>
      </w:r>
      <w:r>
        <w:rPr>
          <w:color w:val="000000"/>
          <w:spacing w:val="0"/>
          <w:w w:val="100"/>
          <w:position w:val="0"/>
          <w:sz w:val="18"/>
          <w:szCs w:val="18"/>
        </w:rPr>
        <w:t>4</w:t>
      </w:r>
      <w:r>
        <w:rPr>
          <w:color w:val="000000"/>
          <w:spacing w:val="0"/>
          <w:w w:val="100"/>
          <w:position w:val="0"/>
        </w:rPr>
        <w:t>月出生，无境外永久居留权，本科学历。</w:t>
      </w:r>
      <w:r>
        <w:rPr>
          <w:color w:val="000000"/>
          <w:spacing w:val="0"/>
          <w:w w:val="100"/>
          <w:position w:val="0"/>
          <w:sz w:val="18"/>
          <w:szCs w:val="18"/>
        </w:rPr>
        <w:t>2012</w:t>
      </w:r>
      <w:r>
        <w:rPr>
          <w:color w:val="000000"/>
          <w:spacing w:val="0"/>
          <w:w w:val="100"/>
          <w:position w:val="0"/>
        </w:rPr>
        <w:t>年起就职银江技术股份有限公司，现任 银江技术股份有限公司董事、副总经理、董事会秘书，银江股份(香港)有限公司董事，山东博安智能科技股份有限公司董 事。</w:t>
      </w:r>
    </w:p>
    <w:p>
      <w:pPr>
        <w:pStyle w:val="Style25"/>
        <w:keepNext w:val="0"/>
        <w:keepLines w:val="0"/>
        <w:widowControl w:val="0"/>
        <w:shd w:val="clear" w:color="auto" w:fill="auto"/>
        <w:bidi w:val="0"/>
        <w:spacing w:before="0" w:after="120" w:line="314" w:lineRule="exact"/>
        <w:ind w:left="0" w:right="0"/>
        <w:jc w:val="both"/>
      </w:pPr>
      <w:r>
        <w:rPr>
          <w:color w:val="000000"/>
          <w:spacing w:val="0"/>
          <w:w w:val="100"/>
          <w:position w:val="0"/>
        </w:rPr>
        <w:t>蒋立靓，男，中国国籍，</w:t>
      </w:r>
      <w:r>
        <w:rPr>
          <w:color w:val="000000"/>
          <w:spacing w:val="0"/>
          <w:w w:val="100"/>
          <w:position w:val="0"/>
          <w:sz w:val="18"/>
          <w:szCs w:val="18"/>
        </w:rPr>
        <w:t>1984</w:t>
      </w:r>
      <w:r>
        <w:rPr>
          <w:color w:val="000000"/>
          <w:spacing w:val="0"/>
          <w:w w:val="100"/>
          <w:position w:val="0"/>
        </w:rPr>
        <w:t>年</w:t>
      </w:r>
      <w:r>
        <w:rPr>
          <w:color w:val="000000"/>
          <w:spacing w:val="0"/>
          <w:w w:val="100"/>
          <w:position w:val="0"/>
          <w:sz w:val="18"/>
          <w:szCs w:val="18"/>
        </w:rPr>
        <w:t>5</w:t>
      </w:r>
      <w:r>
        <w:rPr>
          <w:color w:val="000000"/>
          <w:spacing w:val="0"/>
          <w:w w:val="100"/>
          <w:position w:val="0"/>
        </w:rPr>
        <w:t>月出生，无境外永久居留权，本科学历，高级工程师。</w:t>
      </w:r>
      <w:r>
        <w:rPr>
          <w:color w:val="000000"/>
          <w:spacing w:val="0"/>
          <w:w w:val="100"/>
          <w:position w:val="0"/>
          <w:sz w:val="18"/>
          <w:szCs w:val="18"/>
        </w:rPr>
        <w:t>2007</w:t>
      </w:r>
      <w:r>
        <w:rPr>
          <w:color w:val="000000"/>
          <w:spacing w:val="0"/>
          <w:w w:val="100"/>
          <w:position w:val="0"/>
        </w:rPr>
        <w:t>年起就职银江技术股份有 限公司，先后在市场管理中心、运营管理中心等部门担任管理职务，现任银江技术股份有限公司董事、副总经理、企业管理 中心总经理。</w:t>
      </w:r>
    </w:p>
    <w:p>
      <w:pPr>
        <w:pStyle w:val="Style25"/>
        <w:keepNext w:val="0"/>
        <w:keepLines w:val="0"/>
        <w:widowControl w:val="0"/>
        <w:shd w:val="clear" w:color="auto" w:fill="auto"/>
        <w:bidi w:val="0"/>
        <w:spacing w:before="0" w:after="120" w:line="314" w:lineRule="exact"/>
        <w:ind w:left="0" w:right="0"/>
        <w:jc w:val="both"/>
      </w:pPr>
      <w:r>
        <w:rPr>
          <w:color w:val="000000"/>
          <w:spacing w:val="0"/>
          <w:w w:val="100"/>
          <w:position w:val="0"/>
        </w:rPr>
        <w:t>倪净，女，中国国籍，</w:t>
      </w: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月出生，无境外永久居留权，本科学历，高级人力资源管理师。</w:t>
      </w:r>
      <w:r>
        <w:rPr>
          <w:color w:val="000000"/>
          <w:spacing w:val="0"/>
          <w:w w:val="100"/>
          <w:position w:val="0"/>
          <w:sz w:val="18"/>
          <w:szCs w:val="18"/>
        </w:rPr>
        <w:t>2001</w:t>
      </w:r>
      <w:r>
        <w:rPr>
          <w:color w:val="000000"/>
          <w:spacing w:val="0"/>
          <w:w w:val="100"/>
          <w:position w:val="0"/>
        </w:rPr>
        <w:t>年起就职银江技术 股份有限公司，先后在人力资源部、行政管理中心等部门岗位担任管理职务，现任银江技术股份有限公司董事、人力资源总 监。</w:t>
      </w:r>
    </w:p>
    <w:p>
      <w:pPr>
        <w:pStyle w:val="Style25"/>
        <w:keepNext w:val="0"/>
        <w:keepLines w:val="0"/>
        <w:widowControl w:val="0"/>
        <w:shd w:val="clear" w:color="auto" w:fill="auto"/>
        <w:bidi w:val="0"/>
        <w:spacing w:before="0" w:after="120" w:line="315" w:lineRule="exact"/>
        <w:ind w:left="0" w:right="0"/>
        <w:jc w:val="both"/>
      </w:pPr>
      <w:r>
        <w:rPr>
          <w:color w:val="000000"/>
          <w:spacing w:val="0"/>
          <w:w w:val="100"/>
          <w:position w:val="0"/>
        </w:rPr>
        <w:t>赵新建，男，中国国籍，</w:t>
      </w:r>
      <w:r>
        <w:rPr>
          <w:color w:val="000000"/>
          <w:spacing w:val="0"/>
          <w:w w:val="100"/>
          <w:position w:val="0"/>
          <w:sz w:val="18"/>
          <w:szCs w:val="18"/>
        </w:rPr>
        <w:t>1955</w:t>
      </w:r>
      <w:r>
        <w:rPr>
          <w:color w:val="000000"/>
          <w:spacing w:val="0"/>
          <w:w w:val="100"/>
          <w:position w:val="0"/>
        </w:rPr>
        <w:t>年生，无境外永久居留权，无线电技术专业硕士，教授。</w:t>
      </w:r>
      <w:r>
        <w:rPr>
          <w:color w:val="000000"/>
          <w:spacing w:val="0"/>
          <w:w w:val="100"/>
          <w:position w:val="0"/>
          <w:sz w:val="18"/>
          <w:szCs w:val="18"/>
        </w:rPr>
        <w:t>1981</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年就职于浙江工业 大学，历任信息工程学院通信工程教研室主任、通信与电子工程系主任、网络信息教育中心主任、信息化办公室主任、信息 工程学院教授，现任本公司独立董事、杭州安恒信息技术股份有限公司独立董事、杭州世创电子技术股份有限公司独立董事、 浙江中广电器股份有限公司独立董事、祖名豆制品股份有限公司独立董事。</w:t>
      </w:r>
    </w:p>
    <w:p>
      <w:pPr>
        <w:pStyle w:val="Style25"/>
        <w:keepNext w:val="0"/>
        <w:keepLines w:val="0"/>
        <w:widowControl w:val="0"/>
        <w:shd w:val="clear" w:color="auto" w:fill="auto"/>
        <w:bidi w:val="0"/>
        <w:spacing w:before="0" w:after="120" w:line="314" w:lineRule="exact"/>
        <w:ind w:left="0" w:right="0"/>
        <w:jc w:val="both"/>
      </w:pPr>
      <w:r>
        <w:rPr>
          <w:color w:val="000000"/>
          <w:spacing w:val="0"/>
          <w:w w:val="100"/>
          <w:position w:val="0"/>
        </w:rPr>
        <w:t>罗吉华，男，中国国籍，</w:t>
      </w:r>
      <w:r>
        <w:rPr>
          <w:color w:val="000000"/>
          <w:spacing w:val="0"/>
          <w:w w:val="100"/>
          <w:position w:val="0"/>
          <w:sz w:val="18"/>
          <w:szCs w:val="18"/>
        </w:rPr>
        <w:t>1946</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月出生，无境外永久居留权，高级工商管理硕士，毕业于上海同济大学建筑工程系工 民建专业，高级工程师；</w:t>
      </w:r>
      <w:r>
        <w:rPr>
          <w:color w:val="000000"/>
          <w:spacing w:val="0"/>
          <w:w w:val="100"/>
          <w:position w:val="0"/>
          <w:sz w:val="18"/>
          <w:szCs w:val="18"/>
        </w:rPr>
        <w:t>1985</w:t>
      </w:r>
      <w:r>
        <w:rPr>
          <w:color w:val="000000"/>
          <w:spacing w:val="0"/>
          <w:w w:val="100"/>
          <w:position w:val="0"/>
        </w:rPr>
        <w:t>年起任建设银行浙江省衢州市分行行长兼党组书记、衢州市科协名誉主席；</w:t>
      </w:r>
      <w:r>
        <w:rPr>
          <w:color w:val="000000"/>
          <w:spacing w:val="0"/>
          <w:w w:val="100"/>
          <w:position w:val="0"/>
          <w:sz w:val="18"/>
          <w:szCs w:val="18"/>
        </w:rPr>
        <w:t>1996</w:t>
      </w:r>
      <w:r>
        <w:rPr>
          <w:color w:val="000000"/>
          <w:spacing w:val="0"/>
          <w:w w:val="100"/>
          <w:position w:val="0"/>
        </w:rPr>
        <w:t>年任华夏银行 杭州分行副行长；</w:t>
      </w:r>
      <w:r>
        <w:rPr>
          <w:color w:val="000000"/>
          <w:spacing w:val="0"/>
          <w:w w:val="100"/>
          <w:position w:val="0"/>
          <w:sz w:val="18"/>
          <w:szCs w:val="18"/>
        </w:rPr>
        <w:t>1998</w:t>
      </w:r>
      <w:r>
        <w:rPr>
          <w:color w:val="000000"/>
          <w:spacing w:val="0"/>
          <w:w w:val="100"/>
          <w:position w:val="0"/>
        </w:rPr>
        <w:t>年起历任华夏银行总行企业金融部总经理、资产保全部总经理、信贷审批委员会专职审批人；</w:t>
      </w:r>
      <w:r>
        <w:rPr>
          <w:color w:val="000000"/>
          <w:spacing w:val="0"/>
          <w:w w:val="100"/>
          <w:position w:val="0"/>
          <w:sz w:val="18"/>
          <w:szCs w:val="18"/>
        </w:rPr>
        <w:t xml:space="preserve">2006 </w:t>
      </w:r>
      <w:r>
        <w:rPr>
          <w:color w:val="000000"/>
          <w:spacing w:val="0"/>
          <w:w w:val="100"/>
          <w:position w:val="0"/>
        </w:rPr>
        <w:t>年起任华夏银行巡视员。</w:t>
      </w:r>
      <w:r>
        <w:rPr>
          <w:color w:val="000000"/>
          <w:spacing w:val="0"/>
          <w:w w:val="100"/>
          <w:position w:val="0"/>
          <w:sz w:val="18"/>
          <w:szCs w:val="18"/>
        </w:rPr>
        <w:t>2009</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年曾任本公司独立董事。现任本公司独立董事。</w:t>
      </w:r>
    </w:p>
    <w:p>
      <w:pPr>
        <w:pStyle w:val="Style25"/>
        <w:keepNext w:val="0"/>
        <w:keepLines w:val="0"/>
        <w:widowControl w:val="0"/>
        <w:shd w:val="clear" w:color="auto" w:fill="auto"/>
        <w:bidi w:val="0"/>
        <w:spacing w:before="0" w:after="120" w:line="314" w:lineRule="exact"/>
        <w:ind w:left="0" w:right="0"/>
        <w:jc w:val="both"/>
      </w:pPr>
      <w:r>
        <w:rPr>
          <w:color w:val="000000"/>
          <w:spacing w:val="0"/>
          <w:w w:val="100"/>
          <w:position w:val="0"/>
        </w:rPr>
        <w:t>蒋贤品，男，中国国籍，</w:t>
      </w:r>
      <w:r>
        <w:rPr>
          <w:color w:val="000000"/>
          <w:spacing w:val="0"/>
          <w:w w:val="100"/>
          <w:position w:val="0"/>
          <w:sz w:val="18"/>
          <w:szCs w:val="18"/>
        </w:rPr>
        <w:t>1965</w:t>
      </w:r>
      <w:r>
        <w:rPr>
          <w:color w:val="000000"/>
          <w:spacing w:val="0"/>
          <w:w w:val="100"/>
          <w:position w:val="0"/>
        </w:rPr>
        <w:t>年生，无境外永久居留权，</w:t>
      </w:r>
      <w:r>
        <w:rPr>
          <w:color w:val="000000"/>
          <w:spacing w:val="0"/>
          <w:w w:val="100"/>
          <w:position w:val="0"/>
          <w:sz w:val="18"/>
          <w:szCs w:val="18"/>
        </w:rPr>
        <w:t>1986</w:t>
      </w:r>
      <w:r>
        <w:rPr>
          <w:color w:val="000000"/>
          <w:spacing w:val="0"/>
          <w:w w:val="100"/>
          <w:position w:val="0"/>
        </w:rPr>
        <w:t>年起就职浙江工业大学，现任浙江工业大学管理学院会计 学教授，浙江工业大学</w:t>
      </w:r>
      <w:r>
        <w:rPr>
          <w:color w:val="000000"/>
          <w:spacing w:val="0"/>
          <w:w w:val="100"/>
          <w:position w:val="0"/>
          <w:sz w:val="18"/>
          <w:szCs w:val="18"/>
        </w:rPr>
        <w:t>MBA</w:t>
      </w:r>
      <w:r>
        <w:rPr>
          <w:color w:val="000000"/>
          <w:spacing w:val="0"/>
          <w:w w:val="100"/>
          <w:position w:val="0"/>
        </w:rPr>
        <w:t>教育中心骨干教师，浙江省科技厅特聘财务专家，浙江省审计厅特约审计员。现任本公司独立董 事、浙江金科汤姆猫文化产业股份有限公司</w:t>
      </w:r>
      <w:r>
        <w:rPr>
          <w:color w:val="000000"/>
          <w:spacing w:val="0"/>
          <w:w w:val="100"/>
          <w:position w:val="0"/>
          <w:sz w:val="18"/>
          <w:szCs w:val="18"/>
        </w:rPr>
        <w:t>(300459</w:t>
      </w:r>
      <w:r>
        <w:rPr>
          <w:color w:val="000000"/>
          <w:spacing w:val="0"/>
          <w:w w:val="100"/>
          <w:position w:val="0"/>
        </w:rPr>
        <w:t>)独立董事、宁波申洲国际集团控股有限公司</w:t>
      </w:r>
      <w:r>
        <w:rPr>
          <w:color w:val="000000"/>
          <w:spacing w:val="0"/>
          <w:w w:val="100"/>
          <w:position w:val="0"/>
          <w:sz w:val="18"/>
          <w:szCs w:val="18"/>
        </w:rPr>
        <w:t>(</w:t>
      </w:r>
      <w:r>
        <w:rPr>
          <w:color w:val="000000"/>
          <w:spacing w:val="0"/>
          <w:w w:val="100"/>
          <w:position w:val="0"/>
          <w:sz w:val="18"/>
          <w:szCs w:val="18"/>
        </w:rPr>
        <w:t>HK02313)</w:t>
      </w:r>
      <w:r>
        <w:rPr>
          <w:color w:val="000000"/>
          <w:spacing w:val="0"/>
          <w:w w:val="100"/>
          <w:position w:val="0"/>
        </w:rPr>
        <w:t>独立董事，浙 江百川导体技术股份有限公司</w:t>
      </w:r>
      <w:r>
        <w:rPr>
          <w:color w:val="000000"/>
          <w:spacing w:val="0"/>
          <w:w w:val="100"/>
          <w:position w:val="0"/>
          <w:sz w:val="18"/>
          <w:szCs w:val="18"/>
        </w:rPr>
        <w:t>(832852</w:t>
      </w:r>
      <w:r>
        <w:rPr>
          <w:color w:val="000000"/>
          <w:spacing w:val="0"/>
          <w:w w:val="100"/>
          <w:position w:val="0"/>
        </w:rPr>
        <w:t>)独立董事、上海众辛防护科技股份有限公司独立董事。</w:t>
      </w:r>
    </w:p>
    <w:p>
      <w:pPr>
        <w:pStyle w:val="Style25"/>
        <w:keepNext w:val="0"/>
        <w:keepLines w:val="0"/>
        <w:widowControl w:val="0"/>
        <w:shd w:val="clear" w:color="auto" w:fill="auto"/>
        <w:bidi w:val="0"/>
        <w:spacing w:before="0" w:after="120" w:line="319" w:lineRule="exact"/>
        <w:ind w:left="0" w:right="0"/>
        <w:jc w:val="both"/>
      </w:pPr>
      <w:r>
        <w:rPr>
          <w:color w:val="000000"/>
          <w:spacing w:val="0"/>
          <w:w w:val="100"/>
          <w:position w:val="0"/>
        </w:rPr>
        <w:t>徐佳，女，中国国籍，</w:t>
      </w:r>
      <w:r>
        <w:rPr>
          <w:color w:val="000000"/>
          <w:spacing w:val="0"/>
          <w:w w:val="100"/>
          <w:position w:val="0"/>
          <w:sz w:val="18"/>
          <w:szCs w:val="18"/>
        </w:rPr>
        <w:t>1982</w:t>
      </w:r>
      <w:r>
        <w:rPr>
          <w:color w:val="000000"/>
          <w:spacing w:val="0"/>
          <w:w w:val="100"/>
          <w:position w:val="0"/>
        </w:rPr>
        <w:t>年</w:t>
      </w:r>
      <w:r>
        <w:rPr>
          <w:color w:val="000000"/>
          <w:spacing w:val="0"/>
          <w:w w:val="100"/>
          <w:position w:val="0"/>
          <w:sz w:val="18"/>
          <w:szCs w:val="18"/>
        </w:rPr>
        <w:t>4</w:t>
      </w:r>
      <w:r>
        <w:rPr>
          <w:color w:val="000000"/>
          <w:spacing w:val="0"/>
          <w:w w:val="100"/>
          <w:position w:val="0"/>
        </w:rPr>
        <w:t>月出生，无境外永久居留权，本科学历，会计师，注册管理税务师。</w:t>
      </w:r>
      <w:r>
        <w:rPr>
          <w:color w:val="000000"/>
          <w:spacing w:val="0"/>
          <w:w w:val="100"/>
          <w:position w:val="0"/>
          <w:sz w:val="18"/>
          <w:szCs w:val="18"/>
        </w:rPr>
        <w:t>2007</w:t>
      </w:r>
      <w:r>
        <w:rPr>
          <w:color w:val="000000"/>
          <w:spacing w:val="0"/>
          <w:w w:val="100"/>
          <w:position w:val="0"/>
        </w:rPr>
        <w:t>年起就职银江 技术股份有限公司，现任银江技术股份有限公司企业改制办主任、浙江智尔信息技术有限公司董事、浙江银江云计算技术有 限公司董事、现任本公司监事会主席。</w:t>
      </w:r>
    </w:p>
    <w:p>
      <w:pPr>
        <w:pStyle w:val="Style25"/>
        <w:keepNext w:val="0"/>
        <w:keepLines w:val="0"/>
        <w:widowControl w:val="0"/>
        <w:shd w:val="clear" w:color="auto" w:fill="auto"/>
        <w:bidi w:val="0"/>
        <w:spacing w:before="0" w:after="120" w:line="326" w:lineRule="exact"/>
        <w:ind w:left="0" w:right="0"/>
        <w:jc w:val="both"/>
      </w:pPr>
      <w:r>
        <w:rPr>
          <w:color w:val="000000"/>
          <w:spacing w:val="0"/>
          <w:w w:val="100"/>
          <w:position w:val="0"/>
        </w:rPr>
        <w:t>张芸芸，女，中国国籍，</w:t>
      </w:r>
      <w:r>
        <w:rPr>
          <w:color w:val="000000"/>
          <w:spacing w:val="0"/>
          <w:w w:val="100"/>
          <w:position w:val="0"/>
          <w:sz w:val="18"/>
          <w:szCs w:val="18"/>
        </w:rPr>
        <w:t>1984</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月出生，无境外永久居留权，大专学历，</w:t>
      </w:r>
      <w:r>
        <w:rPr>
          <w:color w:val="000000"/>
          <w:spacing w:val="0"/>
          <w:w w:val="100"/>
          <w:position w:val="0"/>
          <w:sz w:val="18"/>
          <w:szCs w:val="18"/>
        </w:rPr>
        <w:t>2008</w:t>
      </w:r>
      <w:r>
        <w:rPr>
          <w:color w:val="000000"/>
          <w:spacing w:val="0"/>
          <w:w w:val="100"/>
          <w:position w:val="0"/>
        </w:rPr>
        <w:t>年至今在浙江交通技术有限公司和银江 技术股份人力资源部工作。现任本公司监事。</w:t>
      </w:r>
    </w:p>
    <w:p>
      <w:pPr>
        <w:pStyle w:val="Style25"/>
        <w:keepNext w:val="0"/>
        <w:keepLines w:val="0"/>
        <w:widowControl w:val="0"/>
        <w:shd w:val="clear" w:color="auto" w:fill="auto"/>
        <w:bidi w:val="0"/>
        <w:spacing w:before="0" w:after="120" w:line="326" w:lineRule="exact"/>
        <w:ind w:left="0" w:right="0"/>
        <w:jc w:val="both"/>
      </w:pPr>
      <w:r>
        <w:rPr>
          <w:color w:val="000000"/>
          <w:spacing w:val="0"/>
          <w:w w:val="100"/>
          <w:position w:val="0"/>
        </w:rPr>
        <w:t>余力航，女，中国国籍，</w:t>
      </w:r>
      <w:r>
        <w:rPr>
          <w:color w:val="000000"/>
          <w:spacing w:val="0"/>
          <w:w w:val="100"/>
          <w:position w:val="0"/>
          <w:sz w:val="18"/>
          <w:szCs w:val="18"/>
        </w:rPr>
        <w:t>1989</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月出生，无境外永久居留权，本科学历。</w:t>
      </w:r>
      <w:r>
        <w:rPr>
          <w:color w:val="000000"/>
          <w:spacing w:val="0"/>
          <w:w w:val="100"/>
          <w:position w:val="0"/>
          <w:sz w:val="18"/>
          <w:szCs w:val="18"/>
        </w:rPr>
        <w:t>2012</w:t>
      </w:r>
      <w:r>
        <w:rPr>
          <w:color w:val="000000"/>
          <w:spacing w:val="0"/>
          <w:w w:val="100"/>
          <w:position w:val="0"/>
        </w:rPr>
        <w:t>年至今在银江技术股份有限公司工作， 现任本公司监事、审计部总监。</w:t>
      </w:r>
    </w:p>
    <w:p>
      <w:pPr>
        <w:pStyle w:val="Style25"/>
        <w:keepNext w:val="0"/>
        <w:keepLines w:val="0"/>
        <w:widowControl w:val="0"/>
        <w:shd w:val="clear" w:color="auto" w:fill="auto"/>
        <w:bidi w:val="0"/>
        <w:spacing w:before="0" w:after="120" w:line="326" w:lineRule="exact"/>
        <w:ind w:left="0" w:right="0"/>
        <w:jc w:val="both"/>
      </w:pPr>
      <w:r>
        <w:rPr>
          <w:color w:val="000000"/>
          <w:spacing w:val="0"/>
          <w:w w:val="100"/>
          <w:position w:val="0"/>
        </w:rPr>
        <w:t>胡慷，男，中国国籍，</w:t>
      </w:r>
      <w:r>
        <w:rPr>
          <w:color w:val="000000"/>
          <w:spacing w:val="0"/>
          <w:w w:val="100"/>
          <w:position w:val="0"/>
          <w:sz w:val="18"/>
          <w:szCs w:val="18"/>
        </w:rPr>
        <w:t>1979</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月出生，无境外永久居留权，研究生学历，中国民主同盟盟员。</w:t>
      </w:r>
      <w:r>
        <w:rPr>
          <w:color w:val="000000"/>
          <w:spacing w:val="0"/>
          <w:w w:val="100"/>
          <w:position w:val="0"/>
          <w:sz w:val="18"/>
          <w:szCs w:val="18"/>
        </w:rPr>
        <w:t>2012</w:t>
      </w:r>
      <w:r>
        <w:rPr>
          <w:color w:val="000000"/>
          <w:spacing w:val="0"/>
          <w:w w:val="100"/>
          <w:position w:val="0"/>
        </w:rPr>
        <w:t>年起就职银江技术 股份有限公司，现任银江技术股份有限公司副总经理、江苏银江智慧城市技术有限公司董事长。</w:t>
      </w:r>
    </w:p>
    <w:p>
      <w:pPr>
        <w:pStyle w:val="Style25"/>
        <w:keepNext w:val="0"/>
        <w:keepLines w:val="0"/>
        <w:widowControl w:val="0"/>
        <w:shd w:val="clear" w:color="auto" w:fill="auto"/>
        <w:bidi w:val="0"/>
        <w:spacing w:before="0" w:after="120" w:line="319" w:lineRule="exact"/>
        <w:ind w:left="0" w:right="0"/>
        <w:jc w:val="both"/>
      </w:pPr>
      <w:r>
        <w:rPr>
          <w:color w:val="000000"/>
          <w:spacing w:val="0"/>
          <w:w w:val="100"/>
          <w:position w:val="0"/>
        </w:rPr>
        <w:t>张文广，男，中国国籍，</w:t>
      </w: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月出生，无境外永久居留权，本科学历，高级工程师。</w:t>
      </w:r>
      <w:r>
        <w:rPr>
          <w:color w:val="000000"/>
          <w:spacing w:val="0"/>
          <w:w w:val="100"/>
          <w:position w:val="0"/>
          <w:sz w:val="18"/>
          <w:szCs w:val="18"/>
        </w:rPr>
        <w:t>2013</w:t>
      </w:r>
      <w:r>
        <w:rPr>
          <w:color w:val="000000"/>
          <w:spacing w:val="0"/>
          <w:w w:val="100"/>
          <w:position w:val="0"/>
        </w:rPr>
        <w:t>年起就职银江技术股份有 限公司，历任杭州银江智慧城市技术集团有限公司执行总裁、总裁，现任银江技术股份有限公司副总经理、杭州银江智慧城 市技术集团有限公司董事长。</w:t>
      </w:r>
    </w:p>
    <w:p>
      <w:pPr>
        <w:pStyle w:val="Style25"/>
        <w:keepNext w:val="0"/>
        <w:keepLines w:val="0"/>
        <w:widowControl w:val="0"/>
        <w:shd w:val="clear" w:color="auto" w:fill="auto"/>
        <w:bidi w:val="0"/>
        <w:spacing w:before="0" w:after="120" w:line="326" w:lineRule="exact"/>
        <w:ind w:left="0" w:right="0"/>
        <w:jc w:val="both"/>
      </w:pPr>
      <w:r>
        <w:rPr>
          <w:color w:val="000000"/>
          <w:spacing w:val="0"/>
          <w:w w:val="100"/>
          <w:position w:val="0"/>
        </w:rPr>
        <w:t>孔桦桦，女，中国国籍，</w:t>
      </w:r>
      <w:r>
        <w:rPr>
          <w:color w:val="000000"/>
          <w:spacing w:val="0"/>
          <w:w w:val="100"/>
          <w:position w:val="0"/>
          <w:sz w:val="18"/>
          <w:szCs w:val="18"/>
        </w:rPr>
        <w:t>1980</w:t>
      </w:r>
      <w:r>
        <w:rPr>
          <w:color w:val="000000"/>
          <w:spacing w:val="0"/>
          <w:w w:val="100"/>
          <w:position w:val="0"/>
        </w:rPr>
        <w:t>年</w:t>
      </w:r>
      <w:r>
        <w:rPr>
          <w:color w:val="000000"/>
          <w:spacing w:val="0"/>
          <w:w w:val="100"/>
          <w:position w:val="0"/>
          <w:sz w:val="18"/>
          <w:szCs w:val="18"/>
        </w:rPr>
        <w:t>3</w:t>
      </w:r>
      <w:r>
        <w:rPr>
          <w:color w:val="000000"/>
          <w:spacing w:val="0"/>
          <w:w w:val="100"/>
          <w:position w:val="0"/>
        </w:rPr>
        <w:t>月出生，无境外永久居留权，工业工程硕士。</w:t>
      </w:r>
      <w:r>
        <w:rPr>
          <w:color w:val="000000"/>
          <w:spacing w:val="0"/>
          <w:w w:val="100"/>
          <w:position w:val="0"/>
          <w:sz w:val="18"/>
          <w:szCs w:val="18"/>
        </w:rPr>
        <w:t>2002</w:t>
      </w:r>
      <w:r>
        <w:rPr>
          <w:color w:val="000000"/>
          <w:spacing w:val="0"/>
          <w:w w:val="100"/>
          <w:position w:val="0"/>
        </w:rPr>
        <w:t>年至今在银江技术股份有限公司工 作，历任监事会主席，现任银江技术股份有限公司副总经理、企业发展中心总经理。</w:t>
      </w:r>
    </w:p>
    <w:p>
      <w:pPr>
        <w:pStyle w:val="Style25"/>
        <w:keepNext w:val="0"/>
        <w:keepLines w:val="0"/>
        <w:widowControl w:val="0"/>
        <w:shd w:val="clear" w:color="auto" w:fill="auto"/>
        <w:bidi w:val="0"/>
        <w:spacing w:before="0" w:after="240" w:line="317" w:lineRule="exact"/>
        <w:ind w:left="0" w:right="0"/>
        <w:jc w:val="both"/>
      </w:pPr>
      <w:r>
        <w:rPr>
          <w:color w:val="000000"/>
          <w:spacing w:val="0"/>
          <w:w w:val="100"/>
          <w:position w:val="0"/>
        </w:rPr>
        <w:t>任刚要，男，中国国籍，</w:t>
      </w:r>
      <w:r>
        <w:rPr>
          <w:color w:val="000000"/>
          <w:spacing w:val="0"/>
          <w:w w:val="100"/>
          <w:position w:val="0"/>
          <w:sz w:val="18"/>
          <w:szCs w:val="18"/>
        </w:rPr>
        <w:t>1982</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月出生，无境外永久居留权，硕士研究生学历，会计师、注册资产评估师。</w:t>
      </w:r>
      <w:r>
        <w:rPr>
          <w:color w:val="000000"/>
          <w:spacing w:val="0"/>
          <w:w w:val="100"/>
          <w:position w:val="0"/>
          <w:sz w:val="18"/>
          <w:szCs w:val="18"/>
        </w:rPr>
        <w:t>2012</w:t>
      </w:r>
      <w:r>
        <w:rPr>
          <w:color w:val="000000"/>
          <w:spacing w:val="0"/>
          <w:w w:val="100"/>
          <w:position w:val="0"/>
        </w:rPr>
        <w:t>年起</w:t>
        <w:br w:type="page"/>
      </w:r>
      <w:r>
        <w:rPr>
          <w:color w:val="000000"/>
          <w:spacing w:val="0"/>
          <w:w w:val="100"/>
          <w:position w:val="0"/>
        </w:rPr>
        <w:t>就职银江技术股份有限公司，现任银江技术股份有限公司财务总监、副总经理。</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2981"/>
        <w:gridCol w:w="1915"/>
        <w:gridCol w:w="1483"/>
        <w:gridCol w:w="1560"/>
        <w:gridCol w:w="931"/>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位是否领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取报酬津</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韩振兴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杭州银江智慧健康集团有限公司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法定代表人、董事长兼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花少富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山东博安智能科技股份有限公司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蒋立靓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重庆银江智慧城市信息技术有限公司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蒋立靓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贵阳银江智慧城市技术有限公司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蒋立靓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重庆银江智慧城市信息技术有限公司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安徽银江智慧城市技术有限公司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江苏银江交通技术有限公司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安徽新网讯科技发展有限公司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杭州联盈广告有限公司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浙江银江云计算技术有限公司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杭州银江医联网技术股份有限公司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厦门银江智慧城市技术股份有限公司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江西银江智慧城市信息技术有限公司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江苏银江智慧城市信息技术有限公司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法定代表人、执行董事、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江苏银江交通技术有限公司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杭州银江智慧城市技术集团有限公司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浙江银江智慧城市信息技术研究院有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执行董事、法定代表人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28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3</w:t>
      </w:r>
      <w:bookmarkEnd w:id="299"/>
      <w:r>
        <w:rPr>
          <w:color w:val="000000"/>
          <w:spacing w:val="0"/>
          <w:w w:val="100"/>
          <w:position w:val="0"/>
        </w:rPr>
        <w:t>、董事、监事、高级管理人员报酬情况</w:t>
      </w:r>
      <w:bookmarkEnd w:id="297"/>
      <w:bookmarkEnd w:id="298"/>
      <w:bookmarkEnd w:id="300"/>
    </w:p>
    <w:p>
      <w:pPr>
        <w:pStyle w:val="Style25"/>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董事、监事、高级管理人员报酬的决策程序：董事、监事、高级管理人员薪酬根据公司《年度绩效考核管理办法》确定，由 董事会薪酬与考核委员会组织并考核。</w:t>
      </w:r>
    </w:p>
    <w:p>
      <w:pPr>
        <w:pStyle w:val="Style25"/>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董事、监事、高级管理人员报酬确定依据：年度绩效目标。</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董事、监事和高级管理人员报酬的实际支付情况：工资、津贴次月发放；奖金延后发放。</w:t>
      </w:r>
    </w:p>
    <w:p>
      <w:pPr>
        <w:pStyle w:val="Style2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42"/>
        <w:gridCol w:w="1982"/>
        <w:gridCol w:w="994"/>
        <w:gridCol w:w="1358"/>
        <w:gridCol w:w="1051"/>
        <w:gridCol w:w="1685"/>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从公司获得的税前报 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王腾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韩振兴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王瑞慷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花少富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董事、董事会秘书、副总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蒋立靓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倪净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赵新建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罗吉华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徐佳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张芸芸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余力航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胡慷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张文广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孔桦桦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任刚要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秦浪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秦俊峰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1"/>
        <w:keepNext/>
        <w:keepLines/>
        <w:widowControl w:val="0"/>
        <w:shd w:val="clear" w:color="auto" w:fill="auto"/>
        <w:bidi w:val="0"/>
        <w:spacing w:before="0" w:after="32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八</w:t>
      </w:r>
      <w:bookmarkEnd w:id="303"/>
      <w:r>
        <w:rPr>
          <w:color w:val="000000"/>
          <w:spacing w:val="0"/>
          <w:w w:val="100"/>
          <w:position w:val="0"/>
        </w:rPr>
        <w:t>、报告期内董事履行职责的情况</w:t>
      </w:r>
      <w:bookmarkEnd w:id="301"/>
      <w:bookmarkEnd w:id="302"/>
      <w:bookmarkEnd w:id="304"/>
    </w:p>
    <w:p>
      <w:pPr>
        <w:pStyle w:val="Style28"/>
        <w:keepNext/>
        <w:keepLines/>
        <w:widowControl w:val="0"/>
        <w:shd w:val="clear" w:color="auto" w:fill="auto"/>
        <w:bidi w:val="0"/>
        <w:spacing w:before="0" w:after="32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1</w:t>
      </w:r>
      <w:bookmarkEnd w:id="307"/>
      <w:r>
        <w:rPr>
          <w:color w:val="000000"/>
          <w:spacing w:val="0"/>
          <w:w w:val="100"/>
          <w:position w:val="0"/>
        </w:rPr>
        <w:t>、本报告期董事会情况</w:t>
      </w:r>
      <w:bookmarkEnd w:id="305"/>
      <w:bookmarkEnd w:id="306"/>
      <w:bookmarkEnd w:id="308"/>
    </w:p>
    <w:tbl>
      <w:tblPr>
        <w:tblOverlap w:val="never"/>
        <w:jc w:val="center"/>
        <w:tblLayout w:type="fixed"/>
      </w:tblPr>
      <w:tblGrid>
        <w:gridCol w:w="1286"/>
        <w:gridCol w:w="850"/>
        <w:gridCol w:w="994"/>
        <w:gridCol w:w="64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第五届董事会 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《关于授权公司管理层适时出售金融资产的议案》、《关于延长非公开发行股票股东 大会决议有效期及授权董事会有效期的议案》、《关于提请召开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股东大会的议案》</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年度总经理工作报告》、《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 文及其摘要》、《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年度财务预算报告》、《关于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年度拟不进行利润分配的议案》、《关于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年度内部控制的自我评价报告》、《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年日常关联交易情况》、《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年日常关联交易计划》、《关于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年向银行申请综 合授信额度的议案》、《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年第一季度报告》、《关于前期会计差错更正及追溯调 整的议案》、《关于续聘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年度审计机构的议案》、《董事会关于公司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年带强 调事项段的无保留意见审计报告涉及事项的专项说明的议案》《关于控股股东非经 营性资金占用事项的自查说明的议案》、《关于控股股东非经营性资金占用事项的自 查说明》、《关于提请召开公司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年度股东大会的议案》</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年半年度报告全文及其摘要》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《关于拟变更公司名称、证券简称暨修订〈公司章程〉的议案》、《关于召开</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年第三次临时股东大会的议案》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color w:val="000000"/>
                <w:spacing w:val="0"/>
                <w:w w:val="100"/>
                <w:position w:val="0"/>
                <w:sz w:val="18"/>
                <w:szCs w:val="18"/>
              </w:rPr>
              <w:t>〈</w:t>
            </w:r>
            <w:r>
              <w:rPr>
                <w:color w:val="000000"/>
                <w:spacing w:val="0"/>
                <w:w w:val="100"/>
                <w:position w:val="0"/>
              </w:rPr>
              <w:t>银江技术股份有限公司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 案》、《关于</w:t>
            </w:r>
            <w:r>
              <w:rPr>
                <w:color w:val="000000"/>
                <w:spacing w:val="0"/>
                <w:w w:val="100"/>
                <w:position w:val="0"/>
                <w:sz w:val="18"/>
                <w:szCs w:val="18"/>
              </w:rPr>
              <w:t>〈</w:t>
            </w:r>
            <w:r>
              <w:rPr>
                <w:color w:val="000000"/>
                <w:spacing w:val="0"/>
                <w:w w:val="100"/>
                <w:position w:val="0"/>
              </w:rPr>
              <w:t>银江技术股份有限公司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年股票期权激励计划实施考核管理办法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年股票期权激励计划有关 事项的议案》、《关于召开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年第四次临时股东大会的议案》</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年股票期权激励计划激励对象首次授予股票期权的议案》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《关于调整公司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年股票期权激励计划授予激励对象名单及授予数量的议案》</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第十七次会议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《关于选举公司董事长及调整董事会战略委员会委员的议案》、《关于增补董事候选 人的议案》、《关于调整公司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年股票期权激励计划授予数量的议案》、《关于召 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年第一次临时股东大会的议案》</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、董事出席董事会及股东大会的情况</w:t>
      </w:r>
      <w:bookmarkEnd w:id="309"/>
      <w:bookmarkEnd w:id="310"/>
      <w:bookmarkEnd w:id="312"/>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事会会议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bl>
    <w:p>
      <w:pPr>
        <w:spacing w:lineRule="exact" w:line="1"/>
        <w:rPr>
          <w:sz w:val="2"/>
          <w:szCs w:val="2"/>
        </w:rPr>
      </w:pPr>
      <w:r>
        <w:br w:type="page"/>
      </w:r>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王瑞慷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花少富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蒋立靓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赵新建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罗吉华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陈才君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28"/>
        <w:keepNext/>
        <w:keepLines/>
        <w:widowControl w:val="0"/>
        <w:shd w:val="clear" w:color="auto" w:fill="auto"/>
        <w:tabs>
          <w:tab w:pos="378" w:val="left"/>
        </w:tabs>
        <w:bidi w:val="0"/>
        <w:spacing w:before="0" w:after="260" w:line="240" w:lineRule="auto"/>
        <w:ind w:left="0" w:right="0" w:firstLine="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3</w:t>
      </w:r>
      <w:bookmarkEnd w:id="315"/>
      <w:r>
        <w:rPr>
          <w:color w:val="000000"/>
          <w:spacing w:val="0"/>
          <w:w w:val="100"/>
          <w:position w:val="0"/>
        </w:rPr>
        <w:t>、</w:t>
        <w:tab/>
        <w:t>董事对公司有关事项提出异议的情况</w:t>
      </w:r>
      <w:bookmarkEnd w:id="313"/>
      <w:bookmarkEnd w:id="314"/>
      <w:bookmarkEnd w:id="316"/>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董事对公司有关事项是否提出异议</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报告期内董事对公司有关事项未提出异议。</w:t>
      </w:r>
    </w:p>
    <w:p>
      <w:pPr>
        <w:pStyle w:val="Style28"/>
        <w:keepNext/>
        <w:keepLines/>
        <w:widowControl w:val="0"/>
        <w:shd w:val="clear" w:color="auto" w:fill="auto"/>
        <w:tabs>
          <w:tab w:pos="378" w:val="left"/>
        </w:tabs>
        <w:bidi w:val="0"/>
        <w:spacing w:before="0" w:after="260" w:line="240" w:lineRule="auto"/>
        <w:ind w:left="0" w:right="0" w:firstLine="0"/>
        <w:jc w:val="both"/>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4</w:t>
      </w:r>
      <w:bookmarkEnd w:id="319"/>
      <w:r>
        <w:rPr>
          <w:color w:val="000000"/>
          <w:spacing w:val="0"/>
          <w:w w:val="100"/>
          <w:position w:val="0"/>
        </w:rPr>
        <w:t>、</w:t>
        <w:tab/>
        <w:t>董事履行职责的其他说明</w:t>
      </w:r>
      <w:bookmarkEnd w:id="317"/>
      <w:bookmarkEnd w:id="318"/>
      <w:bookmarkEnd w:id="320"/>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董事对公司有关建议是否被采纳</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董事对公司有关建议被采纳或未被采纳的说明</w:t>
      </w:r>
    </w:p>
    <w:p>
      <w:pPr>
        <w:pStyle w:val="Style25"/>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报告期内，公司董事能够严格按照《公司法》、《证券法》、《上市规则》、《规范运作指引》、《关于在上市公司建 立独立董事制度的指导意见》及其他有关法律法规和《公司章程》、《独立董事工作细则》的有关规定，忠实、勤勉地履行 职责，积极按时出席相关会议，认真审议各项议案。独立董事通过电话、邮件及现场考察等形式，与公司其他董事、高级管 理人员及相关人员保持沟通，积极了解公司的生产经营情况及财务状况，对公司的发展战略、完善公司治理等方面提出了积 极建议，对公司定期报告、非公开发行、公司</w:t>
      </w:r>
      <w:r>
        <w:rPr>
          <w:color w:val="000000"/>
          <w:spacing w:val="0"/>
          <w:w w:val="100"/>
          <w:position w:val="0"/>
          <w:sz w:val="18"/>
          <w:szCs w:val="18"/>
        </w:rPr>
        <w:t>2021</w:t>
      </w:r>
      <w:r>
        <w:rPr>
          <w:color w:val="000000"/>
          <w:spacing w:val="0"/>
          <w:w w:val="100"/>
          <w:position w:val="0"/>
        </w:rPr>
        <w:t>年股票期权激励计划等事项发表了独立意见，有效保证了公司董事会决策 的公正性和客观性。公司董事恪尽职守，勤勉尽职，努力维护了公司整体利益和广大中小股东的合法权益，为公司的规范运 作和健康发展发挥了积极作用。</w:t>
      </w:r>
    </w:p>
    <w:p>
      <w:pPr>
        <w:pStyle w:val="Style21"/>
        <w:keepNext/>
        <w:keepLines/>
        <w:widowControl w:val="0"/>
        <w:shd w:val="clear" w:color="auto" w:fill="auto"/>
        <w:bidi w:val="0"/>
        <w:spacing w:before="0" w:after="30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九</w:t>
      </w:r>
      <w:bookmarkEnd w:id="323"/>
      <w:r>
        <w:rPr>
          <w:color w:val="000000"/>
          <w:spacing w:val="0"/>
          <w:w w:val="100"/>
          <w:position w:val="0"/>
        </w:rPr>
        <w:t>、董事会下设专门委员会在报告期内的情况</w:t>
      </w:r>
      <w:bookmarkEnd w:id="321"/>
      <w:bookmarkEnd w:id="322"/>
      <w:bookmarkEnd w:id="324"/>
    </w:p>
    <w:tbl>
      <w:tblPr>
        <w:tblOverlap w:val="never"/>
        <w:jc w:val="center"/>
        <w:tblLayout w:type="fixed"/>
      </w:tblPr>
      <w:tblGrid>
        <w:gridCol w:w="1205"/>
        <w:gridCol w:w="1195"/>
        <w:gridCol w:w="730"/>
        <w:gridCol w:w="1661"/>
        <w:gridCol w:w="1454"/>
        <w:gridCol w:w="1133"/>
        <w:gridCol w:w="994"/>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提出的重要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133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战略决策委员 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陈才君、赵新 建、罗吉华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关于拟变更公司 名称、证券简称暨 修订〈公司章程〉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8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股票期权激励计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730"/>
        <w:gridCol w:w="1661"/>
        <w:gridCol w:w="1454"/>
        <w:gridCol w:w="1133"/>
        <w:gridCol w:w="994"/>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薪酬考核委员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蒋贤品、倪净、 赵新建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年度拟 不进行利润分配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赵新建、王腾、 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关于增补董事候 选人的议案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蒋贤品、罗吉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华、王瑞慷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年日常 关联交易计划的 议案、关于续聘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 构的议案、</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年第一季度全文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与审计机构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充分沟通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告全文全文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 全文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325" w:name="bookmark325"/>
      <w:bookmarkStart w:id="326" w:name="bookmark326"/>
      <w:bookmarkStart w:id="327" w:name="bookmark327"/>
      <w:r>
        <w:rPr>
          <w:color w:val="000000"/>
          <w:spacing w:val="0"/>
          <w:w w:val="100"/>
          <w:position w:val="0"/>
        </w:rPr>
        <w:t>十、监事会工作情况</w:t>
      </w:r>
      <w:bookmarkEnd w:id="325"/>
      <w:bookmarkEnd w:id="326"/>
      <w:bookmarkEnd w:id="327"/>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bidi w:val="0"/>
        <w:spacing w:before="0" w:after="380" w:line="240" w:lineRule="auto"/>
        <w:ind w:left="0" w:right="0" w:firstLine="0"/>
        <w:jc w:val="left"/>
      </w:pPr>
      <w:bookmarkStart w:id="328" w:name="bookmark328"/>
      <w:bookmarkStart w:id="329" w:name="bookmark329"/>
      <w:bookmarkStart w:id="330" w:name="bookmark330"/>
      <w:r>
        <w:rPr>
          <w:color w:val="000000"/>
          <w:spacing w:val="0"/>
          <w:w w:val="100"/>
          <w:position w:val="0"/>
        </w:rPr>
        <w:t>十^一、公司员工情况</w:t>
      </w:r>
      <w:bookmarkEnd w:id="328"/>
      <w:bookmarkEnd w:id="329"/>
      <w:bookmarkEnd w:id="330"/>
    </w:p>
    <w:p>
      <w:pPr>
        <w:pStyle w:val="Style28"/>
        <w:keepNext/>
        <w:keepLines/>
        <w:widowControl w:val="0"/>
        <w:shd w:val="clear" w:color="auto" w:fill="auto"/>
        <w:bidi w:val="0"/>
        <w:spacing w:before="0" w:after="32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1</w:t>
      </w:r>
      <w:bookmarkEnd w:id="333"/>
      <w:r>
        <w:rPr>
          <w:color w:val="000000"/>
          <w:spacing w:val="0"/>
          <w:w w:val="100"/>
          <w:position w:val="0"/>
        </w:rPr>
        <w:t>、员工数量、专业构成及教育程度</w:t>
      </w:r>
      <w:bookmarkEnd w:id="331"/>
      <w:bookmarkEnd w:id="332"/>
      <w:bookmarkEnd w:id="33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681</w:t>
            </w:r>
          </w:p>
        </w:tc>
      </w:tr>
    </w:tbl>
    <w:p>
      <w:pPr>
        <w:widowControl w:val="0"/>
        <w:spacing w:after="319" w:line="1" w:lineRule="exact"/>
      </w:pPr>
    </w:p>
    <w:p>
      <w:pPr>
        <w:pStyle w:val="Style28"/>
        <w:keepNext/>
        <w:keepLines/>
        <w:widowControl w:val="0"/>
        <w:shd w:val="clear" w:color="auto" w:fill="auto"/>
        <w:tabs>
          <w:tab w:pos="378" w:val="left"/>
        </w:tabs>
        <w:bidi w:val="0"/>
        <w:spacing w:before="0" w:after="260" w:line="240" w:lineRule="auto"/>
        <w:ind w:left="0" w:right="0" w:firstLine="0"/>
        <w:jc w:val="both"/>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2</w:t>
      </w:r>
      <w:bookmarkEnd w:id="337"/>
      <w:r>
        <w:rPr>
          <w:color w:val="000000"/>
          <w:spacing w:val="0"/>
          <w:w w:val="100"/>
          <w:position w:val="0"/>
        </w:rPr>
        <w:t>、</w:t>
        <w:tab/>
        <w:t>薪酬政策</w:t>
      </w:r>
      <w:bookmarkEnd w:id="335"/>
      <w:bookmarkEnd w:id="336"/>
      <w:bookmarkEnd w:id="338"/>
    </w:p>
    <w:p>
      <w:pPr>
        <w:pStyle w:val="Style25"/>
        <w:keepNext w:val="0"/>
        <w:keepLines w:val="0"/>
        <w:widowControl w:val="0"/>
        <w:shd w:val="clear" w:color="auto" w:fill="auto"/>
        <w:bidi w:val="0"/>
        <w:spacing w:before="0" w:after="380" w:line="314" w:lineRule="exact"/>
        <w:ind w:left="0" w:right="0"/>
        <w:jc w:val="both"/>
      </w:pPr>
      <w:r>
        <w:rPr>
          <w:color w:val="000000"/>
          <w:spacing w:val="0"/>
          <w:w w:val="100"/>
          <w:position w:val="0"/>
        </w:rPr>
        <w:t>本公司采用劳动合同制，按照《中华人民共和国劳动合同法》和国家及地方其他有关劳动法律、法规的规定，与员工签 订劳动合同。公司严格执行国家用工制度、劳动保护制度、社会保障制度和医疗保障制度，按照国家规定为员工缴纳社会保 险、医疗保险。公司的员工薪酬政策以《公司薪酬管理制度》为蓝本，充分结合公司实际运营状况，依据岗位职能及工作情 况全方位对员工进行各方面的考核。</w:t>
      </w:r>
    </w:p>
    <w:p>
      <w:pPr>
        <w:pStyle w:val="Style28"/>
        <w:keepNext/>
        <w:keepLines/>
        <w:widowControl w:val="0"/>
        <w:shd w:val="clear" w:color="auto" w:fill="auto"/>
        <w:tabs>
          <w:tab w:pos="378" w:val="left"/>
        </w:tabs>
        <w:bidi w:val="0"/>
        <w:spacing w:before="0" w:after="260" w:line="240" w:lineRule="auto"/>
        <w:ind w:left="0" w:right="0" w:firstLine="0"/>
        <w:jc w:val="both"/>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3</w:t>
      </w:r>
      <w:bookmarkEnd w:id="341"/>
      <w:r>
        <w:rPr>
          <w:color w:val="000000"/>
          <w:spacing w:val="0"/>
          <w:w w:val="100"/>
          <w:position w:val="0"/>
        </w:rPr>
        <w:t>、</w:t>
        <w:tab/>
        <w:t>培训计划</w:t>
      </w:r>
      <w:bookmarkEnd w:id="339"/>
      <w:bookmarkEnd w:id="340"/>
      <w:bookmarkEnd w:id="342"/>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公司有着完善的年度培训计划，培训内容包含工作专业技能、安全、管理等各个方面知识，以内部培训、外部培训、在 职培训等多种形式展开。</w:t>
      </w:r>
    </w:p>
    <w:p>
      <w:pPr>
        <w:pStyle w:val="Style28"/>
        <w:keepNext/>
        <w:keepLines/>
        <w:widowControl w:val="0"/>
        <w:shd w:val="clear" w:color="auto" w:fill="auto"/>
        <w:tabs>
          <w:tab w:pos="378" w:val="left"/>
        </w:tabs>
        <w:bidi w:val="0"/>
        <w:spacing w:before="0" w:after="26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4</w:t>
      </w:r>
      <w:bookmarkEnd w:id="345"/>
      <w:r>
        <w:rPr>
          <w:color w:val="000000"/>
          <w:spacing w:val="0"/>
          <w:w w:val="100"/>
          <w:position w:val="0"/>
        </w:rPr>
        <w:t>、</w:t>
        <w:tab/>
        <w:t>劳务外包情况</w:t>
      </w:r>
      <w:bookmarkEnd w:id="343"/>
      <w:bookmarkEnd w:id="344"/>
      <w:bookmarkEnd w:id="346"/>
    </w:p>
    <w:p>
      <w:pPr>
        <w:pStyle w:val="Style25"/>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347" w:name="bookmark347"/>
      <w:bookmarkStart w:id="348" w:name="bookmark348"/>
      <w:bookmarkStart w:id="349" w:name="bookmark349"/>
      <w:r>
        <w:rPr>
          <w:color w:val="000000"/>
          <w:spacing w:val="0"/>
          <w:w w:val="100"/>
          <w:position w:val="0"/>
        </w:rPr>
        <w:t>十二、公司利润分配及资本公积金转增股本情况</w:t>
      </w:r>
      <w:bookmarkEnd w:id="347"/>
      <w:bookmarkEnd w:id="348"/>
      <w:bookmarkEnd w:id="349"/>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报告期内利润分配政策，特别是现金分红政策的制定、执行或调整情况</w:t>
      </w:r>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80" w:line="314" w:lineRule="exact"/>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5112"/>
        <w:gridCol w:w="44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655,789,086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22,952,618.01</w:t>
            </w:r>
          </w:p>
        </w:tc>
      </w:tr>
    </w:tbl>
    <w:tbl>
      <w:tblPr>
        <w:tblOverlap w:val="never"/>
        <w:jc w:val="center"/>
        <w:tblLayout w:type="fixed"/>
      </w:tblPr>
      <w:tblGrid>
        <w:gridCol w:w="5112"/>
        <w:gridCol w:w="44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22,952,618.01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1,306,288,993.25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日，公司召开第五届董事会第十九次会议，审议通过了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年末公司总股本 </w:t>
            </w:r>
            <w:r>
              <w:rPr>
                <w:rFonts w:ascii="Times New Roman" w:eastAsia="Times New Roman" w:hAnsi="Times New Roman" w:cs="Times New Roman"/>
                <w:color w:val="000000"/>
                <w:spacing w:val="0"/>
                <w:w w:val="100"/>
                <w:position w:val="0"/>
                <w:sz w:val="18"/>
                <w:szCs w:val="18"/>
              </w:rPr>
              <w:t>655,789,086</w:t>
            </w:r>
            <w:r>
              <w:rPr>
                <w:color w:val="000000"/>
                <w:spacing w:val="0"/>
                <w:w w:val="100"/>
                <w:position w:val="0"/>
              </w:rPr>
              <w:t>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0.35</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sz w:val="18"/>
                <w:szCs w:val="18"/>
              </w:rPr>
              <w:t>22,952,618.01</w:t>
            </w:r>
            <w:r>
              <w:rPr>
                <w:color w:val="000000"/>
                <w:spacing w:val="0"/>
                <w:w w:val="100"/>
                <w:position w:val="0"/>
              </w:rPr>
              <w:t>元（含税）。剩余未 分配利润结转以后年度分配。本预案尚需提交公司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年度股东大会审议。</w:t>
            </w:r>
          </w:p>
        </w:tc>
      </w:tr>
    </w:tbl>
    <w:p>
      <w:pPr>
        <w:pStyle w:val="Style25"/>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公司报告期内盈利且母公司可供股东分配利润为正但未提出现金红利分配预案</w:t>
      </w:r>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350" w:name="bookmark350"/>
      <w:bookmarkStart w:id="351" w:name="bookmark351"/>
      <w:bookmarkStart w:id="352" w:name="bookmark352"/>
      <w:r>
        <w:rPr>
          <w:color w:val="000000"/>
          <w:spacing w:val="0"/>
          <w:w w:val="100"/>
          <w:position w:val="0"/>
        </w:rPr>
        <w:t>十三、公司股权激励计划、员工持股计划或其他员工激励措施的实施情况</w:t>
      </w:r>
      <w:bookmarkEnd w:id="350"/>
      <w:bookmarkEnd w:id="351"/>
      <w:bookmarkEnd w:id="352"/>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、股权激励</w:t>
      </w:r>
      <w:bookmarkEnd w:id="353"/>
      <w:bookmarkEnd w:id="354"/>
      <w:bookmarkEnd w:id="356"/>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一、</w:t>
      </w:r>
      <w:r>
        <w:rPr>
          <w:color w:val="000000"/>
          <w:spacing w:val="0"/>
          <w:w w:val="100"/>
          <w:position w:val="0"/>
          <w:sz w:val="18"/>
          <w:szCs w:val="18"/>
        </w:rPr>
        <w:t>2021</w:t>
      </w:r>
      <w:r>
        <w:rPr>
          <w:color w:val="000000"/>
          <w:spacing w:val="0"/>
          <w:w w:val="100"/>
          <w:position w:val="0"/>
        </w:rPr>
        <w:t>年股票期权激励计划已履行的相关审批程序</w:t>
      </w:r>
    </w:p>
    <w:p>
      <w:pPr>
        <w:pStyle w:val="Style25"/>
        <w:keepNext w:val="0"/>
        <w:keepLines w:val="0"/>
        <w:widowControl w:val="0"/>
        <w:shd w:val="clear" w:color="auto" w:fill="auto"/>
        <w:tabs>
          <w:tab w:pos="684" w:val="left"/>
        </w:tabs>
        <w:bidi w:val="0"/>
        <w:spacing w:before="0" w:after="0" w:line="316" w:lineRule="exact"/>
        <w:ind w:left="0" w:right="0"/>
        <w:jc w:val="both"/>
      </w:pPr>
      <w:bookmarkStart w:id="357" w:name="bookmark357"/>
      <w:r>
        <w:rPr>
          <w:color w:val="000000"/>
          <w:spacing w:val="0"/>
          <w:w w:val="100"/>
          <w:position w:val="0"/>
          <w:sz w:val="18"/>
          <w:szCs w:val="18"/>
        </w:rPr>
        <w:t>1</w:t>
      </w:r>
      <w:bookmarkEnd w:id="357"/>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日，公司召开第五届董事会第十四次会议，审议通过了《关于〈银江技术股份有限公司</w:t>
      </w:r>
      <w:r>
        <w:rPr>
          <w:color w:val="000000"/>
          <w:spacing w:val="0"/>
          <w:w w:val="100"/>
          <w:position w:val="0"/>
          <w:sz w:val="18"/>
          <w:szCs w:val="18"/>
        </w:rPr>
        <w:t>2021</w:t>
      </w:r>
      <w:r>
        <w:rPr>
          <w:color w:val="000000"/>
          <w:spacing w:val="0"/>
          <w:w w:val="100"/>
          <w:position w:val="0"/>
        </w:rPr>
        <w:t>年股票期权 激励计划（草案）〉及其摘要的议案》、《关于〈银江技术股份有限公司</w:t>
      </w:r>
      <w:r>
        <w:rPr>
          <w:color w:val="000000"/>
          <w:spacing w:val="0"/>
          <w:w w:val="100"/>
          <w:position w:val="0"/>
          <w:sz w:val="18"/>
          <w:szCs w:val="18"/>
        </w:rPr>
        <w:t>2021</w:t>
      </w:r>
      <w:r>
        <w:rPr>
          <w:color w:val="000000"/>
          <w:spacing w:val="0"/>
          <w:w w:val="100"/>
          <w:position w:val="0"/>
        </w:rPr>
        <w:t>年股票期权激励计划实施考核管理办法〉的议案》、</w:t>
      </w:r>
    </w:p>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《关于提请股东大会授权董事会办理公司</w:t>
      </w:r>
      <w:r>
        <w:rPr>
          <w:color w:val="000000"/>
          <w:spacing w:val="0"/>
          <w:w w:val="100"/>
          <w:position w:val="0"/>
          <w:sz w:val="18"/>
          <w:szCs w:val="18"/>
        </w:rPr>
        <w:t>2021</w:t>
      </w:r>
      <w:r>
        <w:rPr>
          <w:color w:val="000000"/>
          <w:spacing w:val="0"/>
          <w:w w:val="100"/>
          <w:position w:val="0"/>
        </w:rPr>
        <w:t>年股票期权激励计划有关事项的议案》、《关于召开</w:t>
      </w:r>
      <w:r>
        <w:rPr>
          <w:color w:val="000000"/>
          <w:spacing w:val="0"/>
          <w:w w:val="100"/>
          <w:position w:val="0"/>
          <w:sz w:val="18"/>
          <w:szCs w:val="18"/>
        </w:rPr>
        <w:t>2021</w:t>
      </w:r>
      <w:r>
        <w:rPr>
          <w:color w:val="000000"/>
          <w:spacing w:val="0"/>
          <w:w w:val="100"/>
          <w:position w:val="0"/>
        </w:rPr>
        <w:t>年第四次临时股东大 会的议案》，公司独立董事对本次激励计划及其他相关议案发表了独立意见。</w:t>
      </w:r>
    </w:p>
    <w:p>
      <w:pPr>
        <w:pStyle w:val="Style25"/>
        <w:keepNext w:val="0"/>
        <w:keepLines w:val="0"/>
        <w:widowControl w:val="0"/>
        <w:shd w:val="clear" w:color="auto" w:fill="auto"/>
        <w:tabs>
          <w:tab w:pos="684" w:val="left"/>
        </w:tabs>
        <w:bidi w:val="0"/>
        <w:spacing w:before="0" w:after="0" w:line="316" w:lineRule="exact"/>
        <w:ind w:left="0" w:right="0"/>
        <w:jc w:val="both"/>
      </w:pPr>
      <w:bookmarkStart w:id="358" w:name="bookmark358"/>
      <w:r>
        <w:rPr>
          <w:color w:val="000000"/>
          <w:spacing w:val="0"/>
          <w:w w:val="100"/>
          <w:position w:val="0"/>
          <w:sz w:val="18"/>
          <w:szCs w:val="18"/>
        </w:rPr>
        <w:t>2</w:t>
      </w:r>
      <w:bookmarkEnd w:id="358"/>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日，公司召开第五届监事会第十三次会议，审议通过了《关于〈银江技术股份有限公司</w:t>
      </w:r>
      <w:r>
        <w:rPr>
          <w:color w:val="000000"/>
          <w:spacing w:val="0"/>
          <w:w w:val="100"/>
          <w:position w:val="0"/>
          <w:sz w:val="18"/>
          <w:szCs w:val="18"/>
        </w:rPr>
        <w:t>2021</w:t>
      </w:r>
      <w:r>
        <w:rPr>
          <w:color w:val="000000"/>
          <w:spacing w:val="0"/>
          <w:w w:val="100"/>
          <w:position w:val="0"/>
        </w:rPr>
        <w:t>年股票期权 激励计划（草案）〉及其摘要的议案》、《关于〈银江技术股份有限公司</w:t>
      </w:r>
      <w:r>
        <w:rPr>
          <w:color w:val="000000"/>
          <w:spacing w:val="0"/>
          <w:w w:val="100"/>
          <w:position w:val="0"/>
          <w:sz w:val="18"/>
          <w:szCs w:val="18"/>
        </w:rPr>
        <w:t>2021</w:t>
      </w:r>
      <w:r>
        <w:rPr>
          <w:color w:val="000000"/>
          <w:spacing w:val="0"/>
          <w:w w:val="100"/>
          <w:position w:val="0"/>
        </w:rPr>
        <w:t>年股票期权激励计划实施考核管理办法〉的议案》、</w:t>
      </w:r>
    </w:p>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《关于〈银江技术股份有限公司</w:t>
      </w:r>
      <w:r>
        <w:rPr>
          <w:color w:val="000000"/>
          <w:spacing w:val="0"/>
          <w:w w:val="100"/>
          <w:position w:val="0"/>
          <w:sz w:val="18"/>
          <w:szCs w:val="18"/>
        </w:rPr>
        <w:t>2021</w:t>
      </w:r>
      <w:r>
        <w:rPr>
          <w:color w:val="000000"/>
          <w:spacing w:val="0"/>
          <w:w w:val="100"/>
          <w:position w:val="0"/>
        </w:rPr>
        <w:t>年股票期权激励计划首次授予激励对象名单〉的议案》。</w:t>
      </w:r>
    </w:p>
    <w:p>
      <w:pPr>
        <w:pStyle w:val="Style25"/>
        <w:keepNext w:val="0"/>
        <w:keepLines w:val="0"/>
        <w:widowControl w:val="0"/>
        <w:shd w:val="clear" w:color="auto" w:fill="auto"/>
        <w:tabs>
          <w:tab w:pos="684" w:val="left"/>
        </w:tabs>
        <w:bidi w:val="0"/>
        <w:spacing w:before="0" w:after="0" w:line="316" w:lineRule="exact"/>
        <w:ind w:left="0" w:right="0"/>
        <w:jc w:val="left"/>
      </w:pPr>
      <w:bookmarkStart w:id="359" w:name="bookmark359"/>
      <w:r>
        <w:rPr>
          <w:color w:val="000000"/>
          <w:spacing w:val="0"/>
          <w:w w:val="100"/>
          <w:position w:val="0"/>
          <w:sz w:val="18"/>
          <w:szCs w:val="18"/>
        </w:rPr>
        <w:t>3</w:t>
      </w:r>
      <w:bookmarkEnd w:id="359"/>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日，公司对授予的激励对象名单的姓名和职务在公司内部进行了公示，在公示期内， 没有任何组织或个人提出异议或不良反映。</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日，公司监事会对本次授予股票期权的激励对象名单进行了核实并 发表了《监事会关于公司</w:t>
      </w:r>
      <w:r>
        <w:rPr>
          <w:color w:val="000000"/>
          <w:spacing w:val="0"/>
          <w:w w:val="100"/>
          <w:position w:val="0"/>
          <w:sz w:val="18"/>
          <w:szCs w:val="18"/>
        </w:rPr>
        <w:t>2021</w:t>
      </w:r>
      <w:r>
        <w:rPr>
          <w:color w:val="000000"/>
          <w:spacing w:val="0"/>
          <w:w w:val="100"/>
          <w:position w:val="0"/>
        </w:rPr>
        <w:t>年股票期权激励计划首次授予激励对象名单的审核意见及公示情况说明》。</w:t>
      </w:r>
    </w:p>
    <w:p>
      <w:pPr>
        <w:pStyle w:val="Style25"/>
        <w:keepNext w:val="0"/>
        <w:keepLines w:val="0"/>
        <w:widowControl w:val="0"/>
        <w:shd w:val="clear" w:color="auto" w:fill="auto"/>
        <w:tabs>
          <w:tab w:pos="684" w:val="left"/>
        </w:tabs>
        <w:bidi w:val="0"/>
        <w:spacing w:before="0" w:after="0" w:line="316" w:lineRule="exact"/>
        <w:ind w:left="0" w:right="0"/>
        <w:jc w:val="left"/>
      </w:pPr>
      <w:bookmarkStart w:id="360" w:name="bookmark360"/>
      <w:r>
        <w:rPr>
          <w:color w:val="000000"/>
          <w:spacing w:val="0"/>
          <w:w w:val="100"/>
          <w:position w:val="0"/>
          <w:sz w:val="18"/>
          <w:szCs w:val="18"/>
        </w:rPr>
        <w:t>4</w:t>
      </w:r>
      <w:bookmarkEnd w:id="360"/>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年第四次临时股东大会，审议通过了《关于〈银江技术股份有限公司</w:t>
      </w:r>
      <w:r>
        <w:rPr>
          <w:color w:val="000000"/>
          <w:spacing w:val="0"/>
          <w:w w:val="100"/>
          <w:position w:val="0"/>
          <w:sz w:val="18"/>
          <w:szCs w:val="18"/>
        </w:rPr>
        <w:t>2021</w:t>
      </w:r>
      <w:r>
        <w:rPr>
          <w:color w:val="000000"/>
          <w:spacing w:val="0"/>
          <w:w w:val="100"/>
          <w:position w:val="0"/>
        </w:rPr>
        <w:t>年股票期权 激励计划（草案）〉及其摘要的议案》、《关于〈银江技术股份有限公司</w:t>
      </w:r>
      <w:r>
        <w:rPr>
          <w:color w:val="000000"/>
          <w:spacing w:val="0"/>
          <w:w w:val="100"/>
          <w:position w:val="0"/>
          <w:sz w:val="18"/>
          <w:szCs w:val="18"/>
        </w:rPr>
        <w:t>2021</w:t>
      </w:r>
      <w:r>
        <w:rPr>
          <w:color w:val="000000"/>
          <w:spacing w:val="0"/>
          <w:w w:val="100"/>
          <w:position w:val="0"/>
        </w:rPr>
        <w:t>年股票期权激励计划实施考核管理办法〉的议案》、</w:t>
      </w:r>
    </w:p>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《关于提请股东大会授权董事会办理公司</w:t>
      </w:r>
      <w:r>
        <w:rPr>
          <w:color w:val="000000"/>
          <w:spacing w:val="0"/>
          <w:w w:val="100"/>
          <w:position w:val="0"/>
          <w:sz w:val="18"/>
          <w:szCs w:val="18"/>
        </w:rPr>
        <w:t>2021</w:t>
      </w:r>
      <w:r>
        <w:rPr>
          <w:color w:val="000000"/>
          <w:spacing w:val="0"/>
          <w:w w:val="100"/>
          <w:position w:val="0"/>
        </w:rPr>
        <w:t>年股票期权激励计划有关事项的议案》</w:t>
      </w:r>
      <w:r>
        <w:rPr>
          <w:color w:val="000000"/>
          <w:spacing w:val="0"/>
          <w:w w:val="100"/>
          <w:position w:val="0"/>
          <w:sz w:val="18"/>
          <w:szCs w:val="18"/>
        </w:rPr>
        <w:t>，</w:t>
      </w:r>
      <w:r>
        <w:rPr>
          <w:color w:val="000000"/>
          <w:spacing w:val="0"/>
          <w:w w:val="100"/>
          <w:position w:val="0"/>
        </w:rPr>
        <w:t>并披露了《关于</w:t>
      </w:r>
      <w:r>
        <w:rPr>
          <w:color w:val="000000"/>
          <w:spacing w:val="0"/>
          <w:w w:val="100"/>
          <w:position w:val="0"/>
          <w:sz w:val="18"/>
          <w:szCs w:val="18"/>
        </w:rPr>
        <w:t>2021</w:t>
      </w:r>
      <w:r>
        <w:rPr>
          <w:color w:val="000000"/>
          <w:spacing w:val="0"/>
          <w:w w:val="100"/>
          <w:position w:val="0"/>
        </w:rPr>
        <w:t>年股票期权激励 计划内幕信息知情人买卖公司股票情况的自查报告》。</w:t>
      </w:r>
    </w:p>
    <w:p>
      <w:pPr>
        <w:pStyle w:val="Style25"/>
        <w:keepNext w:val="0"/>
        <w:keepLines w:val="0"/>
        <w:widowControl w:val="0"/>
        <w:shd w:val="clear" w:color="auto" w:fill="auto"/>
        <w:tabs>
          <w:tab w:pos="688" w:val="left"/>
        </w:tabs>
        <w:bidi w:val="0"/>
        <w:spacing w:before="0" w:after="0" w:line="316" w:lineRule="exact"/>
        <w:ind w:left="0" w:right="0"/>
        <w:jc w:val="both"/>
      </w:pPr>
      <w:bookmarkStart w:id="361" w:name="bookmark361"/>
      <w:r>
        <w:rPr>
          <w:color w:val="000000"/>
          <w:spacing w:val="0"/>
          <w:w w:val="100"/>
          <w:position w:val="0"/>
          <w:sz w:val="18"/>
          <w:szCs w:val="18"/>
        </w:rPr>
        <w:t>5</w:t>
      </w:r>
      <w:bookmarkEnd w:id="361"/>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日，公司分别召开第五届董事会第十五次会议和第五届监事会第十四次会议，审议通过了《关于向</w:t>
      </w:r>
      <w:r>
        <w:rPr>
          <w:color w:val="000000"/>
          <w:spacing w:val="0"/>
          <w:w w:val="100"/>
          <w:position w:val="0"/>
          <w:sz w:val="18"/>
          <w:szCs w:val="18"/>
        </w:rPr>
        <w:t xml:space="preserve">2021 </w:t>
      </w:r>
      <w:r>
        <w:rPr>
          <w:color w:val="000000"/>
          <w:spacing w:val="0"/>
          <w:w w:val="100"/>
          <w:position w:val="0"/>
        </w:rPr>
        <w:t>年股票期权激励计划激励对象首次授予股票期权的议案》</w:t>
      </w:r>
      <w:r>
        <w:rPr>
          <w:color w:val="000000"/>
          <w:spacing w:val="0"/>
          <w:w w:val="100"/>
          <w:position w:val="0"/>
          <w:sz w:val="18"/>
          <w:szCs w:val="18"/>
        </w:rPr>
        <w:t>，</w:t>
      </w:r>
      <w:r>
        <w:rPr>
          <w:color w:val="000000"/>
          <w:spacing w:val="0"/>
          <w:w w:val="100"/>
          <w:position w:val="0"/>
        </w:rPr>
        <w:t>确定以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日作为激励计划的首次授予日，向符合条件 的</w:t>
      </w:r>
      <w:r>
        <w:rPr>
          <w:color w:val="000000"/>
          <w:spacing w:val="0"/>
          <w:w w:val="100"/>
          <w:position w:val="0"/>
          <w:sz w:val="18"/>
          <w:szCs w:val="18"/>
        </w:rPr>
        <w:t>247</w:t>
      </w:r>
      <w:r>
        <w:rPr>
          <w:color w:val="000000"/>
          <w:spacing w:val="0"/>
          <w:w w:val="100"/>
          <w:position w:val="0"/>
        </w:rPr>
        <w:t>名激励对象授予</w:t>
      </w:r>
      <w:r>
        <w:rPr>
          <w:color w:val="000000"/>
          <w:spacing w:val="0"/>
          <w:w w:val="100"/>
          <w:position w:val="0"/>
          <w:sz w:val="18"/>
          <w:szCs w:val="18"/>
        </w:rPr>
        <w:t>1472</w:t>
      </w:r>
      <w:r>
        <w:rPr>
          <w:color w:val="000000"/>
          <w:spacing w:val="0"/>
          <w:w w:val="100"/>
          <w:position w:val="0"/>
        </w:rPr>
        <w:t>万份股票期权。公司独立董事对相关事项发表了独立意见。</w:t>
      </w:r>
    </w:p>
    <w:p>
      <w:pPr>
        <w:pStyle w:val="Style25"/>
        <w:keepNext w:val="0"/>
        <w:keepLines w:val="0"/>
        <w:widowControl w:val="0"/>
        <w:shd w:val="clear" w:color="auto" w:fill="auto"/>
        <w:tabs>
          <w:tab w:pos="684" w:val="left"/>
        </w:tabs>
        <w:bidi w:val="0"/>
        <w:spacing w:before="0" w:after="260" w:line="316" w:lineRule="exact"/>
        <w:ind w:left="0" w:right="0"/>
        <w:jc w:val="both"/>
      </w:pPr>
      <w:bookmarkStart w:id="362" w:name="bookmark362"/>
      <w:r>
        <w:rPr>
          <w:color w:val="000000"/>
          <w:spacing w:val="0"/>
          <w:w w:val="100"/>
          <w:position w:val="0"/>
          <w:sz w:val="18"/>
          <w:szCs w:val="18"/>
        </w:rPr>
        <w:t>6</w:t>
      </w:r>
      <w:bookmarkEnd w:id="362"/>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日，公司分别召开第五届董事会第十六次会议和第五届监事会第十五次会议，审议通过了《关于调整 公司</w:t>
      </w:r>
      <w:r>
        <w:rPr>
          <w:color w:val="000000"/>
          <w:spacing w:val="0"/>
          <w:w w:val="100"/>
          <w:position w:val="0"/>
          <w:sz w:val="18"/>
          <w:szCs w:val="18"/>
        </w:rPr>
        <w:t>2021</w:t>
      </w:r>
      <w:r>
        <w:rPr>
          <w:color w:val="000000"/>
          <w:spacing w:val="0"/>
          <w:w w:val="100"/>
          <w:position w:val="0"/>
        </w:rPr>
        <w:t>年股票期权激励计划授予激励对象名单及授予数量的议案》，鉴于公司董事会确定本激励计划的首次授予日后股票 期权登记前，</w:t>
      </w:r>
      <w:r>
        <w:rPr>
          <w:color w:val="000000"/>
          <w:spacing w:val="0"/>
          <w:w w:val="100"/>
          <w:position w:val="0"/>
          <w:sz w:val="18"/>
          <w:szCs w:val="18"/>
        </w:rPr>
        <w:t>11</w:t>
      </w:r>
      <w:r>
        <w:rPr>
          <w:color w:val="000000"/>
          <w:spacing w:val="0"/>
          <w:w w:val="100"/>
          <w:position w:val="0"/>
        </w:rPr>
        <w:t>名激励对象因个人原因离职或自愿放弃而失去激励资格，公司对授予激励对象名单及授予数量进行调整，首 次授予激励对象人数由</w:t>
      </w:r>
      <w:r>
        <w:rPr>
          <w:color w:val="000000"/>
          <w:spacing w:val="0"/>
          <w:w w:val="100"/>
          <w:position w:val="0"/>
          <w:sz w:val="18"/>
          <w:szCs w:val="18"/>
        </w:rPr>
        <w:t>247</w:t>
      </w:r>
      <w:r>
        <w:rPr>
          <w:color w:val="000000"/>
          <w:spacing w:val="0"/>
          <w:w w:val="100"/>
          <w:position w:val="0"/>
        </w:rPr>
        <w:t>人调整为</w:t>
      </w:r>
      <w:r>
        <w:rPr>
          <w:color w:val="000000"/>
          <w:spacing w:val="0"/>
          <w:w w:val="100"/>
          <w:position w:val="0"/>
          <w:sz w:val="18"/>
          <w:szCs w:val="18"/>
        </w:rPr>
        <w:t>236</w:t>
      </w:r>
      <w:r>
        <w:rPr>
          <w:color w:val="000000"/>
          <w:spacing w:val="0"/>
          <w:w w:val="100"/>
          <w:position w:val="0"/>
        </w:rPr>
        <w:t>人，首次授予的股票期权数量由</w:t>
      </w:r>
      <w:r>
        <w:rPr>
          <w:color w:val="000000"/>
          <w:spacing w:val="0"/>
          <w:w w:val="100"/>
          <w:position w:val="0"/>
          <w:sz w:val="18"/>
          <w:szCs w:val="18"/>
        </w:rPr>
        <w:t>1472</w:t>
      </w:r>
      <w:r>
        <w:rPr>
          <w:color w:val="000000"/>
          <w:spacing w:val="0"/>
          <w:w w:val="100"/>
          <w:position w:val="0"/>
        </w:rPr>
        <w:t>万份调整为</w:t>
      </w:r>
      <w:r>
        <w:rPr>
          <w:color w:val="000000"/>
          <w:spacing w:val="0"/>
          <w:w w:val="100"/>
          <w:position w:val="0"/>
          <w:sz w:val="18"/>
          <w:szCs w:val="18"/>
        </w:rPr>
        <w:t>1447</w:t>
      </w:r>
      <w:r>
        <w:rPr>
          <w:color w:val="000000"/>
          <w:spacing w:val="0"/>
          <w:w w:val="100"/>
          <w:position w:val="0"/>
        </w:rPr>
        <w:t>万份，预留的股票期权数量由</w:t>
      </w:r>
      <w:r>
        <w:rPr>
          <w:color w:val="000000"/>
          <w:spacing w:val="0"/>
          <w:w w:val="100"/>
          <w:position w:val="0"/>
          <w:sz w:val="18"/>
          <w:szCs w:val="18"/>
        </w:rPr>
        <w:t xml:space="preserve">300 </w:t>
      </w:r>
      <w:r>
        <w:rPr>
          <w:color w:val="000000"/>
          <w:spacing w:val="0"/>
          <w:w w:val="100"/>
          <w:position w:val="0"/>
        </w:rPr>
        <w:t>万份调整为</w:t>
      </w:r>
      <w:r>
        <w:rPr>
          <w:color w:val="000000"/>
          <w:spacing w:val="0"/>
          <w:w w:val="100"/>
          <w:position w:val="0"/>
          <w:sz w:val="18"/>
          <w:szCs w:val="18"/>
        </w:rPr>
        <w:t>325</w:t>
      </w:r>
      <w:r>
        <w:rPr>
          <w:color w:val="000000"/>
          <w:spacing w:val="0"/>
          <w:w w:val="100"/>
          <w:position w:val="0"/>
        </w:rPr>
        <w:t>万份，授予总量不变。公司独立董事对此发表了同意的独立意见。</w:t>
      </w:r>
    </w:p>
    <w:p>
      <w:pPr>
        <w:pStyle w:val="Style25"/>
        <w:keepNext w:val="0"/>
        <w:keepLines w:val="0"/>
        <w:widowControl w:val="0"/>
        <w:shd w:val="clear" w:color="auto" w:fill="auto"/>
        <w:tabs>
          <w:tab w:pos="704" w:val="left"/>
        </w:tabs>
        <w:bidi w:val="0"/>
        <w:spacing w:before="0" w:after="0" w:line="315" w:lineRule="exact"/>
        <w:ind w:left="0" w:right="0"/>
        <w:jc w:val="both"/>
      </w:pPr>
      <w:bookmarkStart w:id="363" w:name="bookmark363"/>
      <w:r>
        <w:rPr>
          <w:color w:val="000000"/>
          <w:spacing w:val="0"/>
          <w:w w:val="100"/>
          <w:position w:val="0"/>
          <w:sz w:val="18"/>
          <w:szCs w:val="18"/>
        </w:rPr>
        <w:t>7</w:t>
      </w:r>
      <w:bookmarkEnd w:id="363"/>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日，公司分别召开第五届董事会第十七次会议和第五届监事会第十六次会议，审议通过了《关于调整 公司</w:t>
      </w:r>
      <w:r>
        <w:rPr>
          <w:color w:val="000000"/>
          <w:spacing w:val="0"/>
          <w:w w:val="100"/>
          <w:position w:val="0"/>
          <w:sz w:val="18"/>
          <w:szCs w:val="18"/>
        </w:rPr>
        <w:t>2021</w:t>
      </w:r>
      <w:r>
        <w:rPr>
          <w:color w:val="000000"/>
          <w:spacing w:val="0"/>
          <w:w w:val="100"/>
          <w:position w:val="0"/>
        </w:rPr>
        <w:t>年股票期权激励计划授予数量的议案》</w:t>
      </w:r>
      <w:r>
        <w:rPr>
          <w:color w:val="000000"/>
          <w:spacing w:val="0"/>
          <w:w w:val="100"/>
          <w:position w:val="0"/>
          <w:sz w:val="18"/>
          <w:szCs w:val="18"/>
        </w:rPr>
        <w:t>，</w:t>
      </w:r>
      <w:r>
        <w:rPr>
          <w:color w:val="000000"/>
          <w:spacing w:val="0"/>
          <w:w w:val="100"/>
          <w:position w:val="0"/>
        </w:rPr>
        <w:t>将预留的股票期权数量由</w:t>
      </w:r>
      <w:r>
        <w:rPr>
          <w:color w:val="000000"/>
          <w:spacing w:val="0"/>
          <w:w w:val="100"/>
          <w:position w:val="0"/>
          <w:sz w:val="18"/>
          <w:szCs w:val="18"/>
        </w:rPr>
        <w:t>325</w:t>
      </w:r>
      <w:r>
        <w:rPr>
          <w:color w:val="000000"/>
          <w:spacing w:val="0"/>
          <w:w w:val="100"/>
          <w:position w:val="0"/>
        </w:rPr>
        <w:t>万份调整为</w:t>
      </w:r>
      <w:r>
        <w:rPr>
          <w:color w:val="000000"/>
          <w:spacing w:val="0"/>
          <w:w w:val="100"/>
          <w:position w:val="0"/>
          <w:sz w:val="18"/>
          <w:szCs w:val="18"/>
        </w:rPr>
        <w:t>300</w:t>
      </w:r>
      <w:r>
        <w:rPr>
          <w:color w:val="000000"/>
          <w:spacing w:val="0"/>
          <w:w w:val="100"/>
          <w:position w:val="0"/>
        </w:rPr>
        <w:t xml:space="preserve">万份，首次授予激励对象人数 </w:t>
      </w:r>
      <w:r>
        <w:rPr>
          <w:color w:val="000000"/>
          <w:spacing w:val="0"/>
          <w:w w:val="100"/>
          <w:position w:val="0"/>
          <w:sz w:val="18"/>
          <w:szCs w:val="18"/>
        </w:rPr>
        <w:t>236</w:t>
      </w:r>
      <w:r>
        <w:rPr>
          <w:color w:val="000000"/>
          <w:spacing w:val="0"/>
          <w:w w:val="100"/>
          <w:position w:val="0"/>
        </w:rPr>
        <w:t>人、首次授予的股票期权数量</w:t>
      </w:r>
      <w:r>
        <w:rPr>
          <w:color w:val="000000"/>
          <w:spacing w:val="0"/>
          <w:w w:val="100"/>
          <w:position w:val="0"/>
          <w:sz w:val="18"/>
          <w:szCs w:val="18"/>
        </w:rPr>
        <w:t>1447</w:t>
      </w:r>
      <w:r>
        <w:rPr>
          <w:color w:val="000000"/>
          <w:spacing w:val="0"/>
          <w:w w:val="100"/>
          <w:position w:val="0"/>
        </w:rPr>
        <w:t>万份保持不变，授予总量由</w:t>
      </w:r>
      <w:r>
        <w:rPr>
          <w:color w:val="000000"/>
          <w:spacing w:val="0"/>
          <w:w w:val="100"/>
          <w:position w:val="0"/>
          <w:sz w:val="18"/>
          <w:szCs w:val="18"/>
        </w:rPr>
        <w:t>1772</w:t>
      </w:r>
      <w:r>
        <w:rPr>
          <w:color w:val="000000"/>
          <w:spacing w:val="0"/>
          <w:w w:val="100"/>
          <w:position w:val="0"/>
        </w:rPr>
        <w:t>万份调整为</w:t>
      </w:r>
      <w:r>
        <w:rPr>
          <w:color w:val="000000"/>
          <w:spacing w:val="0"/>
          <w:w w:val="100"/>
          <w:position w:val="0"/>
          <w:sz w:val="18"/>
          <w:szCs w:val="18"/>
        </w:rPr>
        <w:t>1747</w:t>
      </w:r>
      <w:r>
        <w:rPr>
          <w:color w:val="000000"/>
          <w:spacing w:val="0"/>
          <w:w w:val="100"/>
          <w:position w:val="0"/>
        </w:rPr>
        <w:t>万份。公司独立董事对此发表了同意 的独立意见。</w:t>
      </w:r>
    </w:p>
    <w:p>
      <w:pPr>
        <w:pStyle w:val="Style25"/>
        <w:keepNext w:val="0"/>
        <w:keepLines w:val="0"/>
        <w:widowControl w:val="0"/>
        <w:shd w:val="clear" w:color="auto" w:fill="auto"/>
        <w:tabs>
          <w:tab w:pos="704" w:val="left"/>
        </w:tabs>
        <w:bidi w:val="0"/>
        <w:spacing w:before="0" w:after="0" w:line="315" w:lineRule="exact"/>
        <w:ind w:left="0" w:right="0"/>
        <w:jc w:val="both"/>
      </w:pPr>
      <w:bookmarkStart w:id="364" w:name="bookmark364"/>
      <w:r>
        <w:rPr>
          <w:color w:val="000000"/>
          <w:spacing w:val="0"/>
          <w:w w:val="100"/>
          <w:position w:val="0"/>
          <w:sz w:val="18"/>
          <w:szCs w:val="18"/>
        </w:rPr>
        <w:t>8</w:t>
      </w:r>
      <w:bookmarkEnd w:id="364"/>
      <w:r>
        <w:rPr>
          <w:color w:val="000000"/>
          <w:spacing w:val="0"/>
          <w:w w:val="100"/>
          <w:position w:val="0"/>
        </w:rPr>
        <w:t>、</w:t>
        <w:tab/>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日，公司第四期股票期权激励计划经深圳证券交易所、中国证券登记结算有限责任公司深圳分公司审核 确认，银江股份有限公司（以下简称“公司”</w:t>
      </w:r>
      <w:r>
        <w:rPr>
          <w:color w:val="000000"/>
          <w:spacing w:val="0"/>
          <w:w w:val="100"/>
          <w:position w:val="0"/>
          <w:sz w:val="18"/>
          <w:szCs w:val="18"/>
        </w:rPr>
        <w:t>）</w:t>
      </w:r>
      <w:r>
        <w:rPr>
          <w:color w:val="000000"/>
          <w:spacing w:val="0"/>
          <w:w w:val="100"/>
          <w:position w:val="0"/>
        </w:rPr>
        <w:t>已完成《</w:t>
      </w:r>
      <w:r>
        <w:rPr>
          <w:color w:val="000000"/>
          <w:spacing w:val="0"/>
          <w:w w:val="100"/>
          <w:position w:val="0"/>
          <w:sz w:val="18"/>
          <w:szCs w:val="18"/>
        </w:rPr>
        <w:t>2021</w:t>
      </w:r>
      <w:r>
        <w:rPr>
          <w:color w:val="000000"/>
          <w:spacing w:val="0"/>
          <w:w w:val="100"/>
          <w:position w:val="0"/>
        </w:rPr>
        <w:t>年股票期权激励计划（草案）》股票期权的授予登记工作，期 权简称：银江</w:t>
      </w:r>
      <w:r>
        <w:rPr>
          <w:color w:val="000000"/>
          <w:spacing w:val="0"/>
          <w:w w:val="100"/>
          <w:position w:val="0"/>
          <w:sz w:val="18"/>
          <w:szCs w:val="18"/>
        </w:rPr>
        <w:t>JLC4</w:t>
      </w:r>
      <w:r>
        <w:rPr>
          <w:color w:val="000000"/>
          <w:spacing w:val="0"/>
          <w:w w:val="100"/>
          <w:position w:val="0"/>
        </w:rPr>
        <w:t>，期权代码：</w:t>
      </w:r>
      <w:r>
        <w:rPr>
          <w:color w:val="000000"/>
          <w:spacing w:val="0"/>
          <w:w w:val="100"/>
          <w:position w:val="0"/>
          <w:sz w:val="18"/>
          <w:szCs w:val="18"/>
        </w:rPr>
        <w:t>036479</w:t>
      </w:r>
      <w:r>
        <w:rPr>
          <w:color w:val="000000"/>
          <w:spacing w:val="0"/>
          <w:w w:val="100"/>
          <w:position w:val="0"/>
        </w:rPr>
        <w:t>。</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二、股票期权实际首次授予的具体情况</w:t>
      </w:r>
    </w:p>
    <w:p>
      <w:pPr>
        <w:pStyle w:val="Style25"/>
        <w:keepNext w:val="0"/>
        <w:keepLines w:val="0"/>
        <w:widowControl w:val="0"/>
        <w:shd w:val="clear" w:color="auto" w:fill="auto"/>
        <w:tabs>
          <w:tab w:pos="714" w:val="left"/>
        </w:tabs>
        <w:bidi w:val="0"/>
        <w:spacing w:before="0" w:after="0" w:line="315" w:lineRule="exact"/>
        <w:ind w:left="0" w:right="0"/>
        <w:jc w:val="both"/>
      </w:pPr>
      <w:bookmarkStart w:id="365" w:name="bookmark365"/>
      <w:r>
        <w:rPr>
          <w:color w:val="000000"/>
          <w:spacing w:val="0"/>
          <w:w w:val="100"/>
          <w:position w:val="0"/>
          <w:sz w:val="18"/>
          <w:szCs w:val="18"/>
        </w:rPr>
        <w:t>1</w:t>
      </w:r>
      <w:bookmarkEnd w:id="365"/>
      <w:r>
        <w:rPr>
          <w:color w:val="000000"/>
          <w:spacing w:val="0"/>
          <w:w w:val="100"/>
          <w:position w:val="0"/>
        </w:rPr>
        <w:t>、</w:t>
        <w:tab/>
        <w:t>本次股票期权的首次授予日：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p>
      <w:pPr>
        <w:pStyle w:val="Style25"/>
        <w:keepNext w:val="0"/>
        <w:keepLines w:val="0"/>
        <w:widowControl w:val="0"/>
        <w:shd w:val="clear" w:color="auto" w:fill="auto"/>
        <w:tabs>
          <w:tab w:pos="724" w:val="left"/>
        </w:tabs>
        <w:bidi w:val="0"/>
        <w:spacing w:before="0" w:after="0" w:line="315" w:lineRule="exact"/>
        <w:ind w:left="0" w:right="0"/>
        <w:jc w:val="both"/>
      </w:pPr>
      <w:bookmarkStart w:id="366" w:name="bookmark366"/>
      <w:r>
        <w:rPr>
          <w:color w:val="000000"/>
          <w:spacing w:val="0"/>
          <w:w w:val="100"/>
          <w:position w:val="0"/>
          <w:sz w:val="18"/>
          <w:szCs w:val="18"/>
        </w:rPr>
        <w:t>2</w:t>
      </w:r>
      <w:bookmarkEnd w:id="366"/>
      <w:r>
        <w:rPr>
          <w:color w:val="000000"/>
          <w:spacing w:val="0"/>
          <w:w w:val="100"/>
          <w:position w:val="0"/>
        </w:rPr>
        <w:t>、</w:t>
        <w:tab/>
        <w:t>行权价格:</w:t>
      </w:r>
      <w:r>
        <w:rPr>
          <w:color w:val="000000"/>
          <w:spacing w:val="0"/>
          <w:w w:val="100"/>
          <w:position w:val="0"/>
          <w:sz w:val="18"/>
          <w:szCs w:val="18"/>
        </w:rPr>
        <w:t>7.55</w:t>
      </w:r>
      <w:r>
        <w:rPr>
          <w:color w:val="000000"/>
          <w:spacing w:val="0"/>
          <w:w w:val="100"/>
          <w:position w:val="0"/>
        </w:rPr>
        <w:t>元/份；</w:t>
      </w:r>
    </w:p>
    <w:p>
      <w:pPr>
        <w:pStyle w:val="Style25"/>
        <w:keepNext w:val="0"/>
        <w:keepLines w:val="0"/>
        <w:widowControl w:val="0"/>
        <w:shd w:val="clear" w:color="auto" w:fill="auto"/>
        <w:tabs>
          <w:tab w:pos="724" w:val="left"/>
        </w:tabs>
        <w:bidi w:val="0"/>
        <w:spacing w:before="0" w:after="0" w:line="315" w:lineRule="exact"/>
        <w:ind w:left="0" w:right="0"/>
        <w:jc w:val="both"/>
      </w:pPr>
      <w:bookmarkStart w:id="367" w:name="bookmark367"/>
      <w:r>
        <w:rPr>
          <w:color w:val="000000"/>
          <w:spacing w:val="0"/>
          <w:w w:val="100"/>
          <w:position w:val="0"/>
          <w:sz w:val="18"/>
          <w:szCs w:val="18"/>
        </w:rPr>
        <w:t>3</w:t>
      </w:r>
      <w:bookmarkEnd w:id="367"/>
      <w:r>
        <w:rPr>
          <w:color w:val="000000"/>
          <w:spacing w:val="0"/>
          <w:w w:val="100"/>
          <w:position w:val="0"/>
        </w:rPr>
        <w:t>、</w:t>
        <w:tab/>
        <w:t>首次授予数量：</w:t>
      </w:r>
      <w:r>
        <w:rPr>
          <w:color w:val="000000"/>
          <w:spacing w:val="0"/>
          <w:w w:val="100"/>
          <w:position w:val="0"/>
          <w:sz w:val="18"/>
          <w:szCs w:val="18"/>
        </w:rPr>
        <w:t>1447</w:t>
      </w:r>
      <w:r>
        <w:rPr>
          <w:color w:val="000000"/>
          <w:spacing w:val="0"/>
          <w:w w:val="100"/>
          <w:position w:val="0"/>
        </w:rPr>
        <w:t>万份</w:t>
      </w:r>
    </w:p>
    <w:p>
      <w:pPr>
        <w:pStyle w:val="Style25"/>
        <w:keepNext w:val="0"/>
        <w:keepLines w:val="0"/>
        <w:widowControl w:val="0"/>
        <w:shd w:val="clear" w:color="auto" w:fill="auto"/>
        <w:tabs>
          <w:tab w:pos="729" w:val="left"/>
        </w:tabs>
        <w:bidi w:val="0"/>
        <w:spacing w:before="0" w:after="0" w:line="315" w:lineRule="exact"/>
        <w:ind w:left="0" w:right="0"/>
        <w:jc w:val="both"/>
      </w:pPr>
      <w:bookmarkStart w:id="368" w:name="bookmark368"/>
      <w:r>
        <w:rPr>
          <w:color w:val="000000"/>
          <w:spacing w:val="0"/>
          <w:w w:val="100"/>
          <w:position w:val="0"/>
          <w:sz w:val="18"/>
          <w:szCs w:val="18"/>
        </w:rPr>
        <w:t>4</w:t>
      </w:r>
      <w:bookmarkEnd w:id="368"/>
      <w:r>
        <w:rPr>
          <w:color w:val="000000"/>
          <w:spacing w:val="0"/>
          <w:w w:val="100"/>
          <w:position w:val="0"/>
        </w:rPr>
        <w:t>、</w:t>
        <w:tab/>
        <w:t>首次授予人数：</w:t>
      </w:r>
      <w:r>
        <w:rPr>
          <w:color w:val="000000"/>
          <w:spacing w:val="0"/>
          <w:w w:val="100"/>
          <w:position w:val="0"/>
          <w:sz w:val="18"/>
          <w:szCs w:val="18"/>
        </w:rPr>
        <w:t>236</w:t>
      </w:r>
      <w:r>
        <w:rPr>
          <w:color w:val="000000"/>
          <w:spacing w:val="0"/>
          <w:w w:val="100"/>
          <w:position w:val="0"/>
        </w:rPr>
        <w:t>人</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董事、高级管理人员获得的股权激励情况</w:t>
      </w:r>
    </w:p>
    <w:p>
      <w:pPr>
        <w:pStyle w:val="Style2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高级管理人员的考评机制及激励情况</w:t>
      </w:r>
    </w:p>
    <w:p>
      <w:pPr>
        <w:pStyle w:val="Style25"/>
        <w:keepNext w:val="0"/>
        <w:keepLines w:val="0"/>
        <w:widowControl w:val="0"/>
        <w:shd w:val="clear" w:color="auto" w:fill="auto"/>
        <w:bidi w:val="0"/>
        <w:spacing w:before="0" w:after="380" w:line="314" w:lineRule="exact"/>
        <w:ind w:left="0" w:right="0"/>
        <w:jc w:val="both"/>
      </w:pPr>
      <w:r>
        <w:rPr>
          <w:color w:val="000000"/>
          <w:spacing w:val="0"/>
          <w:w w:val="100"/>
          <w:position w:val="0"/>
        </w:rPr>
        <w:t>根据公司制定的《银江技术股份有限公司</w:t>
      </w:r>
      <w:r>
        <w:rPr>
          <w:color w:val="000000"/>
          <w:spacing w:val="0"/>
          <w:w w:val="100"/>
          <w:position w:val="0"/>
          <w:sz w:val="18"/>
          <w:szCs w:val="18"/>
        </w:rPr>
        <w:t>2021</w:t>
      </w:r>
      <w:r>
        <w:rPr>
          <w:color w:val="000000"/>
          <w:spacing w:val="0"/>
          <w:w w:val="100"/>
          <w:position w:val="0"/>
        </w:rPr>
        <w:t>年股票期权激励计划实施考核管理办法》，薪酬与考核委员会将对激励对 象每个考核年度的综合考评结果进行评分。若各年度公司层面业绩考核达标，激励对象考核不合格，则其对应行权期不能行 权的股票期权，由公司统一注销。若公司层面业绩考核达标，激励对象当年实际行权额度=个人当年计划行权额度</w:t>
      </w:r>
      <w:r>
        <w:rPr>
          <w:color w:val="000000"/>
          <w:spacing w:val="0"/>
          <w:w w:val="100"/>
          <w:position w:val="0"/>
          <w:sz w:val="18"/>
          <w:szCs w:val="18"/>
        </w:rPr>
        <w:t>X</w:t>
      </w:r>
      <w:r>
        <w:rPr>
          <w:color w:val="000000"/>
          <w:spacing w:val="0"/>
          <w:w w:val="100"/>
          <w:position w:val="0"/>
        </w:rPr>
        <w:t>个人层 面行权比例，激励对象按照绩效考核结果对应的个人当年实际行权额度来行权，未能行权部分由公司注销。</w:t>
      </w:r>
    </w:p>
    <w:p>
      <w:pPr>
        <w:pStyle w:val="Style28"/>
        <w:keepNext/>
        <w:keepLines/>
        <w:widowControl w:val="0"/>
        <w:shd w:val="clear" w:color="auto" w:fill="auto"/>
        <w:tabs>
          <w:tab w:pos="378" w:val="left"/>
        </w:tabs>
        <w:bidi w:val="0"/>
        <w:spacing w:before="0" w:after="26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2</w:t>
      </w:r>
      <w:bookmarkEnd w:id="371"/>
      <w:r>
        <w:rPr>
          <w:color w:val="000000"/>
          <w:spacing w:val="0"/>
          <w:w w:val="100"/>
          <w:position w:val="0"/>
        </w:rPr>
        <w:t>、</w:t>
        <w:tab/>
        <w:t>员工持股计划的实施情况</w:t>
      </w:r>
      <w:bookmarkEnd w:id="369"/>
      <w:bookmarkEnd w:id="370"/>
      <w:bookmarkEnd w:id="372"/>
    </w:p>
    <w:p>
      <w:pPr>
        <w:pStyle w:val="Style25"/>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26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3</w:t>
      </w:r>
      <w:bookmarkEnd w:id="375"/>
      <w:r>
        <w:rPr>
          <w:color w:val="000000"/>
          <w:spacing w:val="0"/>
          <w:w w:val="100"/>
          <w:position w:val="0"/>
        </w:rPr>
        <w:t>、</w:t>
        <w:tab/>
        <w:t>其他员工激励措施</w:t>
      </w:r>
      <w:bookmarkEnd w:id="373"/>
      <w:bookmarkEnd w:id="374"/>
      <w:bookmarkEnd w:id="376"/>
    </w:p>
    <w:p>
      <w:pPr>
        <w:pStyle w:val="Style25"/>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377" w:name="bookmark377"/>
      <w:bookmarkStart w:id="378" w:name="bookmark378"/>
      <w:bookmarkStart w:id="379" w:name="bookmark379"/>
      <w:r>
        <w:rPr>
          <w:color w:val="000000"/>
          <w:spacing w:val="0"/>
          <w:w w:val="100"/>
          <w:position w:val="0"/>
        </w:rPr>
        <w:t>十四、报告期内的内部控制制度建设及实施情况</w:t>
      </w:r>
      <w:bookmarkEnd w:id="377"/>
      <w:bookmarkEnd w:id="378"/>
      <w:bookmarkEnd w:id="379"/>
    </w:p>
    <w:p>
      <w:pPr>
        <w:pStyle w:val="Style28"/>
        <w:keepNext/>
        <w:keepLines/>
        <w:widowControl w:val="0"/>
        <w:shd w:val="clear" w:color="auto" w:fill="auto"/>
        <w:tabs>
          <w:tab w:pos="368" w:val="left"/>
        </w:tabs>
        <w:bidi w:val="0"/>
        <w:spacing w:before="0" w:after="26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1</w:t>
      </w:r>
      <w:bookmarkEnd w:id="382"/>
      <w:r>
        <w:rPr>
          <w:color w:val="000000"/>
          <w:spacing w:val="0"/>
          <w:w w:val="100"/>
          <w:position w:val="0"/>
        </w:rPr>
        <w:t>、</w:t>
        <w:tab/>
        <w:t>内部控制建设及实施情况</w:t>
      </w:r>
      <w:bookmarkEnd w:id="380"/>
      <w:bookmarkEnd w:id="381"/>
      <w:bookmarkEnd w:id="383"/>
    </w:p>
    <w:p>
      <w:pPr>
        <w:pStyle w:val="Style25"/>
        <w:keepNext w:val="0"/>
        <w:keepLines w:val="0"/>
        <w:widowControl w:val="0"/>
        <w:shd w:val="clear" w:color="auto" w:fill="auto"/>
        <w:bidi w:val="0"/>
        <w:spacing w:before="0" w:after="380" w:line="314" w:lineRule="exact"/>
        <w:ind w:left="0" w:right="0"/>
        <w:jc w:val="left"/>
      </w:pPr>
      <w:r>
        <w:rPr>
          <w:color w:val="000000"/>
          <w:spacing w:val="0"/>
          <w:w w:val="100"/>
          <w:position w:val="0"/>
        </w:rPr>
        <w:t>报告期内公司根据《企业内部控制基本规范》及其配套指引的规定，对内部控制体系进行适时的更新和完善，建立一套 设计科学、简洁适用、运行有效的内部控制体系，并由审计委员会、内部审计部门共同组成公司的风险内控管理组织体系， 对公司的内部控制管理进行监督与评价。公司通过内部控制体系的运行、分析与评价，有效防范了经营管理中的风险，促进 了内部控制目标的实现。</w:t>
      </w:r>
    </w:p>
    <w:p>
      <w:pPr>
        <w:pStyle w:val="Style28"/>
        <w:keepNext/>
        <w:keepLines/>
        <w:widowControl w:val="0"/>
        <w:shd w:val="clear" w:color="auto" w:fill="auto"/>
        <w:tabs>
          <w:tab w:pos="378" w:val="left"/>
        </w:tabs>
        <w:bidi w:val="0"/>
        <w:spacing w:before="0" w:after="26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2</w:t>
      </w:r>
      <w:bookmarkEnd w:id="386"/>
      <w:r>
        <w:rPr>
          <w:color w:val="000000"/>
          <w:spacing w:val="0"/>
          <w:w w:val="100"/>
          <w:position w:val="0"/>
        </w:rPr>
        <w:t>、</w:t>
        <w:tab/>
        <w:t>报告期内发现的内部控制重大缺陷的具体情况</w:t>
      </w:r>
      <w:bookmarkEnd w:id="384"/>
      <w:bookmarkEnd w:id="385"/>
      <w:bookmarkEnd w:id="387"/>
    </w:p>
    <w:p>
      <w:pPr>
        <w:pStyle w:val="Style25"/>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20" w:line="240" w:lineRule="auto"/>
        <w:ind w:left="0" w:right="0" w:firstLine="0"/>
        <w:jc w:val="left"/>
      </w:pPr>
      <w:bookmarkStart w:id="388" w:name="bookmark388"/>
      <w:bookmarkStart w:id="389" w:name="bookmark389"/>
      <w:bookmarkStart w:id="390" w:name="bookmark390"/>
      <w:r>
        <w:rPr>
          <w:color w:val="000000"/>
          <w:spacing w:val="0"/>
          <w:w w:val="100"/>
          <w:position w:val="0"/>
        </w:rPr>
        <w:t>十五、公司报告期内对子公司的管理控制情况</w:t>
      </w:r>
      <w:bookmarkEnd w:id="388"/>
      <w:bookmarkEnd w:id="389"/>
      <w:bookmarkEnd w:id="390"/>
    </w:p>
    <w:tbl>
      <w:tblPr>
        <w:tblOverlap w:val="never"/>
        <w:jc w:val="center"/>
        <w:tblLayout w:type="fixed"/>
      </w:tblPr>
      <w:tblGrid>
        <w:gridCol w:w="1853"/>
        <w:gridCol w:w="888"/>
        <w:gridCol w:w="955"/>
        <w:gridCol w:w="1781"/>
        <w:gridCol w:w="1618"/>
        <w:gridCol w:w="111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整合中遇到的问题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已采取的解决措施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bl>
    <w:p>
      <w:pPr>
        <w:spacing w:lineRule="exact" w:line="1"/>
        <w:rPr>
          <w:sz w:val="2"/>
          <w:szCs w:val="2"/>
        </w:rPr>
      </w:pPr>
      <w:r>
        <w:br w:type="page"/>
      </w:r>
    </w:p>
    <w:tbl>
      <w:tblPr>
        <w:tblOverlap w:val="never"/>
        <w:jc w:val="center"/>
        <w:tblLayout w:type="fixed"/>
      </w:tblPr>
      <w:tblGrid>
        <w:gridCol w:w="1853"/>
        <w:gridCol w:w="888"/>
        <w:gridCol w:w="955"/>
        <w:gridCol w:w="1781"/>
        <w:gridCol w:w="1618"/>
        <w:gridCol w:w="1118"/>
        <w:gridCol w:w="1378"/>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浙江银江人工智能数 据科技有限公司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391" w:name="bookmark391"/>
      <w:bookmarkStart w:id="392" w:name="bookmark392"/>
      <w:bookmarkStart w:id="393" w:name="bookmark393"/>
      <w:r>
        <w:rPr>
          <w:color w:val="000000"/>
          <w:spacing w:val="0"/>
          <w:w w:val="100"/>
          <w:position w:val="0"/>
        </w:rPr>
        <w:t>十六、内部控制自我评价报告或内部控制审计报告</w:t>
      </w:r>
      <w:bookmarkEnd w:id="391"/>
      <w:bookmarkEnd w:id="392"/>
      <w:bookmarkEnd w:id="393"/>
    </w:p>
    <w:p>
      <w:pPr>
        <w:pStyle w:val="Style28"/>
        <w:keepNext/>
        <w:keepLines/>
        <w:widowControl w:val="0"/>
        <w:shd w:val="clear" w:color="auto" w:fill="auto"/>
        <w:bidi w:val="0"/>
        <w:spacing w:before="0" w:after="32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、内控自我评价报告</w:t>
      </w:r>
      <w:bookmarkEnd w:id="394"/>
      <w:bookmarkEnd w:id="395"/>
      <w:bookmarkEnd w:id="397"/>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财务报告重大缺陷的迹象包括：①公司董 事、监事和高级管理人员的舞弊行为；② 公司更正已公布的财务报告；③注册会计 师发现的却未被公司内部控制识别的当期 财务报告中的重大错报；④审计委员会和 审计部门对公司的对外财务报告和财务报 告内部控制监督无效。财务报告重要缺陷 的迹象包括：①未依照公认会计准则选择 和应用会计政策；②未建立反舞弊程序和 控制措施；③对于非常规或特殊交易的账 务处理没有建立相应的控制机制或没有实 施且没有相应的补偿性控制；④对于期末 财务报告过程的控制存在一项或多项缺陷 且不能合理保证编制的财务报表达到真 实、完整的目标。一般缺陷是指除上述重 大缺陷、重要缺陷之外的其他控制缺陷。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34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财务报告定量标准以营业收入、资产总额 作为衡量指标。内部控制缺陷可能导致或 导致的损失与利润表相关的，以营业收入 指标衡量。如果该缺陷单独或连同其他缺 陷可能导致的财务报告错报金额小于营业 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 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 重要缺陷；如果超过营业收入的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 认定为重大缺陷。内部控制缺陷可能导致 或导致的损失与资产管理相关的，以资产 总额指标衡量。如果该缺陷单独或连同其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非财务报告定量标准以营业收入、资产 总额作为衡量指标。内部控制缺陷可能 导致或导致的损失与利润报表相关的， 以营业收入指标衡量。如果该缺陷单独 或连同其他缺陷可能导致的损失金额 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 陷；如果超过营业收入的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则认定为重要缺陷；如果超过营业 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，则认定为重大缺陷。内部 控制缺陷可能导致或导致的损失与资 产管理相关的，以资产总额指标衡量。</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他缺陷可能导致的财务报告错报金额小于 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 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 为重要缺陷；如果超过资产总额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 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如果该缺陷单独或连同其他缺陷可能 导致的损失小于资产总额的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，则认 定为一般缺陷；如果超过资产总额的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则认定为重要缺陷；如 果超过资产总额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 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、内部控制审计报告或鉴证报告</w:t>
      </w:r>
      <w:bookmarkEnd w:id="398"/>
      <w:bookmarkEnd w:id="399"/>
      <w:bookmarkEnd w:id="40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r>
        <w:rPr>
          <w:color w:val="000000"/>
          <w:spacing w:val="0"/>
          <w:w w:val="100"/>
          <w:position w:val="0"/>
        </w:rPr>
        <w:t>十七、上市公司治理专项行动自查问题整改情况</w:t>
      </w:r>
      <w:bookmarkEnd w:id="402"/>
      <w:bookmarkEnd w:id="403"/>
      <w:bookmarkEnd w:id="404"/>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4" w:right="1065" w:bottom="1475" w:left="1062" w:header="0" w:footer="3" w:gutter="0"/>
          <w:cols w:space="720"/>
          <w:noEndnote/>
          <w:rtlGutter w:val="0"/>
          <w:docGrid w:linePitch="360"/>
        </w:sectPr>
      </w:pPr>
      <w:r>
        <w:rPr>
          <w:color w:val="000000"/>
          <w:spacing w:val="0"/>
          <w:w w:val="100"/>
          <w:position w:val="0"/>
        </w:rPr>
        <w:t>不适用</w:t>
      </w:r>
    </w:p>
    <w:p>
      <w:pPr>
        <w:pStyle w:val="Style10"/>
        <w:keepNext/>
        <w:keepLines/>
        <w:widowControl w:val="0"/>
        <w:shd w:val="clear" w:color="auto" w:fill="auto"/>
        <w:bidi w:val="0"/>
        <w:spacing w:before="580" w:line="240" w:lineRule="auto"/>
        <w:ind w:left="0" w:right="0" w:firstLine="0"/>
        <w:jc w:val="center"/>
      </w:pPr>
      <w:bookmarkStart w:id="405" w:name="bookmark405"/>
      <w:bookmarkStart w:id="406" w:name="bookmark406"/>
      <w:bookmarkStart w:id="407" w:name="bookmark407"/>
      <w:r>
        <w:rPr>
          <w:color w:val="000000"/>
          <w:spacing w:val="0"/>
          <w:w w:val="100"/>
          <w:position w:val="0"/>
        </w:rPr>
        <w:t>第五节环境和社会责任</w:t>
      </w:r>
      <w:bookmarkEnd w:id="405"/>
      <w:bookmarkEnd w:id="406"/>
      <w:bookmarkEnd w:id="407"/>
    </w:p>
    <w:p>
      <w:pPr>
        <w:pStyle w:val="Style21"/>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一</w:t>
      </w:r>
      <w:bookmarkEnd w:id="410"/>
      <w:r>
        <w:rPr>
          <w:color w:val="000000"/>
          <w:spacing w:val="0"/>
          <w:w w:val="100"/>
          <w:position w:val="0"/>
        </w:rPr>
        <w:t>、重大环保问题</w:t>
      </w:r>
      <w:bookmarkEnd w:id="408"/>
      <w:bookmarkEnd w:id="409"/>
      <w:bookmarkEnd w:id="41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在报告期内为减少其碳排放所采取的措施及效果</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21"/>
        <w:keepNext/>
        <w:keepLines/>
        <w:widowControl w:val="0"/>
        <w:shd w:val="clear" w:color="auto" w:fill="auto"/>
        <w:tabs>
          <w:tab w:pos="517" w:val="left"/>
        </w:tabs>
        <w:bidi w:val="0"/>
        <w:spacing w:before="0" w:after="26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二</w:t>
      </w:r>
      <w:bookmarkEnd w:id="414"/>
      <w:r>
        <w:rPr>
          <w:color w:val="000000"/>
          <w:spacing w:val="0"/>
          <w:w w:val="100"/>
          <w:position w:val="0"/>
        </w:rPr>
        <w:t>、</w:t>
        <w:tab/>
        <w:t>社会责任情况</w:t>
      </w:r>
      <w:bookmarkEnd w:id="412"/>
      <w:bookmarkEnd w:id="413"/>
      <w:bookmarkEnd w:id="415"/>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公司积极履行企业应尽的义务，承担社会责任。公司在不断为股东创造价值的同时，也积极承担对员工、客户、社会等 其他利益相关者的责任。</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公司严格按照《公司法》、《深圳证券交易所创业板股票上市规则》、《上市公司信息披露管理办法》等相关法律法规 的要求，及时、准确、真实、完整地进行信息披露，通过投资者电话、电子邮箱、投资者关系互动平台和实地调研等多种方 式与投资者进行沟通交流，提高了公司的透明度和诚信度。公司非常重视对投资者的合理回报，制定了相对稳定的利润分配 政策和分红方案以回报股东。公司一直坚持以人为本的人才理念，实施企业人才战略，严格遵守《劳动法》、《劳动合同法》 等相关法律法规，尊重和维护员工的个人权益，通过优化员工工作环境、定期发放节日补助等方式切实关注员工健康、安全 和满意度；以银江大学为平台，开展员工知识技能的理论培训及实践操作技能培训，使员工专业素质得到切实的提高和发展， 维护员工合法权益。</w:t>
      </w:r>
    </w:p>
    <w:p>
      <w:pPr>
        <w:pStyle w:val="Style25"/>
        <w:keepNext w:val="0"/>
        <w:keepLines w:val="0"/>
        <w:widowControl w:val="0"/>
        <w:shd w:val="clear" w:color="auto" w:fill="auto"/>
        <w:bidi w:val="0"/>
        <w:spacing w:before="0" w:after="380" w:line="313" w:lineRule="exact"/>
        <w:ind w:left="0" w:right="0"/>
        <w:jc w:val="left"/>
      </w:pPr>
      <w:r>
        <w:rPr>
          <w:color w:val="000000"/>
          <w:spacing w:val="0"/>
          <w:w w:val="100"/>
          <w:position w:val="0"/>
        </w:rPr>
        <w:t>公司始终将依法经营作为公司运行的基本原则，注重企业经济效益与社会效益的同步共赢。公司严格遵守国家法律、法 规、政策的规定，始终依法经营，积极纳税，发展就业岗位，支持地方经济的发展。</w:t>
      </w:r>
    </w:p>
    <w:p>
      <w:pPr>
        <w:pStyle w:val="Style21"/>
        <w:keepNext/>
        <w:keepLines/>
        <w:widowControl w:val="0"/>
        <w:shd w:val="clear" w:color="auto" w:fill="auto"/>
        <w:tabs>
          <w:tab w:pos="522" w:val="left"/>
        </w:tabs>
        <w:bidi w:val="0"/>
        <w:spacing w:before="0" w:after="26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三</w:t>
      </w:r>
      <w:bookmarkEnd w:id="418"/>
      <w:r>
        <w:rPr>
          <w:color w:val="000000"/>
          <w:spacing w:val="0"/>
          <w:w w:val="100"/>
          <w:position w:val="0"/>
        </w:rPr>
        <w:t>、</w:t>
        <w:tab/>
        <w:t>巩固拓展脱贫攻坚成果、乡村振兴的情况</w:t>
      </w:r>
      <w:bookmarkEnd w:id="416"/>
      <w:bookmarkEnd w:id="417"/>
      <w:bookmarkEnd w:id="419"/>
    </w:p>
    <w:p>
      <w:pPr>
        <w:pStyle w:val="Style25"/>
        <w:keepNext w:val="0"/>
        <w:keepLines w:val="0"/>
        <w:widowControl w:val="0"/>
        <w:shd w:val="clear" w:color="auto" w:fill="auto"/>
        <w:bidi w:val="0"/>
        <w:spacing w:before="0" w:after="200" w:line="313" w:lineRule="exact"/>
        <w:ind w:left="0" w:right="0" w:firstLine="0"/>
        <w:jc w:val="left"/>
      </w:pPr>
      <w:r>
        <w:rPr>
          <w:color w:val="000000"/>
          <w:spacing w:val="0"/>
          <w:w w:val="100"/>
          <w:position w:val="0"/>
        </w:rPr>
        <w:t>不适用。</w:t>
      </w:r>
      <w:r>
        <w:br w:type="page"/>
      </w:r>
    </w:p>
    <w:p>
      <w:pPr>
        <w:pStyle w:val="Style10"/>
        <w:keepNext/>
        <w:keepLines/>
        <w:widowControl w:val="0"/>
        <w:shd w:val="clear" w:color="auto" w:fill="auto"/>
        <w:bidi w:val="0"/>
        <w:spacing w:before="0" w:after="580" w:line="240" w:lineRule="auto"/>
        <w:ind w:left="0" w:right="0" w:firstLine="0"/>
        <w:jc w:val="center"/>
      </w:pPr>
      <w:bookmarkStart w:id="420" w:name="bookmark420"/>
      <w:bookmarkStart w:id="421" w:name="bookmark421"/>
      <w:bookmarkStart w:id="422" w:name="bookmark422"/>
      <w:r>
        <w:rPr>
          <w:color w:val="000000"/>
          <w:spacing w:val="0"/>
          <w:w w:val="100"/>
          <w:position w:val="0"/>
        </w:rPr>
        <w:t>第六节重要事项</w:t>
      </w:r>
      <w:bookmarkEnd w:id="420"/>
      <w:bookmarkEnd w:id="421"/>
      <w:bookmarkEnd w:id="422"/>
    </w:p>
    <w:p>
      <w:pPr>
        <w:pStyle w:val="Style21"/>
        <w:keepNext/>
        <w:keepLines/>
        <w:widowControl w:val="0"/>
        <w:shd w:val="clear" w:color="auto" w:fill="auto"/>
        <w:bidi w:val="0"/>
        <w:spacing w:before="0" w:after="26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一</w:t>
      </w:r>
      <w:bookmarkEnd w:id="425"/>
      <w:r>
        <w:rPr>
          <w:color w:val="000000"/>
          <w:spacing w:val="0"/>
          <w:w w:val="100"/>
          <w:position w:val="0"/>
        </w:rPr>
        <w:t>、承诺事项履行情况</w:t>
      </w:r>
      <w:bookmarkEnd w:id="423"/>
      <w:bookmarkEnd w:id="424"/>
      <w:bookmarkEnd w:id="426"/>
    </w:p>
    <w:p>
      <w:pPr>
        <w:pStyle w:val="Style28"/>
        <w:keepNext/>
        <w:keepLines/>
        <w:widowControl w:val="0"/>
        <w:shd w:val="clear" w:color="auto" w:fill="auto"/>
        <w:bidi w:val="0"/>
        <w:spacing w:before="0" w:after="340" w:line="326" w:lineRule="exact"/>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、公司实际控制人、股东、关联方、收购人以及公司等承诺相关方在报告期内履行完毕及截至报告期末 尚未履行完毕的承诺事项</w:t>
      </w:r>
      <w:bookmarkEnd w:id="427"/>
      <w:bookmarkEnd w:id="428"/>
      <w:bookmarkEnd w:id="430"/>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706"/>
        <w:gridCol w:w="850"/>
        <w:gridCol w:w="4397"/>
        <w:gridCol w:w="566"/>
        <w:gridCol w:w="566"/>
        <w:gridCol w:w="14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履行情况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自本次交易中取得的股份自本次发行结束之日起十二个 月内不得转让。自法定限售期十二个月届满后，第一年 可解禁所获股份的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，第二年可再解禁所获股份的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，第三年可再解禁所获股份的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，第四年可再解 禁所获股份的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，第五年可再解禁所获股份的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自法定限售期届满后五年即全解禁。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年为 李欣业绩承诺期，应待亚太安讯审计报告出具后，视是 否需实行股份补偿，按以上比例计算当年可解禁股份数 并扣减需进行股份补偿部分后予以解禁，若不足扣减， 则当年无股份解禁。李欣承诺所持股份在限售期内未经 上市公司同意不得用于质押。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年度业绩承 诺未达预期，涉及 股份补偿事宜。李 欣未经上市公司 同意将所持公司 股份 </w:t>
            </w:r>
            <w:r>
              <w:rPr>
                <w:rFonts w:ascii="Times New Roman" w:eastAsia="Times New Roman" w:hAnsi="Times New Roman" w:cs="Times New Roman"/>
                <w:color w:val="000000"/>
                <w:spacing w:val="0"/>
                <w:w w:val="100"/>
                <w:position w:val="0"/>
                <w:sz w:val="18"/>
                <w:szCs w:val="18"/>
              </w:rPr>
              <w:t xml:space="preserve">27,813,840 </w:t>
            </w:r>
            <w:r>
              <w:rPr>
                <w:color w:val="000000"/>
                <w:spacing w:val="0"/>
                <w:w w:val="100"/>
                <w:position w:val="0"/>
              </w:rPr>
              <w:t>股在限售期内质 押给浙江浙商证 券资产管理有限 公司，违反了承 诺。</w:t>
            </w:r>
          </w:p>
        </w:tc>
      </w:tr>
      <w:tr>
        <w:trPr>
          <w:trHeight w:val="352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、承诺人目前没有直接或间接通过其直接或间接控制的 其他经营主体从事与银江股份及亚太安迅业务相同或类 似的业务，或有其它任何与银江股份或亚太安迅存在同 业竞争的情形。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、本次交易完成后，承诺人将不会以自 营方式、直接或间接通过直接或间接控制的其他经营主 体开展、经营与银江股份或亚太安迅业务相同或相似的 业务；不以银江股份或亚太安迅的名义为银江股份或亚 太安迅现有客户提供与银江股份或亚太安迅业务相同或 类似的商品或服务，避免产生任何同业竞争情形。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 因承诺人违反上述承诺而给银江股份或亚太安迅造成损 失的，应承担全部赔偿。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34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本人将按照《中华人民共和国公司法》等法律法规以及 银江股份有限公司《公司章程》的有关规定行使股东权 利；在股东大会对涉及本人的关联交易进行表决时，履 行回避表决的义务。本人将杜绝一切非法占用银江股份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1003"/>
        <w:gridCol w:w="706"/>
        <w:gridCol w:w="850"/>
        <w:gridCol w:w="4397"/>
        <w:gridCol w:w="566"/>
        <w:gridCol w:w="566"/>
        <w:gridCol w:w="1498"/>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有限公司的资金、资产的行为、在任何情况下，不要求 银江股份有限公司向本人及本人投资或控制的其他企业 提供任何形式的担保。本人将尽可能地避免和减少与银 江股份有限公司的关联交易；对无法避免或者有合理原 因而发生的关联交易，将遵循市场公正、公平、公开的 原则，并依法签订协议，履行合法程序，按照银江股份 有限公司《公司章程》、有关法律法规和《上市规则》等 有关规定履行信息披露义务和办理有关报批程序，保证 不通过关联交易损害银江股份有限公司及其他股东的合 法权益。如因本人未履行本承诺函所作的承诺而给银江 股份有限公司造成一切损失和后果，本人承担赔偿责任。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本人现为亚太安迅实际控制人，亚太安迅曾于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年设 立红筹架构成为外企企业并于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年解除红筹架构重 新转为内资企业，在红筹架构期间，亚太安迅并未实际 享受外资企业企业所得税优惠政策，同事红筹架构解除 时，亚太安迅已按相关规定为境外股东代扣代缴了企业 所得税。对于亚太安迅设立及解除红筹架构的整个过程 中，各相关主体可能存在未来发生补缴相关税收风险， 而因此给亚太安迅带来的任何经济损失（包括行政处罚 损失），本人愿意承担全额赔偿责任。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本人愿意承担亚太安迅</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年底解除其历史上红筹架 构所涉及相关税务、外汇管理等方面的风险，承担亚太 安迅因红筹架构解除涉及相关税务、外汇管理等方面风 险所致的损失。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重组交易期间，本人及本人控制的企业，公司及其他经 济组织不会利用控股地位或股东身份、职务便利以借款、 代偿债务、代垫款项或者其他方式占用亚太安迅及其子 公司之资金；重组完成后，本人将遵守并督促亚太安迅 严格执行银江股份货币资金管理制度，不利用职务便利 以借款、代偿债务、代垫款项或者其他方式占用亚太安 迅及其子公司之资金。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李欣未遵守银江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股份货币资金管 理制度，违反了承 诺。</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本次交易完成后，本人会将持有的城城速通</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 转让给亚太安迅，并在本次交易完成后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个月内办理完 成工商变更手续。如本人违反上述承诺而给银江股份或 亚太安迅造成损失的，将承担全部赔偿责任。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本次交易完成后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年内，本人将在亚太安迅继续担任经 营管理职务，不主动提出离职（经银江股份书面批准的 除外），并在任职期间勤勉尽责，尽可能为亚太安迅创造 最佳业绩。如因本人违反上述承诺而给银江股份或亚太 安迅造成损失的，愿承担全部赔偿责任。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李欣违反了该项 承诺。</w:t>
            </w: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本人承诺并确保，目前亚太安迅租赁位于朝阳区三间房 的租赁物业，出租人未取得相应的房产证书，如亚太安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1003"/>
        <w:gridCol w:w="706"/>
        <w:gridCol w:w="850"/>
        <w:gridCol w:w="4397"/>
        <w:gridCol w:w="566"/>
        <w:gridCol w:w="566"/>
        <w:gridCol w:w="149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迅因租赁该物业而导致亚太安迅承受任何负责、直接经 济损失、承诺人将向亚太安迅全额予以赔偿，避免给亚 太安迅造成任何损失。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在本次交易交割前，亚太安迅核心团队（包括但不限于 李欣、颜廷健、于海燕、张晔、候世勇、金鑫）应与亚 太安迅签订不短于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年期限的聘用合同，并出具承诺函 承诺在本次交易后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年内将不主动从亚太安迅离职（经 甲方书面批准的除外）。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交易 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 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于海燕未经公司 批准，在承诺期内 擅自离职，违反了 承诺。截至本报告 出具日，公司与于 海燕就亚太安讯 工作交接问题进 行了妥善处理。</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承诺亚太安讯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年实现的净利 润（扣除非经常性损益后归属于母公司所有者的净利润） 分别不得低于</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5,750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6,613</w:t>
            </w:r>
            <w:r>
              <w:rPr>
                <w:color w:val="000000"/>
                <w:spacing w:val="0"/>
                <w:w w:val="100"/>
                <w:position w:val="0"/>
              </w:rPr>
              <w:t>万元。如 亚太安讯对应的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年的实际盈 利数不足上述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年承诺盈利数 的，李欣应当进行补偿。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 承诺未达预期，涉 及股份补偿事宜。 李欣未及时履行 业绩补偿承诺，违 反了承诺。</w:t>
            </w:r>
          </w:p>
        </w:tc>
      </w:tr>
      <w:tr>
        <w:trPr>
          <w:trHeight w:val="32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行或再融资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 股股东 银江科 技集团 有限公 司及实 际控制 人王辉、 刘健夫 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本公司（本人）将不在中国境内外直接或间接从事或参 与任何在商业上对股份公司构成竞争的业务及活动或拥 有与股份公司存在竞争关系的任何经济实体、机构、经 济组织的权益；或以其他任何形式取得该经济实体、机 构、经济组织的控制权。本公司（本人）愿意承担因违 反上述承诺而给股份公司造成的全部经济损失。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日，控股 股东银江科技集 团及实际控制人 王辉、刘健夫妇均 遵守上述承诺，未 发现违反上述承 诺情况。</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银江技 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公司承诺不为激励对象依股票期权激励计划获取有关权 益提供贷款以及其他任何形式的财务资助，包括为其贷 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 司严格遵守上述 承诺，未发现违反 上述承诺情况。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承诺是否按 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003"/>
        <w:gridCol w:w="8582"/>
      </w:tblGrid>
      <w:tr>
        <w:trPr>
          <w:trHeight w:val="26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如承诺超期 未履行完毕 的，应当详 细说明未完 成履行的具 体原因及下 一步的工作 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李欣未遵守承诺，目前公司已通过司法途径等方式追究李欣的相关法律责任。具体诉讼进展情况详见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第五节 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十一、重大诉讼、仲裁事项</w:t>
            </w: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28"/>
        <w:keepNext/>
        <w:keepLines/>
        <w:widowControl w:val="0"/>
        <w:shd w:val="clear" w:color="auto" w:fill="auto"/>
        <w:bidi w:val="0"/>
        <w:spacing w:before="0" w:after="260" w:line="317" w:lineRule="exact"/>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、公司资产或项目存在盈利预测，且报告期仍处在盈利预测期间，公司就资产或项目达到原盈利预测及 其原因做出说明</w:t>
      </w:r>
      <w:bookmarkEnd w:id="431"/>
      <w:bookmarkEnd w:id="432"/>
      <w:bookmarkEnd w:id="434"/>
    </w:p>
    <w:p>
      <w:pPr>
        <w:pStyle w:val="Style25"/>
        <w:keepNext w:val="0"/>
        <w:keepLines w:val="0"/>
        <w:widowControl w:val="0"/>
        <w:shd w:val="clear" w:color="auto" w:fill="auto"/>
        <w:bidi w:val="0"/>
        <w:spacing w:before="0" w:after="38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260" w:line="240" w:lineRule="auto"/>
        <w:ind w:left="0" w:right="0" w:firstLine="0"/>
        <w:jc w:val="both"/>
      </w:pPr>
      <w:bookmarkStart w:id="435" w:name="bookmark435"/>
      <w:bookmarkStart w:id="436" w:name="bookmark436"/>
      <w:bookmarkStart w:id="437" w:name="bookmark437"/>
      <w:bookmarkStart w:id="438" w:name="bookmark438"/>
      <w:r>
        <w:rPr>
          <w:color w:val="000000"/>
          <w:spacing w:val="0"/>
          <w:w w:val="100"/>
          <w:position w:val="0"/>
        </w:rPr>
        <w:t>二</w:t>
      </w:r>
      <w:bookmarkEnd w:id="437"/>
      <w:r>
        <w:rPr>
          <w:color w:val="000000"/>
          <w:spacing w:val="0"/>
          <w:w w:val="100"/>
          <w:position w:val="0"/>
        </w:rPr>
        <w:t>、</w:t>
        <w:tab/>
        <w:t>控股股东及其他关联方对上市公司的非经营性占用资金情况</w:t>
      </w:r>
      <w:bookmarkEnd w:id="435"/>
      <w:bookmarkEnd w:id="436"/>
      <w:bookmarkEnd w:id="438"/>
    </w:p>
    <w:p>
      <w:pPr>
        <w:pStyle w:val="Style2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22" w:val="left"/>
        </w:tabs>
        <w:bidi w:val="0"/>
        <w:spacing w:before="0" w:after="260" w:line="240" w:lineRule="auto"/>
        <w:ind w:left="0" w:right="0" w:firstLine="0"/>
        <w:jc w:val="both"/>
      </w:pPr>
      <w:bookmarkStart w:id="439" w:name="bookmark439"/>
      <w:bookmarkStart w:id="440" w:name="bookmark440"/>
      <w:bookmarkStart w:id="441" w:name="bookmark441"/>
      <w:bookmarkStart w:id="442" w:name="bookmark442"/>
      <w:r>
        <w:rPr>
          <w:color w:val="000000"/>
          <w:spacing w:val="0"/>
          <w:w w:val="100"/>
          <w:position w:val="0"/>
        </w:rPr>
        <w:t>三</w:t>
      </w:r>
      <w:bookmarkEnd w:id="441"/>
      <w:r>
        <w:rPr>
          <w:color w:val="000000"/>
          <w:spacing w:val="0"/>
          <w:w w:val="100"/>
          <w:position w:val="0"/>
        </w:rPr>
        <w:t>、</w:t>
        <w:tab/>
        <w:t>违规对外担保情况</w:t>
      </w:r>
      <w:bookmarkEnd w:id="439"/>
      <w:bookmarkEnd w:id="440"/>
      <w:bookmarkEnd w:id="442"/>
    </w:p>
    <w:p>
      <w:pPr>
        <w:pStyle w:val="Style2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公司报告期无违规对外担保情况。</w:t>
      </w:r>
    </w:p>
    <w:p>
      <w:pPr>
        <w:pStyle w:val="Style21"/>
        <w:keepNext/>
        <w:keepLines/>
        <w:widowControl w:val="0"/>
        <w:shd w:val="clear" w:color="auto" w:fill="auto"/>
        <w:tabs>
          <w:tab w:pos="522" w:val="left"/>
        </w:tabs>
        <w:bidi w:val="0"/>
        <w:spacing w:before="0" w:after="260" w:line="240" w:lineRule="auto"/>
        <w:ind w:left="0" w:right="0" w:firstLine="0"/>
        <w:jc w:val="both"/>
      </w:pPr>
      <w:bookmarkStart w:id="443" w:name="bookmark443"/>
      <w:bookmarkStart w:id="444" w:name="bookmark444"/>
      <w:bookmarkStart w:id="445" w:name="bookmark445"/>
      <w:bookmarkStart w:id="446" w:name="bookmark446"/>
      <w:r>
        <w:rPr>
          <w:color w:val="000000"/>
          <w:spacing w:val="0"/>
          <w:w w:val="100"/>
          <w:position w:val="0"/>
        </w:rPr>
        <w:t>四</w:t>
      </w:r>
      <w:bookmarkEnd w:id="445"/>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43"/>
      <w:bookmarkEnd w:id="444"/>
      <w:bookmarkEnd w:id="446"/>
    </w:p>
    <w:p>
      <w:pPr>
        <w:pStyle w:val="Style2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中兴华会计师事务所（特殊普通合伙）（以下简称“中兴华事务所”）于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日对银江技术股份有限公司（以 下简称“银江技术公司”或“公司”</w:t>
      </w:r>
      <w:r>
        <w:rPr>
          <w:color w:val="000000"/>
          <w:spacing w:val="0"/>
          <w:w w:val="100"/>
          <w:position w:val="0"/>
          <w:sz w:val="18"/>
          <w:szCs w:val="18"/>
        </w:rPr>
        <w:t>）2020</w:t>
      </w:r>
      <w:r>
        <w:rPr>
          <w:color w:val="000000"/>
          <w:spacing w:val="0"/>
          <w:w w:val="100"/>
          <w:position w:val="0"/>
        </w:rPr>
        <w:t>年度财务报表出具了带强调事项无保留意见的审计报告（中兴华审字</w:t>
      </w:r>
      <w:r>
        <w:rPr>
          <w:color w:val="000000"/>
          <w:spacing w:val="0"/>
          <w:w w:val="100"/>
          <w:position w:val="0"/>
          <w:sz w:val="18"/>
          <w:szCs w:val="18"/>
        </w:rPr>
        <w:t>（2021）</w:t>
      </w:r>
      <w:r>
        <w:rPr>
          <w:color w:val="000000"/>
          <w:spacing w:val="0"/>
          <w:w w:val="100"/>
          <w:position w:val="0"/>
        </w:rPr>
        <w:t xml:space="preserve">第 </w:t>
      </w:r>
      <w:r>
        <w:rPr>
          <w:color w:val="000000"/>
          <w:spacing w:val="0"/>
          <w:w w:val="100"/>
          <w:position w:val="0"/>
          <w:sz w:val="18"/>
          <w:szCs w:val="18"/>
        </w:rPr>
        <w:t>510039</w:t>
      </w:r>
      <w:r>
        <w:rPr>
          <w:color w:val="000000"/>
          <w:spacing w:val="0"/>
          <w:w w:val="100"/>
          <w:position w:val="0"/>
        </w:rPr>
        <w:t>号）。公司董事会现就</w:t>
      </w:r>
      <w:r>
        <w:rPr>
          <w:color w:val="000000"/>
          <w:spacing w:val="0"/>
          <w:w w:val="100"/>
          <w:position w:val="0"/>
          <w:sz w:val="18"/>
          <w:szCs w:val="18"/>
        </w:rPr>
        <w:t>2020</w:t>
      </w:r>
      <w:r>
        <w:rPr>
          <w:color w:val="000000"/>
          <w:spacing w:val="0"/>
          <w:w w:val="100"/>
          <w:position w:val="0"/>
        </w:rPr>
        <w:t>年度审计报告中带强调事项无保留意见所涉及事项的影响消除情况进行说明如下：</w:t>
      </w:r>
    </w:p>
    <w:p>
      <w:pPr>
        <w:pStyle w:val="Style25"/>
        <w:keepNext w:val="0"/>
        <w:keepLines w:val="0"/>
        <w:widowControl w:val="0"/>
        <w:shd w:val="clear" w:color="auto" w:fill="auto"/>
        <w:tabs>
          <w:tab w:pos="815" w:val="left"/>
        </w:tabs>
        <w:bidi w:val="0"/>
        <w:spacing w:before="0" w:after="0" w:line="311" w:lineRule="exact"/>
        <w:ind w:left="0" w:right="0"/>
        <w:jc w:val="both"/>
      </w:pPr>
      <w:bookmarkStart w:id="447" w:name="bookmark447"/>
      <w:r>
        <w:rPr>
          <w:color w:val="000000"/>
          <w:spacing w:val="0"/>
          <w:w w:val="100"/>
          <w:position w:val="0"/>
        </w:rPr>
        <w:t>一</w:t>
      </w:r>
      <w:bookmarkEnd w:id="447"/>
      <w:r>
        <w:rPr>
          <w:color w:val="000000"/>
          <w:spacing w:val="0"/>
          <w:w w:val="100"/>
          <w:position w:val="0"/>
        </w:rPr>
        <w:t>、</w:t>
        <w:tab/>
      </w:r>
      <w:r>
        <w:rPr>
          <w:color w:val="000000"/>
          <w:spacing w:val="0"/>
          <w:w w:val="100"/>
          <w:position w:val="0"/>
          <w:sz w:val="18"/>
          <w:szCs w:val="18"/>
        </w:rPr>
        <w:t>2020</w:t>
      </w:r>
      <w:r>
        <w:rPr>
          <w:color w:val="000000"/>
          <w:spacing w:val="0"/>
          <w:w w:val="100"/>
          <w:position w:val="0"/>
        </w:rPr>
        <w:t>年度审计报告带强调事项无保留意见的具体内容</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sz w:val="18"/>
          <w:szCs w:val="18"/>
        </w:rPr>
        <w:t>2020</w:t>
      </w:r>
      <w:r>
        <w:rPr>
          <w:color w:val="000000"/>
          <w:spacing w:val="0"/>
          <w:w w:val="100"/>
          <w:position w:val="0"/>
        </w:rPr>
        <w:t>年财务报表附注十、</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6）</w:t>
      </w:r>
      <w:r>
        <w:rPr>
          <w:color w:val="000000"/>
          <w:spacing w:val="0"/>
          <w:w w:val="100"/>
          <w:position w:val="0"/>
        </w:rPr>
        <w:t>关联方资金拆借和附注十四、</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w:t>
      </w:r>
      <w:r>
        <w:rPr>
          <w:color w:val="000000"/>
          <w:spacing w:val="0"/>
          <w:w w:val="100"/>
          <w:position w:val="0"/>
        </w:rPr>
        <w:t>描述了公司控股股东银江科技集团有限公司（以 下简称“银江集团”</w:t>
      </w:r>
      <w:r>
        <w:rPr>
          <w:color w:val="000000"/>
          <w:spacing w:val="0"/>
          <w:w w:val="100"/>
          <w:position w:val="0"/>
          <w:sz w:val="18"/>
          <w:szCs w:val="18"/>
        </w:rPr>
        <w:t>）</w:t>
      </w:r>
      <w:r>
        <w:rPr>
          <w:color w:val="000000"/>
          <w:spacing w:val="0"/>
          <w:w w:val="100"/>
          <w:position w:val="0"/>
        </w:rPr>
        <w:t>存在通过资金往来、应付账款、在建工程、对外投资等形式占用公司资金的情况。其中，</w:t>
      </w:r>
      <w:r>
        <w:rPr>
          <w:color w:val="000000"/>
          <w:spacing w:val="0"/>
          <w:w w:val="100"/>
          <w:position w:val="0"/>
          <w:sz w:val="18"/>
          <w:szCs w:val="18"/>
        </w:rPr>
        <w:t>2018</w:t>
      </w:r>
      <w:r>
        <w:rPr>
          <w:color w:val="000000"/>
          <w:spacing w:val="0"/>
          <w:w w:val="100"/>
          <w:position w:val="0"/>
        </w:rPr>
        <w:t>年度累 计发生金额</w:t>
      </w:r>
      <w:r>
        <w:rPr>
          <w:color w:val="000000"/>
          <w:spacing w:val="0"/>
          <w:w w:val="100"/>
          <w:position w:val="0"/>
          <w:sz w:val="18"/>
          <w:szCs w:val="18"/>
        </w:rPr>
        <w:t>50,398.0</w:t>
      </w:r>
      <w:r>
        <w:rPr>
          <w:color w:val="000000"/>
          <w:spacing w:val="0"/>
          <w:w w:val="100"/>
          <w:position w:val="0"/>
          <w:sz w:val="18"/>
          <w:szCs w:val="18"/>
        </w:rPr>
        <w:t>0</w:t>
      </w:r>
      <w:r>
        <w:rPr>
          <w:color w:val="000000"/>
          <w:spacing w:val="0"/>
          <w:w w:val="100"/>
          <w:position w:val="0"/>
        </w:rPr>
        <w:t>万元，累计偿还金额</w:t>
      </w:r>
      <w:r>
        <w:rPr>
          <w:color w:val="000000"/>
          <w:spacing w:val="0"/>
          <w:w w:val="100"/>
          <w:position w:val="0"/>
          <w:sz w:val="18"/>
          <w:szCs w:val="18"/>
        </w:rPr>
        <w:t xml:space="preserve">45, </w:t>
      </w:r>
      <w:r>
        <w:rPr>
          <w:color w:val="000000"/>
          <w:spacing w:val="0"/>
          <w:w w:val="100"/>
          <w:position w:val="0"/>
          <w:sz w:val="18"/>
          <w:szCs w:val="18"/>
        </w:rPr>
        <w:t xml:space="preserve">398.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，2018</w:t>
      </w:r>
      <w:r>
        <w:rPr>
          <w:color w:val="000000"/>
          <w:spacing w:val="0"/>
          <w:w w:val="100"/>
          <w:position w:val="0"/>
        </w:rPr>
        <w:t>年年末占用资金余额</w:t>
      </w:r>
      <w:r>
        <w:rPr>
          <w:color w:val="000000"/>
          <w:spacing w:val="0"/>
          <w:w w:val="100"/>
          <w:position w:val="0"/>
          <w:sz w:val="18"/>
          <w:szCs w:val="18"/>
        </w:rPr>
        <w:t>5,000.00</w:t>
      </w:r>
      <w:r>
        <w:rPr>
          <w:color w:val="000000"/>
          <w:spacing w:val="0"/>
          <w:w w:val="100"/>
          <w:position w:val="0"/>
        </w:rPr>
        <w:t>万元；</w:t>
      </w:r>
      <w:r>
        <w:rPr>
          <w:color w:val="000000"/>
          <w:spacing w:val="0"/>
          <w:w w:val="100"/>
          <w:position w:val="0"/>
          <w:sz w:val="18"/>
          <w:szCs w:val="18"/>
        </w:rPr>
        <w:t>2019</w:t>
      </w:r>
      <w:r>
        <w:rPr>
          <w:color w:val="000000"/>
          <w:spacing w:val="0"/>
          <w:w w:val="100"/>
          <w:position w:val="0"/>
        </w:rPr>
        <w:t xml:space="preserve">年度累计发生金额 </w:t>
      </w:r>
      <w:r>
        <w:rPr>
          <w:color w:val="000000"/>
          <w:spacing w:val="0"/>
          <w:w w:val="100"/>
          <w:position w:val="0"/>
          <w:sz w:val="18"/>
          <w:szCs w:val="18"/>
        </w:rPr>
        <w:t>97,657.40</w:t>
      </w:r>
      <w:r>
        <w:rPr>
          <w:color w:val="000000"/>
          <w:spacing w:val="0"/>
          <w:w w:val="100"/>
          <w:position w:val="0"/>
        </w:rPr>
        <w:t>万元，累计偿还金额</w:t>
      </w:r>
      <w:r>
        <w:rPr>
          <w:color w:val="000000"/>
          <w:spacing w:val="0"/>
          <w:w w:val="100"/>
          <w:position w:val="0"/>
          <w:sz w:val="18"/>
          <w:szCs w:val="18"/>
        </w:rPr>
        <w:t xml:space="preserve">84, </w:t>
      </w:r>
      <w:r>
        <w:rPr>
          <w:color w:val="000000"/>
          <w:spacing w:val="0"/>
          <w:w w:val="100"/>
          <w:position w:val="0"/>
          <w:sz w:val="18"/>
          <w:szCs w:val="18"/>
        </w:rPr>
        <w:t xml:space="preserve">335.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2019</w:t>
      </w:r>
      <w:r>
        <w:rPr>
          <w:color w:val="000000"/>
          <w:spacing w:val="0"/>
          <w:w w:val="100"/>
          <w:position w:val="0"/>
        </w:rPr>
        <w:t>年年末占用资金余额</w:t>
      </w:r>
      <w:r>
        <w:rPr>
          <w:color w:val="000000"/>
          <w:spacing w:val="0"/>
          <w:w w:val="100"/>
          <w:position w:val="0"/>
          <w:sz w:val="18"/>
          <w:szCs w:val="18"/>
        </w:rPr>
        <w:t>18,322.40</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1-9</w:t>
      </w:r>
      <w:r>
        <w:rPr>
          <w:color w:val="000000"/>
          <w:spacing w:val="0"/>
          <w:w w:val="100"/>
          <w:position w:val="0"/>
        </w:rPr>
        <w:t xml:space="preserve">月累计发生金额 </w:t>
      </w:r>
      <w:r>
        <w:rPr>
          <w:color w:val="000000"/>
          <w:spacing w:val="0"/>
          <w:w w:val="100"/>
          <w:position w:val="0"/>
          <w:sz w:val="18"/>
          <w:szCs w:val="18"/>
        </w:rPr>
        <w:t>71,725.4</w:t>
      </w:r>
      <w:r>
        <w:rPr>
          <w:color w:val="000000"/>
          <w:spacing w:val="0"/>
          <w:w w:val="100"/>
          <w:position w:val="0"/>
          <w:sz w:val="18"/>
          <w:szCs w:val="18"/>
        </w:rPr>
        <w:t>1</w:t>
      </w:r>
      <w:r>
        <w:rPr>
          <w:color w:val="000000"/>
          <w:spacing w:val="0"/>
          <w:w w:val="100"/>
          <w:position w:val="0"/>
        </w:rPr>
        <w:t>万元，累计偿还金额</w:t>
      </w:r>
      <w:r>
        <w:rPr>
          <w:color w:val="000000"/>
          <w:spacing w:val="0"/>
          <w:w w:val="100"/>
          <w:position w:val="0"/>
          <w:sz w:val="18"/>
          <w:szCs w:val="18"/>
        </w:rPr>
        <w:t xml:space="preserve">90, </w:t>
      </w:r>
      <w:r>
        <w:rPr>
          <w:color w:val="000000"/>
          <w:spacing w:val="0"/>
          <w:w w:val="100"/>
          <w:position w:val="0"/>
          <w:sz w:val="18"/>
          <w:szCs w:val="18"/>
        </w:rPr>
        <w:t xml:space="preserve">047. </w:t>
      </w:r>
      <w:r>
        <w:rPr>
          <w:color w:val="000000"/>
          <w:spacing w:val="0"/>
          <w:w w:val="100"/>
          <w:position w:val="0"/>
          <w:sz w:val="18"/>
          <w:szCs w:val="18"/>
        </w:rPr>
        <w:t>81</w:t>
      </w:r>
      <w:r>
        <w:rPr>
          <w:color w:val="000000"/>
          <w:spacing w:val="0"/>
          <w:w w:val="100"/>
          <w:position w:val="0"/>
        </w:rPr>
        <w:t>万元，截止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日本金均已还清；</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9-10</w:t>
      </w:r>
      <w:r>
        <w:rPr>
          <w:color w:val="000000"/>
          <w:spacing w:val="0"/>
          <w:w w:val="100"/>
          <w:position w:val="0"/>
        </w:rPr>
        <w:t>月偿还利息</w:t>
      </w:r>
      <w:r>
        <w:rPr>
          <w:color w:val="000000"/>
          <w:spacing w:val="0"/>
          <w:w w:val="100"/>
          <w:position w:val="0"/>
          <w:sz w:val="18"/>
          <w:szCs w:val="18"/>
        </w:rPr>
        <w:t xml:space="preserve">3, </w:t>
      </w:r>
      <w:r>
        <w:rPr>
          <w:color w:val="000000"/>
          <w:spacing w:val="0"/>
          <w:w w:val="100"/>
          <w:position w:val="0"/>
          <w:sz w:val="18"/>
          <w:szCs w:val="18"/>
        </w:rPr>
        <w:t xml:space="preserve">805. </w:t>
      </w:r>
      <w:r>
        <w:rPr>
          <w:color w:val="000000"/>
          <w:spacing w:val="0"/>
          <w:w w:val="100"/>
          <w:position w:val="0"/>
          <w:sz w:val="18"/>
          <w:szCs w:val="18"/>
        </w:rPr>
        <w:t>44</w:t>
      </w:r>
      <w:r>
        <w:rPr>
          <w:color w:val="000000"/>
          <w:spacing w:val="0"/>
          <w:w w:val="100"/>
          <w:position w:val="0"/>
        </w:rPr>
        <w:t>万元， 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日利息均已还清；截止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日无资金占用。</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如财务报表附注十四、</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5）</w:t>
      </w:r>
      <w:r>
        <w:rPr>
          <w:color w:val="000000"/>
          <w:spacing w:val="0"/>
          <w:w w:val="100"/>
          <w:position w:val="0"/>
        </w:rPr>
        <w:t>所述，</w:t>
      </w:r>
      <w:r>
        <w:rPr>
          <w:color w:val="000000"/>
          <w:spacing w:val="0"/>
          <w:w w:val="100"/>
          <w:position w:val="0"/>
          <w:sz w:val="18"/>
          <w:szCs w:val="18"/>
        </w:rPr>
        <w:t>2018-2020</w:t>
      </w:r>
      <w:r>
        <w:rPr>
          <w:color w:val="000000"/>
          <w:spacing w:val="0"/>
          <w:w w:val="100"/>
          <w:position w:val="0"/>
        </w:rPr>
        <w:t>年期间银江集团通过控制银江技术公司参股的杭州银江智慧产业创业 投资合伙企业（有限合伙）（以下简称“产业基金”）向特定项目投资等方式，由被投资方将资金转入银江集团及其关联方 的方式占用产业基金资金的情况。按照银江技术公司</w:t>
      </w:r>
      <w:r>
        <w:rPr>
          <w:color w:val="000000"/>
          <w:spacing w:val="0"/>
          <w:w w:val="100"/>
          <w:position w:val="0"/>
          <w:sz w:val="18"/>
          <w:szCs w:val="18"/>
        </w:rPr>
        <w:t>2020</w:t>
      </w:r>
      <w:r>
        <w:rPr>
          <w:color w:val="000000"/>
          <w:spacing w:val="0"/>
          <w:w w:val="100"/>
          <w:position w:val="0"/>
        </w:rPr>
        <w:t>年末对产业基金的实缴出资比例计算，银江集团形成对银江技术公 司的间接资金占用本息合计</w:t>
      </w:r>
      <w:r>
        <w:rPr>
          <w:color w:val="000000"/>
          <w:spacing w:val="0"/>
          <w:w w:val="100"/>
          <w:position w:val="0"/>
          <w:sz w:val="18"/>
          <w:szCs w:val="18"/>
        </w:rPr>
        <w:t>21,461.73</w:t>
      </w:r>
      <w:r>
        <w:rPr>
          <w:color w:val="000000"/>
          <w:spacing w:val="0"/>
          <w:w w:val="100"/>
          <w:position w:val="0"/>
        </w:rPr>
        <w:t>万元。</w:t>
      </w:r>
    </w:p>
    <w:p>
      <w:pPr>
        <w:pStyle w:val="Style25"/>
        <w:keepNext w:val="0"/>
        <w:keepLines w:val="0"/>
        <w:widowControl w:val="0"/>
        <w:shd w:val="clear" w:color="auto" w:fill="auto"/>
        <w:tabs>
          <w:tab w:pos="815" w:val="left"/>
        </w:tabs>
        <w:bidi w:val="0"/>
        <w:spacing w:before="0" w:after="0" w:line="311" w:lineRule="exact"/>
        <w:ind w:left="0" w:right="0"/>
        <w:jc w:val="both"/>
      </w:pPr>
      <w:bookmarkStart w:id="448" w:name="bookmark448"/>
      <w:r>
        <w:rPr>
          <w:color w:val="000000"/>
          <w:spacing w:val="0"/>
          <w:w w:val="100"/>
          <w:position w:val="0"/>
        </w:rPr>
        <w:t>二</w:t>
      </w:r>
      <w:bookmarkEnd w:id="448"/>
      <w:r>
        <w:rPr>
          <w:color w:val="000000"/>
          <w:spacing w:val="0"/>
          <w:w w:val="100"/>
          <w:position w:val="0"/>
        </w:rPr>
        <w:t>、</w:t>
        <w:tab/>
      </w:r>
      <w:r>
        <w:rPr>
          <w:color w:val="000000"/>
          <w:spacing w:val="0"/>
          <w:w w:val="100"/>
          <w:position w:val="0"/>
          <w:sz w:val="18"/>
          <w:szCs w:val="18"/>
        </w:rPr>
        <w:t>2020</w:t>
      </w:r>
      <w:r>
        <w:rPr>
          <w:color w:val="000000"/>
          <w:spacing w:val="0"/>
          <w:w w:val="100"/>
          <w:position w:val="0"/>
        </w:rPr>
        <w:t>年度审计报告带强调事项无保留意见事项影响消除情况</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日，为消除对银江技术公司的间接资金占用，产业基金已将银江集团归还的资金进行了预分配。银江 技术公司累计已收到产业基金预分配的资金</w:t>
      </w:r>
      <w:r>
        <w:rPr>
          <w:color w:val="000000"/>
          <w:spacing w:val="0"/>
          <w:w w:val="100"/>
          <w:position w:val="0"/>
          <w:sz w:val="18"/>
          <w:szCs w:val="18"/>
        </w:rPr>
        <w:t>21,461.73</w:t>
      </w:r>
      <w:r>
        <w:rPr>
          <w:color w:val="000000"/>
          <w:spacing w:val="0"/>
          <w:w w:val="100"/>
          <w:position w:val="0"/>
        </w:rPr>
        <w:t xml:space="preserve">万元，银江集团通过产业基金形成对银江技术公司的间接资金占用已 </w:t>
      </w:r>
      <w:r>
        <w:rPr>
          <w:color w:val="000000"/>
          <w:spacing w:val="0"/>
          <w:w w:val="100"/>
          <w:position w:val="0"/>
        </w:rPr>
        <w:t>全部消除。</w:t>
      </w:r>
    </w:p>
    <w:p>
      <w:pPr>
        <w:pStyle w:val="Style25"/>
        <w:keepNext w:val="0"/>
        <w:keepLines w:val="0"/>
        <w:widowControl w:val="0"/>
        <w:shd w:val="clear" w:color="auto" w:fill="auto"/>
        <w:bidi w:val="0"/>
        <w:spacing w:before="0" w:after="380" w:line="313" w:lineRule="exact"/>
        <w:ind w:left="0" w:right="0" w:firstLine="480"/>
        <w:jc w:val="both"/>
      </w:pPr>
      <w:r>
        <w:rPr>
          <w:color w:val="000000"/>
          <w:spacing w:val="0"/>
          <w:w w:val="100"/>
          <w:position w:val="0"/>
        </w:rPr>
        <w:t>综上，经实行以上措施，本公司董事会认为，</w:t>
      </w:r>
      <w:r>
        <w:rPr>
          <w:color w:val="000000"/>
          <w:spacing w:val="0"/>
          <w:w w:val="100"/>
          <w:position w:val="0"/>
          <w:sz w:val="18"/>
          <w:szCs w:val="18"/>
        </w:rPr>
        <w:t>2020</w:t>
      </w:r>
      <w:r>
        <w:rPr>
          <w:color w:val="000000"/>
          <w:spacing w:val="0"/>
          <w:w w:val="100"/>
          <w:position w:val="0"/>
        </w:rPr>
        <w:t>年度审计报告中带强调事项无保留意见所涉及事项影响已消除。</w:t>
      </w:r>
    </w:p>
    <w:p>
      <w:pPr>
        <w:pStyle w:val="Style21"/>
        <w:keepNext/>
        <w:keepLines/>
        <w:widowControl w:val="0"/>
        <w:shd w:val="clear" w:color="auto" w:fill="auto"/>
        <w:tabs>
          <w:tab w:pos="517" w:val="left"/>
        </w:tabs>
        <w:bidi w:val="0"/>
        <w:spacing w:before="0" w:after="380" w:line="240" w:lineRule="auto"/>
        <w:ind w:left="0" w:right="0" w:firstLine="0"/>
        <w:jc w:val="both"/>
      </w:pPr>
      <w:bookmarkStart w:id="449" w:name="bookmark449"/>
      <w:bookmarkStart w:id="450" w:name="bookmark450"/>
      <w:bookmarkStart w:id="451" w:name="bookmark451"/>
      <w:bookmarkStart w:id="452" w:name="bookmark452"/>
      <w:r>
        <w:rPr>
          <w:color w:val="000000"/>
          <w:spacing w:val="0"/>
          <w:w w:val="100"/>
          <w:position w:val="0"/>
        </w:rPr>
        <w:t>五</w:t>
      </w:r>
      <w:bookmarkEnd w:id="45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49"/>
      <w:bookmarkEnd w:id="450"/>
      <w:bookmarkEnd w:id="452"/>
    </w:p>
    <w:p>
      <w:pPr>
        <w:pStyle w:val="Style25"/>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六</w:t>
      </w:r>
      <w:bookmarkEnd w:id="455"/>
      <w:r>
        <w:rPr>
          <w:color w:val="000000"/>
          <w:spacing w:val="0"/>
          <w:w w:val="100"/>
          <w:position w:val="0"/>
        </w:rPr>
        <w:t>、</w:t>
        <w:tab/>
        <w:t>董事会关于报告期会计政策、会计估计变更或重大会计差错更正的说明</w:t>
      </w:r>
      <w:bookmarkEnd w:id="453"/>
      <w:bookmarkEnd w:id="454"/>
      <w:bookmarkEnd w:id="456"/>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日发布了《企业会计准则第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8"/>
          <w:szCs w:val="18"/>
        </w:rPr>
        <w:t>（2018</w:t>
      </w:r>
      <w:r>
        <w:rPr>
          <w:color w:val="000000"/>
          <w:spacing w:val="0"/>
          <w:w w:val="100"/>
          <w:position w:val="0"/>
        </w:rPr>
        <w:t>年修订）》（财会</w:t>
      </w:r>
      <w:r>
        <w:rPr>
          <w:color w:val="000000"/>
          <w:spacing w:val="0"/>
          <w:w w:val="100"/>
          <w:position w:val="0"/>
          <w:sz w:val="18"/>
          <w:szCs w:val="18"/>
        </w:rPr>
        <w:t>[2018]35</w:t>
      </w:r>
      <w:r>
        <w:rPr>
          <w:color w:val="000000"/>
          <w:spacing w:val="0"/>
          <w:w w:val="100"/>
          <w:position w:val="0"/>
        </w:rPr>
        <w:t>号</w:t>
      </w:r>
      <w:r>
        <w:rPr>
          <w:color w:val="000000"/>
          <w:spacing w:val="0"/>
          <w:w w:val="100"/>
          <w:position w:val="0"/>
          <w:sz w:val="18"/>
          <w:szCs w:val="18"/>
        </w:rPr>
        <w:t>）（</w:t>
      </w:r>
      <w:r>
        <w:rPr>
          <w:color w:val="000000"/>
          <w:spacing w:val="0"/>
          <w:w w:val="100"/>
          <w:position w:val="0"/>
        </w:rPr>
        <w:t>以下简称“新 租赁准则”）。本公司于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日起执行前述新租赁准则，并依据新租赁准则的规定对相关会计政策进行变更。</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根据新租赁准则的规定，对于首次执行日前已存在的合同，本公司选择不重新评估其是否为租赁或者包含租赁。</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本公司选择仅对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日尚未完成的租赁合同的累计影响数进行调整。首次执行的累积影响金额调整首次执行当期 期初（即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日）的留存收益及财务报表其他相关项目金额，对可比期间信息不予调整。</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于新租赁准则首次执行日（即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日），本公司的具体衔接处理及其影响如下：</w:t>
      </w:r>
    </w:p>
    <w:p>
      <w:pPr>
        <w:pStyle w:val="Style25"/>
        <w:keepNext w:val="0"/>
        <w:keepLines w:val="0"/>
        <w:widowControl w:val="0"/>
        <w:shd w:val="clear" w:color="auto" w:fill="auto"/>
        <w:tabs>
          <w:tab w:pos="834" w:val="left"/>
        </w:tabs>
        <w:bidi w:val="0"/>
        <w:spacing w:before="0" w:after="0" w:line="313" w:lineRule="exact"/>
        <w:ind w:left="0" w:right="0" w:firstLine="480"/>
        <w:jc w:val="both"/>
      </w:pPr>
      <w:bookmarkStart w:id="457" w:name="bookmark457"/>
      <w:r>
        <w:rPr>
          <w:color w:val="000000"/>
          <w:spacing w:val="0"/>
          <w:w w:val="100"/>
          <w:position w:val="0"/>
          <w:sz w:val="18"/>
          <w:szCs w:val="18"/>
        </w:rPr>
        <w:t>A</w:t>
      </w:r>
      <w:bookmarkEnd w:id="457"/>
      <w:r>
        <w:rPr>
          <w:color w:val="000000"/>
          <w:spacing w:val="0"/>
          <w:w w:val="100"/>
          <w:position w:val="0"/>
        </w:rPr>
        <w:t>、</w:t>
        <w:tab/>
      </w:r>
      <w:r>
        <w:rPr>
          <w:color w:val="000000"/>
          <w:spacing w:val="0"/>
          <w:w w:val="100"/>
          <w:position w:val="0"/>
        </w:rPr>
        <w:t>本公司作为承租人</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对首次执行日的融资租赁，本公司作为承租人按照融资租入资产和应付融资租赁款的原账面价值，分别计量使用权资产 和租赁负债；对首次执行日的经营租赁，作为承租人根据剩余租赁付款额按首次执行日的增量借款利率折现的现值计量租赁 负债；原租赁准则下按照权责发生制计提的应付未付租金，纳入剩余租赁付款额中。</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对首次执行日前的经营租赁，本公司按照与租赁负债相等的金额，并根据预付租金进行必要调整计量使用权资产。本公 司于首次执行日对使用权资产进行减值测试，不调整使用权资产的账面价值。</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本公司对于首次执行日前的租赁资产属于低价值资产的经营租赁，不确认使用权资产和租赁负债。对于首次执行日除低 价值租赁之外的经营租赁，本公司根据每项租赁采用下列一项或多项简化处理：</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将于首次执行日后</w:t>
      </w:r>
      <w:r>
        <w:rPr>
          <w:color w:val="000000"/>
          <w:spacing w:val="0"/>
          <w:w w:val="100"/>
          <w:position w:val="0"/>
          <w:sz w:val="18"/>
          <w:szCs w:val="18"/>
        </w:rPr>
        <w:t>12</w:t>
      </w:r>
      <w:r>
        <w:rPr>
          <w:color w:val="000000"/>
          <w:spacing w:val="0"/>
          <w:w w:val="100"/>
          <w:position w:val="0"/>
        </w:rPr>
        <w:t>个月内完成的租赁，作为短期租赁处理；</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计量租赁负债时，具有相似特征的租赁采用同一折现率；</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使用权资产的计量不包含初始直接费用；</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存在续约选择权或终止租赁选择权的，本公司根据首次执行日前选择权的实际行使及其他最新情况确定租赁期；</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作为使用权资产减值测试的替代，本公司根据《企业会计准则第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或有事项》评估包含租赁的合同在首次执行日 前是否为亏损合同，并根据首次执行日前计入资产负债表的亏损准备金额调整使用权资产；</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首次执行日之前发生租赁变更的，本公司根据租赁变更的最终安排进行会计处理。</w:t>
      </w:r>
    </w:p>
    <w:p>
      <w:pPr>
        <w:pStyle w:val="Style25"/>
        <w:keepNext w:val="0"/>
        <w:keepLines w:val="0"/>
        <w:widowControl w:val="0"/>
        <w:shd w:val="clear" w:color="auto" w:fill="auto"/>
        <w:tabs>
          <w:tab w:pos="834" w:val="left"/>
        </w:tabs>
        <w:bidi w:val="0"/>
        <w:spacing w:before="0" w:after="0" w:line="313" w:lineRule="exact"/>
        <w:ind w:left="0" w:right="0" w:firstLine="480"/>
        <w:jc w:val="both"/>
      </w:pPr>
      <w:bookmarkStart w:id="458" w:name="bookmark458"/>
      <w:r>
        <w:rPr>
          <w:color w:val="000000"/>
          <w:spacing w:val="0"/>
          <w:w w:val="100"/>
          <w:position w:val="0"/>
          <w:sz w:val="18"/>
          <w:szCs w:val="18"/>
        </w:rPr>
        <w:t>B</w:t>
      </w:r>
      <w:bookmarkEnd w:id="458"/>
      <w:r>
        <w:rPr>
          <w:color w:val="000000"/>
          <w:spacing w:val="0"/>
          <w:w w:val="100"/>
          <w:position w:val="0"/>
        </w:rPr>
        <w:t>、</w:t>
        <w:tab/>
      </w:r>
      <w:r>
        <w:rPr>
          <w:color w:val="000000"/>
          <w:spacing w:val="0"/>
          <w:w w:val="100"/>
          <w:position w:val="0"/>
        </w:rPr>
        <w:t>本公司作为出租人</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对于首次执行日前划分为经营租赁且在首次执行日后仍存续的转租赁，本公司作为转租出租人在首次执行日基于原租赁 和转租赁的剩余合同期限和条款进行重新评估和分类。重分类为融资租赁的，将其作为一项新的融资租赁进行会计处理。</w:t>
      </w:r>
    </w:p>
    <w:p>
      <w:pPr>
        <w:pStyle w:val="Style25"/>
        <w:keepNext w:val="0"/>
        <w:keepLines w:val="0"/>
        <w:widowControl w:val="0"/>
        <w:shd w:val="clear" w:color="auto" w:fill="auto"/>
        <w:tabs>
          <w:tab w:pos="834" w:val="left"/>
        </w:tabs>
        <w:bidi w:val="0"/>
        <w:spacing w:before="0" w:after="380" w:line="313" w:lineRule="exact"/>
        <w:ind w:left="0" w:right="0" w:firstLine="480"/>
        <w:jc w:val="both"/>
      </w:pPr>
      <w:bookmarkStart w:id="459" w:name="bookmark459"/>
      <w:r>
        <w:rPr>
          <w:color w:val="000000"/>
          <w:spacing w:val="0"/>
          <w:w w:val="100"/>
          <w:position w:val="0"/>
          <w:sz w:val="18"/>
          <w:szCs w:val="18"/>
        </w:rPr>
        <w:t>C</w:t>
      </w:r>
      <w:bookmarkEnd w:id="459"/>
      <w:r>
        <w:rPr>
          <w:color w:val="000000"/>
          <w:spacing w:val="0"/>
          <w:w w:val="100"/>
          <w:position w:val="0"/>
        </w:rPr>
        <w:t>、</w:t>
        <w:tab/>
      </w:r>
      <w:r>
        <w:rPr>
          <w:color w:val="000000"/>
          <w:spacing w:val="0"/>
          <w:w w:val="100"/>
          <w:position w:val="0"/>
        </w:rPr>
        <w:t>执行新租赁准则会计政策变更对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日财务报表无影响。</w:t>
      </w:r>
    </w:p>
    <w:p>
      <w:pPr>
        <w:pStyle w:val="Style21"/>
        <w:keepNext/>
        <w:keepLines/>
        <w:widowControl w:val="0"/>
        <w:shd w:val="clear" w:color="auto" w:fill="auto"/>
        <w:tabs>
          <w:tab w:pos="522" w:val="left"/>
        </w:tabs>
        <w:bidi w:val="0"/>
        <w:spacing w:before="0" w:after="38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七</w:t>
      </w:r>
      <w:bookmarkEnd w:id="462"/>
      <w:r>
        <w:rPr>
          <w:color w:val="000000"/>
          <w:spacing w:val="0"/>
          <w:w w:val="100"/>
          <w:position w:val="0"/>
        </w:rPr>
        <w:t>、</w:t>
        <w:tab/>
        <w:t>与上年度财务报告相比，合并报表范围发生变化的情况说明</w:t>
      </w:r>
      <w:bookmarkEnd w:id="460"/>
      <w:bookmarkEnd w:id="461"/>
      <w:bookmarkEnd w:id="463"/>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20" w:line="317" w:lineRule="exact"/>
        <w:ind w:left="0" w:right="0" w:firstLine="4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4</w:t>
      </w:r>
      <w:r>
        <w:rPr>
          <w:color w:val="000000"/>
          <w:spacing w:val="0"/>
          <w:w w:val="100"/>
          <w:position w:val="0"/>
        </w:rPr>
        <w:t>日，子公司浙江银江智慧城市信息技术研究院有限公司新设</w:t>
      </w:r>
      <w:r>
        <w:rPr>
          <w:color w:val="000000"/>
          <w:spacing w:val="0"/>
          <w:w w:val="100"/>
          <w:position w:val="0"/>
          <w:sz w:val="18"/>
          <w:szCs w:val="18"/>
        </w:rPr>
        <w:t>100%</w:t>
      </w:r>
      <w:r>
        <w:rPr>
          <w:color w:val="000000"/>
          <w:spacing w:val="0"/>
          <w:w w:val="100"/>
          <w:position w:val="0"/>
        </w:rPr>
        <w:t>控股公司浙江银江人工智能数据科技有限公 司。</w:t>
      </w:r>
    </w:p>
    <w:p>
      <w:pPr>
        <w:pStyle w:val="Style21"/>
        <w:keepNext/>
        <w:keepLines/>
        <w:widowControl w:val="0"/>
        <w:shd w:val="clear" w:color="auto" w:fill="auto"/>
        <w:bidi w:val="0"/>
        <w:spacing w:before="0" w:after="38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八</w:t>
      </w:r>
      <w:bookmarkEnd w:id="466"/>
      <w:r>
        <w:rPr>
          <w:color w:val="000000"/>
          <w:spacing w:val="0"/>
          <w:w w:val="100"/>
          <w:position w:val="0"/>
        </w:rPr>
        <w:t>、聘任、解聘会计师事务所情况</w:t>
      </w:r>
      <w:bookmarkEnd w:id="464"/>
      <w:bookmarkEnd w:id="465"/>
      <w:bookmarkEnd w:id="467"/>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中兴华会计师事务所（特殊普通合伙）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高敏建、庞玉文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九</w:t>
      </w:r>
      <w:bookmarkEnd w:id="470"/>
      <w:r>
        <w:rPr>
          <w:color w:val="000000"/>
          <w:spacing w:val="0"/>
          <w:w w:val="100"/>
          <w:position w:val="0"/>
        </w:rPr>
        <w:t>、年度报告披露后面临退市情况</w:t>
      </w:r>
      <w:bookmarkEnd w:id="468"/>
      <w:bookmarkEnd w:id="469"/>
      <w:bookmarkEnd w:id="471"/>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r>
        <w:rPr>
          <w:color w:val="000000"/>
          <w:spacing w:val="0"/>
          <w:w w:val="100"/>
          <w:position w:val="0"/>
        </w:rPr>
        <w:t>十、破产重整相关事项</w:t>
      </w:r>
      <w:bookmarkEnd w:id="472"/>
      <w:bookmarkEnd w:id="473"/>
      <w:bookmarkEnd w:id="474"/>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7" w:name="bookmark477"/>
      <w:r>
        <w:rPr>
          <w:color w:val="000000"/>
          <w:spacing w:val="0"/>
          <w:w w:val="100"/>
          <w:position w:val="0"/>
        </w:rPr>
        <w:t>十一、重大诉讼、仲裁事项</w:t>
      </w:r>
      <w:bookmarkEnd w:id="475"/>
      <w:bookmarkEnd w:id="476"/>
      <w:bookmarkEnd w:id="477"/>
    </w:p>
    <w:p>
      <w:pPr>
        <w:pStyle w:val="Style25"/>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478" w:name="bookmark478"/>
      <w:bookmarkEnd w:id="47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1"/>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r>
        <w:rPr>
          <w:color w:val="000000"/>
          <w:spacing w:val="0"/>
          <w:w w:val="100"/>
          <w:position w:val="0"/>
        </w:rPr>
        <w:t>十二、处罚及整改情况</w:t>
      </w:r>
      <w:bookmarkEnd w:id="479"/>
      <w:bookmarkEnd w:id="480"/>
      <w:bookmarkEnd w:id="481"/>
    </w:p>
    <w:p>
      <w:pPr>
        <w:pStyle w:val="Style25"/>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482" w:name="bookmark482"/>
      <w:bookmarkEnd w:id="48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r>
        <w:rPr>
          <w:color w:val="000000"/>
          <w:spacing w:val="0"/>
          <w:w w:val="100"/>
          <w:position w:val="0"/>
        </w:rPr>
        <w:t>十三、公司及其控股股东、实际控制人的诚信状况</w:t>
      </w:r>
      <w:bookmarkEnd w:id="483"/>
      <w:bookmarkEnd w:id="484"/>
      <w:bookmarkEnd w:id="485"/>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报告期内，公司及其控股股东、实际控制人诚信状况良好，不存在未履行法院生效判决、所负数额较大的债务到期未清偿等</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情况。</w:t>
      </w:r>
    </w:p>
    <w:p>
      <w:pPr>
        <w:pStyle w:val="Style21"/>
        <w:keepNext/>
        <w:keepLines/>
        <w:widowControl w:val="0"/>
        <w:shd w:val="clear" w:color="auto" w:fill="auto"/>
        <w:bidi w:val="0"/>
        <w:spacing w:before="0" w:after="380" w:line="240" w:lineRule="auto"/>
        <w:ind w:left="0" w:right="0" w:firstLine="0"/>
        <w:jc w:val="left"/>
      </w:pPr>
      <w:bookmarkStart w:id="486" w:name="bookmark486"/>
      <w:bookmarkStart w:id="487" w:name="bookmark487"/>
      <w:bookmarkStart w:id="488" w:name="bookmark488"/>
      <w:r>
        <w:rPr>
          <w:color w:val="000000"/>
          <w:spacing w:val="0"/>
          <w:w w:val="100"/>
          <w:position w:val="0"/>
        </w:rPr>
        <w:t>十四、重大关联交易</w:t>
      </w:r>
      <w:bookmarkEnd w:id="486"/>
      <w:bookmarkEnd w:id="487"/>
      <w:bookmarkEnd w:id="488"/>
    </w:p>
    <w:p>
      <w:pPr>
        <w:pStyle w:val="Style28"/>
        <w:keepNext/>
        <w:keepLines/>
        <w:widowControl w:val="0"/>
        <w:shd w:val="clear" w:color="auto" w:fill="auto"/>
        <w:tabs>
          <w:tab w:pos="368" w:val="left"/>
        </w:tabs>
        <w:bidi w:val="0"/>
        <w:spacing w:before="0" w:after="3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1</w:t>
      </w:r>
      <w:bookmarkEnd w:id="491"/>
      <w:r>
        <w:rPr>
          <w:color w:val="000000"/>
          <w:spacing w:val="0"/>
          <w:w w:val="100"/>
          <w:position w:val="0"/>
        </w:rPr>
        <w:t>、</w:t>
        <w:tab/>
        <w:t>与日常经营相关的关联交易</w:t>
      </w:r>
      <w:bookmarkEnd w:id="489"/>
      <w:bookmarkEnd w:id="490"/>
      <w:bookmarkEnd w:id="492"/>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2</w:t>
      </w:r>
      <w:bookmarkEnd w:id="495"/>
      <w:r>
        <w:rPr>
          <w:color w:val="000000"/>
          <w:spacing w:val="0"/>
          <w:w w:val="100"/>
          <w:position w:val="0"/>
        </w:rPr>
        <w:t>、</w:t>
        <w:tab/>
        <w:t>资产或股权收购、出售发生的关联交易</w:t>
      </w:r>
      <w:bookmarkEnd w:id="493"/>
      <w:bookmarkEnd w:id="494"/>
      <w:bookmarkEnd w:id="49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3</w:t>
      </w:r>
      <w:bookmarkEnd w:id="499"/>
      <w:r>
        <w:rPr>
          <w:color w:val="000000"/>
          <w:spacing w:val="0"/>
          <w:w w:val="100"/>
          <w:position w:val="0"/>
        </w:rPr>
        <w:t>、</w:t>
        <w:tab/>
        <w:t>共同对外投资的关联交易</w:t>
      </w:r>
      <w:bookmarkEnd w:id="497"/>
      <w:bookmarkEnd w:id="498"/>
      <w:bookmarkEnd w:id="50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4</w:t>
      </w:r>
      <w:bookmarkEnd w:id="503"/>
      <w:r>
        <w:rPr>
          <w:color w:val="000000"/>
          <w:spacing w:val="0"/>
          <w:w w:val="100"/>
          <w:position w:val="0"/>
        </w:rPr>
        <w:t>、</w:t>
        <w:tab/>
        <w:t>关联债权债务往来</w:t>
      </w:r>
      <w:bookmarkEnd w:id="501"/>
      <w:bookmarkEnd w:id="502"/>
      <w:bookmarkEnd w:id="504"/>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after="38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5</w:t>
      </w:r>
      <w:bookmarkEnd w:id="507"/>
      <w:r>
        <w:rPr>
          <w:color w:val="000000"/>
          <w:spacing w:val="0"/>
          <w:w w:val="100"/>
          <w:position w:val="0"/>
        </w:rPr>
        <w:t>、</w:t>
        <w:tab/>
        <w:t>与存在关联关系的财务公司的往来情况</w:t>
      </w:r>
      <w:bookmarkEnd w:id="505"/>
      <w:bookmarkEnd w:id="506"/>
      <w:bookmarkEnd w:id="508"/>
    </w:p>
    <w:p>
      <w:pPr>
        <w:pStyle w:val="Style25"/>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09" w:name="bookmark509"/>
      <w:bookmarkEnd w:id="50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6</w:t>
      </w:r>
      <w:bookmarkEnd w:id="512"/>
      <w:r>
        <w:rPr>
          <w:color w:val="000000"/>
          <w:spacing w:val="0"/>
          <w:w w:val="100"/>
          <w:position w:val="0"/>
        </w:rPr>
        <w:t>、</w:t>
        <w:tab/>
        <w:t>公司控股的财务公司与关联方的往来情况</w:t>
      </w:r>
      <w:bookmarkEnd w:id="510"/>
      <w:bookmarkEnd w:id="511"/>
      <w:bookmarkEnd w:id="513"/>
    </w:p>
    <w:p>
      <w:pPr>
        <w:pStyle w:val="Style25"/>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14" w:name="bookmark514"/>
      <w:bookmarkEnd w:id="51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3" w:val="left"/>
        </w:tabs>
        <w:bidi w:val="0"/>
        <w:spacing w:before="0" w:after="38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7</w:t>
      </w:r>
      <w:bookmarkEnd w:id="517"/>
      <w:r>
        <w:rPr>
          <w:color w:val="000000"/>
          <w:spacing w:val="0"/>
          <w:w w:val="100"/>
          <w:position w:val="0"/>
        </w:rPr>
        <w:t>、</w:t>
        <w:tab/>
        <w:t>其他重大关联交易</w:t>
      </w:r>
      <w:bookmarkEnd w:id="515"/>
      <w:bookmarkEnd w:id="516"/>
      <w:bookmarkEnd w:id="518"/>
    </w:p>
    <w:p>
      <w:pPr>
        <w:pStyle w:val="Style25"/>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19" w:name="bookmark519"/>
      <w:bookmarkEnd w:id="51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after="380" w:line="240" w:lineRule="auto"/>
        <w:ind w:left="0" w:right="0" w:firstLine="0"/>
        <w:jc w:val="both"/>
      </w:pPr>
      <w:bookmarkStart w:id="520" w:name="bookmark520"/>
      <w:bookmarkStart w:id="521" w:name="bookmark521"/>
      <w:bookmarkStart w:id="522" w:name="bookmark522"/>
      <w:r>
        <w:rPr>
          <w:color w:val="000000"/>
          <w:spacing w:val="0"/>
          <w:w w:val="100"/>
          <w:position w:val="0"/>
        </w:rPr>
        <w:t>十五、重大合同及其履行情况</w:t>
      </w:r>
      <w:bookmarkEnd w:id="520"/>
      <w:bookmarkEnd w:id="521"/>
      <w:bookmarkEnd w:id="522"/>
    </w:p>
    <w:p>
      <w:pPr>
        <w:pStyle w:val="Style28"/>
        <w:keepNext/>
        <w:keepLines/>
        <w:widowControl w:val="0"/>
        <w:shd w:val="clear" w:color="auto" w:fill="auto"/>
        <w:tabs>
          <w:tab w:pos="368" w:val="left"/>
        </w:tabs>
        <w:bidi w:val="0"/>
        <w:spacing w:before="0" w:after="380" w:line="240" w:lineRule="auto"/>
        <w:ind w:left="0" w:right="0" w:firstLine="0"/>
        <w:jc w:val="both"/>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color w:val="000000"/>
          <w:spacing w:val="0"/>
          <w:w w:val="100"/>
          <w:position w:val="0"/>
        </w:rPr>
        <w:t>、</w:t>
        <w:tab/>
        <w:t>托管、承包、租赁事项情况</w:t>
      </w:r>
      <w:bookmarkEnd w:id="523"/>
      <w:bookmarkEnd w:id="524"/>
      <w:bookmarkEnd w:id="526"/>
    </w:p>
    <w:p>
      <w:pPr>
        <w:pStyle w:val="Style38"/>
        <w:keepNext/>
        <w:keepLines/>
        <w:widowControl w:val="0"/>
        <w:shd w:val="clear" w:color="auto" w:fill="auto"/>
        <w:tabs>
          <w:tab w:pos="493" w:val="left"/>
        </w:tabs>
        <w:bidi w:val="0"/>
        <w:spacing w:before="0" w:line="240" w:lineRule="auto"/>
        <w:ind w:left="0" w:right="0" w:firstLine="0"/>
        <w:jc w:val="both"/>
      </w:pPr>
      <w:bookmarkStart w:id="527" w:name="bookmark527"/>
      <w:bookmarkStart w:id="528" w:name="bookmark528"/>
      <w:bookmarkStart w:id="529" w:name="bookmark529"/>
      <w:bookmarkStart w:id="530" w:name="bookmark530"/>
      <w:r>
        <w:rPr>
          <w:color w:val="000000"/>
          <w:spacing w:val="0"/>
          <w:w w:val="100"/>
          <w:position w:val="0"/>
        </w:rPr>
        <w:t>（</w:t>
      </w:r>
      <w:bookmarkEnd w:id="52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27"/>
      <w:bookmarkEnd w:id="528"/>
      <w:bookmarkEnd w:id="530"/>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line="240" w:lineRule="auto"/>
        <w:ind w:left="0" w:right="0" w:firstLine="0"/>
        <w:jc w:val="both"/>
      </w:pPr>
      <w:bookmarkStart w:id="531" w:name="bookmark531"/>
      <w:bookmarkStart w:id="532" w:name="bookmark532"/>
      <w:bookmarkStart w:id="533" w:name="bookmark533"/>
      <w:bookmarkStart w:id="534" w:name="bookmark534"/>
      <w:r>
        <w:rPr>
          <w:color w:val="000000"/>
          <w:spacing w:val="0"/>
          <w:w w:val="100"/>
          <w:position w:val="0"/>
        </w:rPr>
        <w:t>（</w:t>
      </w:r>
      <w:bookmarkEnd w:id="53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1"/>
      <w:bookmarkEnd w:id="532"/>
      <w:bookmarkEnd w:id="534"/>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8"/>
        <w:keepNext/>
        <w:keepLines/>
        <w:widowControl w:val="0"/>
        <w:shd w:val="clear" w:color="auto" w:fill="auto"/>
        <w:tabs>
          <w:tab w:pos="493" w:val="left"/>
        </w:tabs>
        <w:bidi w:val="0"/>
        <w:spacing w:before="0" w:line="240" w:lineRule="auto"/>
        <w:ind w:left="0" w:right="0" w:firstLine="0"/>
        <w:jc w:val="both"/>
      </w:pPr>
      <w:bookmarkStart w:id="535" w:name="bookmark535"/>
      <w:bookmarkStart w:id="536" w:name="bookmark536"/>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35"/>
      <w:bookmarkEnd w:id="536"/>
      <w:bookmarkEnd w:id="538"/>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after="380" w:line="240" w:lineRule="auto"/>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2</w:t>
      </w:r>
      <w:bookmarkEnd w:id="541"/>
      <w:r>
        <w:rPr>
          <w:color w:val="000000"/>
          <w:spacing w:val="0"/>
          <w:w w:val="100"/>
          <w:position w:val="0"/>
        </w:rPr>
        <w:t>、</w:t>
        <w:tab/>
        <w:t>重大担保</w:t>
      </w:r>
      <w:bookmarkEnd w:id="539"/>
      <w:bookmarkEnd w:id="540"/>
      <w:bookmarkEnd w:id="542"/>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28"/>
        <w:keepNext/>
        <w:keepLines/>
        <w:widowControl w:val="0"/>
        <w:shd w:val="clear" w:color="auto" w:fill="auto"/>
        <w:tabs>
          <w:tab w:pos="378" w:val="left"/>
        </w:tabs>
        <w:bidi w:val="0"/>
        <w:spacing w:before="0" w:after="380" w:line="240" w:lineRule="auto"/>
        <w:ind w:left="0" w:right="0" w:firstLine="0"/>
        <w:jc w:val="both"/>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3</w:t>
      </w:r>
      <w:bookmarkEnd w:id="545"/>
      <w:r>
        <w:rPr>
          <w:color w:val="000000"/>
          <w:spacing w:val="0"/>
          <w:w w:val="100"/>
          <w:position w:val="0"/>
        </w:rPr>
        <w:t>、</w:t>
        <w:tab/>
        <w:t>委托他人进行现金资产管理情况</w:t>
      </w:r>
      <w:bookmarkEnd w:id="543"/>
      <w:bookmarkEnd w:id="544"/>
      <w:bookmarkEnd w:id="546"/>
    </w:p>
    <w:p>
      <w:pPr>
        <w:pStyle w:val="Style38"/>
        <w:keepNext/>
        <w:keepLines/>
        <w:widowControl w:val="0"/>
        <w:shd w:val="clear" w:color="auto" w:fill="auto"/>
        <w:tabs>
          <w:tab w:pos="493" w:val="left"/>
        </w:tabs>
        <w:bidi w:val="0"/>
        <w:spacing w:before="0" w:line="240" w:lineRule="auto"/>
        <w:ind w:left="0" w:right="0" w:firstLine="0"/>
        <w:jc w:val="both"/>
      </w:pPr>
      <w:bookmarkStart w:id="547" w:name="bookmark547"/>
      <w:bookmarkStart w:id="548" w:name="bookmark548"/>
      <w:bookmarkStart w:id="549" w:name="bookmark549"/>
      <w:bookmarkStart w:id="550" w:name="bookmark550"/>
      <w:r>
        <w:rPr>
          <w:color w:val="000000"/>
          <w:spacing w:val="0"/>
          <w:w w:val="100"/>
          <w:position w:val="0"/>
        </w:rPr>
        <w:t>（</w:t>
      </w:r>
      <w:bookmarkEnd w:id="54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47"/>
      <w:bookmarkEnd w:id="548"/>
      <w:bookmarkEnd w:id="550"/>
    </w:p>
    <w:p>
      <w:pPr>
        <w:pStyle w:val="Style25"/>
        <w:keepNext w:val="0"/>
        <w:keepLines w:val="0"/>
        <w:widowControl w:val="0"/>
        <w:numPr>
          <w:ilvl w:val="0"/>
          <w:numId w:val="7"/>
        </w:numPr>
        <w:shd w:val="clear" w:color="auto" w:fill="auto"/>
        <w:tabs>
          <w:tab w:pos="323" w:val="left"/>
        </w:tabs>
        <w:bidi w:val="0"/>
        <w:spacing w:before="0" w:after="140" w:line="240" w:lineRule="auto"/>
        <w:ind w:left="0" w:right="0" w:firstLine="0"/>
        <w:jc w:val="both"/>
      </w:pPr>
      <w:bookmarkStart w:id="551" w:name="bookmark551"/>
      <w:bookmarkEnd w:id="55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38"/>
        <w:keepNext/>
        <w:keepLines/>
        <w:widowControl w:val="0"/>
        <w:shd w:val="clear" w:color="auto" w:fill="auto"/>
        <w:tabs>
          <w:tab w:pos="493" w:val="left"/>
        </w:tabs>
        <w:bidi w:val="0"/>
        <w:spacing w:before="0" w:line="240" w:lineRule="auto"/>
        <w:ind w:left="0" w:right="0" w:firstLine="0"/>
        <w:jc w:val="both"/>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52"/>
      <w:bookmarkEnd w:id="553"/>
      <w:bookmarkEnd w:id="555"/>
    </w:p>
    <w:p>
      <w:pPr>
        <w:pStyle w:val="Style25"/>
        <w:keepNext w:val="0"/>
        <w:keepLines w:val="0"/>
        <w:widowControl w:val="0"/>
        <w:numPr>
          <w:ilvl w:val="0"/>
          <w:numId w:val="7"/>
        </w:numPr>
        <w:shd w:val="clear" w:color="auto" w:fill="auto"/>
        <w:tabs>
          <w:tab w:pos="323" w:val="left"/>
        </w:tabs>
        <w:bidi w:val="0"/>
        <w:spacing w:before="0" w:after="140" w:line="240" w:lineRule="auto"/>
        <w:ind w:left="0" w:right="0" w:firstLine="0"/>
        <w:jc w:val="both"/>
      </w:pPr>
      <w:bookmarkStart w:id="556" w:name="bookmark556"/>
      <w:bookmarkEnd w:id="55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28"/>
        <w:keepNext/>
        <w:keepLines/>
        <w:widowControl w:val="0"/>
        <w:shd w:val="clear" w:color="auto" w:fill="auto"/>
        <w:tabs>
          <w:tab w:pos="378" w:val="left"/>
        </w:tabs>
        <w:bidi w:val="0"/>
        <w:spacing w:before="0" w:after="380" w:line="240" w:lineRule="auto"/>
        <w:ind w:left="0" w:right="0" w:firstLine="0"/>
        <w:jc w:val="both"/>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4</w:t>
      </w:r>
      <w:bookmarkEnd w:id="559"/>
      <w:r>
        <w:rPr>
          <w:color w:val="000000"/>
          <w:spacing w:val="0"/>
          <w:w w:val="100"/>
          <w:position w:val="0"/>
        </w:rPr>
        <w:t>、</w:t>
        <w:tab/>
        <w:t>其他重大合同</w:t>
      </w:r>
      <w:bookmarkEnd w:id="557"/>
      <w:bookmarkEnd w:id="558"/>
      <w:bookmarkEnd w:id="560"/>
    </w:p>
    <w:p>
      <w:pPr>
        <w:pStyle w:val="Style25"/>
        <w:keepNext w:val="0"/>
        <w:keepLines w:val="0"/>
        <w:widowControl w:val="0"/>
        <w:numPr>
          <w:ilvl w:val="0"/>
          <w:numId w:val="7"/>
        </w:numPr>
        <w:shd w:val="clear" w:color="auto" w:fill="auto"/>
        <w:tabs>
          <w:tab w:pos="323" w:val="left"/>
        </w:tabs>
        <w:bidi w:val="0"/>
        <w:spacing w:before="0" w:after="140" w:line="240" w:lineRule="auto"/>
        <w:ind w:left="0" w:right="0" w:firstLine="0"/>
        <w:jc w:val="both"/>
      </w:pPr>
      <w:bookmarkStart w:id="561" w:name="bookmark561"/>
      <w:bookmarkEnd w:id="56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both"/>
      </w:pPr>
      <w:bookmarkStart w:id="562" w:name="bookmark562"/>
      <w:bookmarkStart w:id="563" w:name="bookmark563"/>
      <w:bookmarkStart w:id="564" w:name="bookmark564"/>
      <w:r>
        <w:rPr>
          <w:color w:val="000000"/>
          <w:spacing w:val="0"/>
          <w:w w:val="100"/>
          <w:position w:val="0"/>
        </w:rPr>
        <w:t>十六、其他重大事项的说明</w:t>
      </w:r>
      <w:bookmarkEnd w:id="562"/>
      <w:bookmarkEnd w:id="563"/>
      <w:bookmarkEnd w:id="564"/>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tabs>
          <w:tab w:pos="853" w:val="left"/>
        </w:tabs>
        <w:bidi w:val="0"/>
        <w:spacing w:before="0" w:after="0" w:line="312" w:lineRule="exact"/>
        <w:ind w:left="0" w:right="0"/>
        <w:jc w:val="both"/>
      </w:pPr>
      <w:bookmarkStart w:id="565" w:name="bookmark565"/>
      <w:r>
        <w:rPr>
          <w:color w:val="000000"/>
          <w:spacing w:val="0"/>
          <w:w w:val="100"/>
          <w:position w:val="0"/>
        </w:rPr>
        <w:t>（</w:t>
      </w:r>
      <w:bookmarkEnd w:id="565"/>
      <w:r>
        <w:rPr>
          <w:color w:val="000000"/>
          <w:spacing w:val="0"/>
          <w:w w:val="100"/>
          <w:position w:val="0"/>
        </w:rPr>
        <w:t>一）</w:t>
        <w:tab/>
        <w:t>关于沈阳市区域人口健康信息平台</w:t>
      </w:r>
      <w:r>
        <w:rPr>
          <w:color w:val="000000"/>
          <w:spacing w:val="0"/>
          <w:w w:val="100"/>
          <w:position w:val="0"/>
          <w:sz w:val="18"/>
          <w:szCs w:val="18"/>
        </w:rPr>
        <w:t>PPP</w:t>
      </w:r>
      <w:r>
        <w:rPr>
          <w:color w:val="000000"/>
          <w:spacing w:val="0"/>
          <w:w w:val="100"/>
          <w:position w:val="0"/>
        </w:rPr>
        <w:t>项目实施进展情况</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日在巨潮资讯网发布了《关于收到</w:t>
      </w:r>
      <w:r>
        <w:rPr>
          <w:color w:val="000000"/>
          <w:spacing w:val="0"/>
          <w:w w:val="100"/>
          <w:position w:val="0"/>
          <w:sz w:val="18"/>
          <w:szCs w:val="18"/>
        </w:rPr>
        <w:t>PPP</w:t>
      </w:r>
      <w:r>
        <w:rPr>
          <w:color w:val="000000"/>
          <w:spacing w:val="0"/>
          <w:w w:val="100"/>
          <w:position w:val="0"/>
        </w:rPr>
        <w:t>项目成交通知书的公告》（公告编号：</w:t>
      </w:r>
      <w:r>
        <w:rPr>
          <w:color w:val="000000"/>
          <w:spacing w:val="0"/>
          <w:w w:val="100"/>
          <w:position w:val="0"/>
          <w:sz w:val="18"/>
          <w:szCs w:val="18"/>
        </w:rPr>
        <w:t>2017-011）</w:t>
      </w:r>
      <w:r>
        <w:rPr>
          <w:color w:val="000000"/>
          <w:spacing w:val="0"/>
          <w:w w:val="100"/>
          <w:position w:val="0"/>
          <w:sz w:val="18"/>
          <w:szCs w:val="18"/>
        </w:rPr>
        <w:t>，</w:t>
      </w:r>
      <w:r>
        <w:rPr>
          <w:color w:val="000000"/>
          <w:spacing w:val="0"/>
          <w:w w:val="100"/>
          <w:position w:val="0"/>
        </w:rPr>
        <w:t>公司与中 国联合网络通信有限公司沈阳市分公司被确定为沈阳市区域人口健康信息平台</w:t>
      </w:r>
      <w:r>
        <w:rPr>
          <w:color w:val="000000"/>
          <w:spacing w:val="0"/>
          <w:w w:val="100"/>
          <w:position w:val="0"/>
          <w:sz w:val="18"/>
          <w:szCs w:val="18"/>
        </w:rPr>
        <w:t>PPP</w:t>
      </w:r>
      <w:r>
        <w:rPr>
          <w:color w:val="000000"/>
          <w:spacing w:val="0"/>
          <w:w w:val="100"/>
          <w:position w:val="0"/>
        </w:rPr>
        <w:t>项目（项目编号</w:t>
      </w:r>
      <w:r>
        <w:rPr>
          <w:color w:val="000000"/>
          <w:spacing w:val="0"/>
          <w:w w:val="100"/>
          <w:position w:val="0"/>
          <w:sz w:val="18"/>
          <w:szCs w:val="18"/>
        </w:rPr>
        <w:t>CG16-00-1285</w:t>
      </w:r>
      <w:r>
        <w:rPr>
          <w:color w:val="000000"/>
          <w:spacing w:val="0"/>
          <w:w w:val="100"/>
          <w:position w:val="0"/>
        </w:rPr>
        <w:t>）的成交社 会资本，其中公司为该项目的联合体牵头方，中国联合网络通信有限公司沈阳市分公司为联合体成员。</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日，采 购人沈阳市卫生和计划生育委员会与上述联合体就沈阳市区域人口健康信息平台</w:t>
      </w:r>
      <w:r>
        <w:rPr>
          <w:color w:val="000000"/>
          <w:spacing w:val="0"/>
          <w:w w:val="100"/>
          <w:position w:val="0"/>
          <w:sz w:val="18"/>
          <w:szCs w:val="18"/>
        </w:rPr>
        <w:t>PPP</w:t>
      </w:r>
      <w:r>
        <w:rPr>
          <w:color w:val="000000"/>
          <w:spacing w:val="0"/>
          <w:w w:val="100"/>
          <w:position w:val="0"/>
        </w:rPr>
        <w:t>项目签署了《政府采购合同》，具体内 容详见公司于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日在巨潮资讯网披露的《关于签署</w:t>
      </w:r>
      <w:r>
        <w:rPr>
          <w:color w:val="000000"/>
          <w:spacing w:val="0"/>
          <w:w w:val="100"/>
          <w:position w:val="0"/>
          <w:sz w:val="18"/>
          <w:szCs w:val="18"/>
        </w:rPr>
        <w:t>PPP</w:t>
      </w:r>
      <w:r>
        <w:rPr>
          <w:color w:val="000000"/>
          <w:spacing w:val="0"/>
          <w:w w:val="100"/>
          <w:position w:val="0"/>
        </w:rPr>
        <w:t>项目合同的公告》（公告编号：</w:t>
      </w:r>
      <w:r>
        <w:rPr>
          <w:color w:val="000000"/>
          <w:spacing w:val="0"/>
          <w:w w:val="100"/>
          <w:position w:val="0"/>
          <w:sz w:val="18"/>
          <w:szCs w:val="18"/>
        </w:rPr>
        <w:t>2017-065）</w:t>
      </w:r>
      <w:r>
        <w:rPr>
          <w:color w:val="000000"/>
          <w:spacing w:val="0"/>
          <w:w w:val="100"/>
          <w:position w:val="0"/>
        </w:rPr>
        <w:t>。</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11 </w:t>
      </w:r>
      <w:r>
        <w:rPr>
          <w:color w:val="000000"/>
          <w:spacing w:val="0"/>
          <w:w w:val="100"/>
          <w:position w:val="0"/>
        </w:rPr>
        <w:t>日项目公司沈阳智享大健康信息科技有限公司注册成立。该平台于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月正式投入使用，目前进入第二年运营期。</w:t>
      </w:r>
    </w:p>
    <w:p>
      <w:pPr>
        <w:pStyle w:val="Style25"/>
        <w:keepNext w:val="0"/>
        <w:keepLines w:val="0"/>
        <w:widowControl w:val="0"/>
        <w:shd w:val="clear" w:color="auto" w:fill="auto"/>
        <w:tabs>
          <w:tab w:pos="853" w:val="left"/>
        </w:tabs>
        <w:bidi w:val="0"/>
        <w:spacing w:before="0" w:after="0" w:line="312" w:lineRule="exact"/>
        <w:ind w:left="0" w:right="0"/>
        <w:jc w:val="both"/>
      </w:pPr>
      <w:bookmarkStart w:id="566" w:name="bookmark566"/>
      <w:r>
        <w:rPr>
          <w:color w:val="000000"/>
          <w:spacing w:val="0"/>
          <w:w w:val="100"/>
          <w:position w:val="0"/>
        </w:rPr>
        <w:t>（</w:t>
      </w:r>
      <w:bookmarkEnd w:id="566"/>
      <w:r>
        <w:rPr>
          <w:color w:val="000000"/>
          <w:spacing w:val="0"/>
          <w:w w:val="100"/>
          <w:position w:val="0"/>
        </w:rPr>
        <w:t>二）</w:t>
        <w:tab/>
        <w:t>关于云南省华坪至丽江高速公路</w:t>
      </w:r>
      <w:r>
        <w:rPr>
          <w:color w:val="000000"/>
          <w:spacing w:val="0"/>
          <w:w w:val="100"/>
          <w:position w:val="0"/>
          <w:sz w:val="18"/>
          <w:szCs w:val="18"/>
        </w:rPr>
        <w:t>K0+000-K89+510</w:t>
      </w:r>
      <w:r>
        <w:rPr>
          <w:color w:val="000000"/>
          <w:spacing w:val="0"/>
          <w:w w:val="100"/>
          <w:position w:val="0"/>
        </w:rPr>
        <w:t>段机电工程施工</w:t>
      </w:r>
      <w:r>
        <w:rPr>
          <w:color w:val="000000"/>
          <w:spacing w:val="0"/>
          <w:w w:val="100"/>
          <w:position w:val="0"/>
          <w:sz w:val="18"/>
          <w:szCs w:val="18"/>
        </w:rPr>
        <w:t>DJ2</w:t>
      </w:r>
      <w:r>
        <w:rPr>
          <w:color w:val="000000"/>
          <w:spacing w:val="0"/>
          <w:w w:val="100"/>
          <w:position w:val="0"/>
        </w:rPr>
        <w:t>标段项目实施进展情况</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日在巨潮资讯网发布了《关于收到〈中标通知书＞的公告》（公告编号：</w:t>
      </w:r>
      <w:r>
        <w:rPr>
          <w:color w:val="000000"/>
          <w:spacing w:val="0"/>
          <w:w w:val="100"/>
          <w:position w:val="0"/>
          <w:sz w:val="18"/>
          <w:szCs w:val="18"/>
        </w:rPr>
        <w:t>2018-058）</w:t>
      </w:r>
      <w:r>
        <w:rPr>
          <w:color w:val="000000"/>
          <w:spacing w:val="0"/>
          <w:w w:val="100"/>
          <w:position w:val="0"/>
        </w:rPr>
        <w:t>公司中标“云南省 华坪至丽江高速公路</w:t>
      </w:r>
      <w:r>
        <w:rPr>
          <w:color w:val="000000"/>
          <w:spacing w:val="0"/>
          <w:w w:val="100"/>
          <w:position w:val="0"/>
          <w:sz w:val="18"/>
          <w:szCs w:val="18"/>
        </w:rPr>
        <w:t>K0+000-K89+510</w:t>
      </w:r>
      <w:r>
        <w:rPr>
          <w:color w:val="000000"/>
          <w:spacing w:val="0"/>
          <w:w w:val="100"/>
          <w:position w:val="0"/>
        </w:rPr>
        <w:t>段机电工程施工</w:t>
      </w:r>
      <w:r>
        <w:rPr>
          <w:color w:val="000000"/>
          <w:spacing w:val="0"/>
          <w:w w:val="100"/>
          <w:position w:val="0"/>
          <w:sz w:val="18"/>
          <w:szCs w:val="18"/>
        </w:rPr>
        <w:t>DJ2</w:t>
      </w:r>
      <w:r>
        <w:rPr>
          <w:color w:val="000000"/>
          <w:spacing w:val="0"/>
          <w:w w:val="100"/>
          <w:position w:val="0"/>
        </w:rPr>
        <w:t>标段”项目。</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月，公司与中国建筑股份有限公司云南华丽高 速公路建设指挥部签订了《云南省华坪至丽江高速公路</w:t>
      </w:r>
      <w:r>
        <w:rPr>
          <w:color w:val="000000"/>
          <w:spacing w:val="0"/>
          <w:w w:val="100"/>
          <w:position w:val="0"/>
          <w:sz w:val="18"/>
          <w:szCs w:val="18"/>
        </w:rPr>
        <w:t>K0+000-K89+51</w:t>
      </w:r>
      <w:r>
        <w:rPr>
          <w:color w:val="000000"/>
          <w:spacing w:val="0"/>
          <w:w w:val="100"/>
          <w:position w:val="0"/>
          <w:sz w:val="18"/>
          <w:szCs w:val="18"/>
        </w:rPr>
        <w:t>0</w:t>
      </w:r>
      <w:r>
        <w:rPr>
          <w:color w:val="000000"/>
          <w:spacing w:val="0"/>
          <w:w w:val="100"/>
          <w:position w:val="0"/>
        </w:rPr>
        <w:t>段机电工程施工</w:t>
      </w:r>
      <w:r>
        <w:rPr>
          <w:color w:val="000000"/>
          <w:spacing w:val="0"/>
          <w:w w:val="100"/>
          <w:position w:val="0"/>
          <w:sz w:val="18"/>
          <w:szCs w:val="18"/>
        </w:rPr>
        <w:t>DJ2</w:t>
      </w:r>
      <w:r>
        <w:rPr>
          <w:color w:val="000000"/>
          <w:spacing w:val="0"/>
          <w:w w:val="100"/>
          <w:position w:val="0"/>
        </w:rPr>
        <w:t>标段项目合同》，合同金额为人 民币</w:t>
      </w:r>
      <w:r>
        <w:rPr>
          <w:color w:val="000000"/>
          <w:spacing w:val="0"/>
          <w:w w:val="100"/>
          <w:position w:val="0"/>
          <w:sz w:val="18"/>
          <w:szCs w:val="18"/>
        </w:rPr>
        <w:t>27,580</w:t>
      </w:r>
      <w:r>
        <w:rPr>
          <w:color w:val="000000"/>
          <w:spacing w:val="0"/>
          <w:w w:val="100"/>
          <w:position w:val="0"/>
        </w:rPr>
        <w:t>万元。目前，该项目处于调试阶段，部分路段已通车。</w:t>
      </w:r>
    </w:p>
    <w:p>
      <w:pPr>
        <w:pStyle w:val="Style25"/>
        <w:keepNext w:val="0"/>
        <w:keepLines w:val="0"/>
        <w:widowControl w:val="0"/>
        <w:shd w:val="clear" w:color="auto" w:fill="auto"/>
        <w:tabs>
          <w:tab w:pos="853" w:val="left"/>
        </w:tabs>
        <w:bidi w:val="0"/>
        <w:spacing w:before="0" w:after="0" w:line="312" w:lineRule="exact"/>
        <w:ind w:left="0" w:right="0"/>
        <w:jc w:val="left"/>
      </w:pPr>
      <w:bookmarkStart w:id="567" w:name="bookmark567"/>
      <w:r>
        <w:rPr>
          <w:color w:val="000000"/>
          <w:spacing w:val="0"/>
          <w:w w:val="100"/>
          <w:position w:val="0"/>
        </w:rPr>
        <w:t>（</w:t>
      </w:r>
      <w:bookmarkEnd w:id="567"/>
      <w:r>
        <w:rPr>
          <w:color w:val="000000"/>
          <w:spacing w:val="0"/>
          <w:w w:val="100"/>
          <w:position w:val="0"/>
        </w:rPr>
        <w:t>三）</w:t>
        <w:tab/>
        <w:t>新建玉溪至磨憨铁路站房及生产生活房屋等相关工程</w:t>
      </w:r>
      <w:r>
        <w:rPr>
          <w:color w:val="000000"/>
          <w:spacing w:val="0"/>
          <w:w w:val="100"/>
          <w:position w:val="0"/>
          <w:sz w:val="18"/>
          <w:szCs w:val="18"/>
        </w:rPr>
        <w:t>Y MZF1B</w:t>
      </w:r>
      <w:r>
        <w:rPr>
          <w:color w:val="000000"/>
          <w:spacing w:val="0"/>
          <w:w w:val="100"/>
          <w:position w:val="0"/>
        </w:rPr>
        <w:t>标段项目进展情况</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日在巨潮资讯网发布了《关于收到〈中标通知书＞的公告》（公告编号：</w:t>
      </w:r>
      <w:r>
        <w:rPr>
          <w:color w:val="000000"/>
          <w:spacing w:val="0"/>
          <w:w w:val="100"/>
          <w:position w:val="0"/>
          <w:sz w:val="18"/>
          <w:szCs w:val="18"/>
        </w:rPr>
        <w:t>2020-029）</w:t>
      </w:r>
      <w:r>
        <w:rPr>
          <w:color w:val="000000"/>
          <w:spacing w:val="0"/>
          <w:w w:val="100"/>
          <w:position w:val="0"/>
        </w:rPr>
        <w:t>，公司与中铁建 工集团有限公司联合体中标了 “新建玉溪至磨憨铁路站房及生产生活房屋等相关工程</w:t>
      </w:r>
      <w:r>
        <w:rPr>
          <w:color w:val="000000"/>
          <w:spacing w:val="0"/>
          <w:w w:val="100"/>
          <w:position w:val="0"/>
          <w:sz w:val="18"/>
          <w:szCs w:val="18"/>
        </w:rPr>
        <w:t>Y MZF1B</w:t>
      </w:r>
      <w:r>
        <w:rPr>
          <w:color w:val="000000"/>
          <w:spacing w:val="0"/>
          <w:w w:val="100"/>
          <w:position w:val="0"/>
        </w:rPr>
        <w:t>标段”项目。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 公司与中国铁路昆明局集团有限公司滇南铁路建设指挥部签订了《新建玉溪至磨憨铁路站房及生产生活房屋等相关工程 </w:t>
      </w:r>
      <w:r>
        <w:rPr>
          <w:color w:val="000000"/>
          <w:spacing w:val="0"/>
          <w:w w:val="100"/>
          <w:position w:val="0"/>
          <w:sz w:val="18"/>
          <w:szCs w:val="18"/>
        </w:rPr>
        <w:t>YMZF1B</w:t>
      </w:r>
      <w:r>
        <w:rPr>
          <w:color w:val="000000"/>
          <w:spacing w:val="0"/>
          <w:w w:val="100"/>
          <w:position w:val="0"/>
        </w:rPr>
        <w:t>标段项目合同》，合同金额为人民币</w:t>
      </w:r>
      <w:r>
        <w:rPr>
          <w:color w:val="000000"/>
          <w:spacing w:val="0"/>
          <w:w w:val="100"/>
          <w:position w:val="0"/>
          <w:sz w:val="18"/>
          <w:szCs w:val="18"/>
        </w:rPr>
        <w:t>53,208, 857</w:t>
      </w:r>
      <w:r>
        <w:rPr>
          <w:color w:val="000000"/>
          <w:spacing w:val="0"/>
          <w:w w:val="100"/>
          <w:position w:val="0"/>
        </w:rPr>
        <w:t>元。该项目已于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月底通过验收，并已通车。</w:t>
      </w:r>
    </w:p>
    <w:p>
      <w:pPr>
        <w:pStyle w:val="Style25"/>
        <w:keepNext w:val="0"/>
        <w:keepLines w:val="0"/>
        <w:widowControl w:val="0"/>
        <w:shd w:val="clear" w:color="auto" w:fill="auto"/>
        <w:tabs>
          <w:tab w:pos="853" w:val="left"/>
        </w:tabs>
        <w:bidi w:val="0"/>
        <w:spacing w:before="0" w:after="0" w:line="312" w:lineRule="exact"/>
        <w:ind w:left="0" w:right="0"/>
        <w:jc w:val="both"/>
      </w:pPr>
      <w:bookmarkStart w:id="568" w:name="bookmark568"/>
      <w:r>
        <w:rPr>
          <w:color w:val="000000"/>
          <w:spacing w:val="0"/>
          <w:w w:val="100"/>
          <w:position w:val="0"/>
        </w:rPr>
        <w:t>（</w:t>
      </w:r>
      <w:bookmarkEnd w:id="568"/>
      <w:r>
        <w:rPr>
          <w:color w:val="000000"/>
          <w:spacing w:val="0"/>
          <w:w w:val="100"/>
          <w:position w:val="0"/>
        </w:rPr>
        <w:t>四）</w:t>
        <w:tab/>
        <w:t>关于公司更名的事项</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日召开了第五届董事会第十二次会议、</w:t>
      </w:r>
      <w:r>
        <w:rPr>
          <w:color w:val="000000"/>
          <w:spacing w:val="0"/>
          <w:w w:val="100"/>
          <w:position w:val="0"/>
          <w:sz w:val="18"/>
          <w:szCs w:val="18"/>
        </w:rPr>
        <w:t>2021</w:t>
      </w:r>
      <w:r>
        <w:rPr>
          <w:color w:val="000000"/>
          <w:spacing w:val="0"/>
          <w:w w:val="100"/>
          <w:position w:val="0"/>
        </w:rPr>
        <w:t>年第三次临时股东大会，会议审议通过了 《关于拟变更公司名称、证券简称暨修订〈公司章程〉的议案》并于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日完成工商变更登记事宜。具体内容详见公 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日在巨潮资讯网披露的《关于变更公司名称、证券简称暨完成工商变更登记的公告》（公告编号</w:t>
      </w:r>
      <w:r>
        <w:rPr>
          <w:color w:val="000000"/>
          <w:spacing w:val="0"/>
          <w:w w:val="100"/>
          <w:position w:val="0"/>
          <w:sz w:val="18"/>
          <w:szCs w:val="18"/>
        </w:rPr>
        <w:t>：2021-043）</w:t>
      </w:r>
      <w:r>
        <w:rPr>
          <w:color w:val="000000"/>
          <w:spacing w:val="0"/>
          <w:w w:val="100"/>
          <w:position w:val="0"/>
        </w:rPr>
        <w:t>。</w:t>
      </w:r>
    </w:p>
    <w:p>
      <w:pPr>
        <w:pStyle w:val="Style25"/>
        <w:keepNext w:val="0"/>
        <w:keepLines w:val="0"/>
        <w:widowControl w:val="0"/>
        <w:shd w:val="clear" w:color="auto" w:fill="auto"/>
        <w:tabs>
          <w:tab w:pos="853" w:val="left"/>
        </w:tabs>
        <w:bidi w:val="0"/>
        <w:spacing w:before="0" w:after="0" w:line="312" w:lineRule="exact"/>
        <w:ind w:left="0" w:right="0"/>
        <w:jc w:val="both"/>
      </w:pPr>
      <w:bookmarkStart w:id="569" w:name="bookmark569"/>
      <w:r>
        <w:rPr>
          <w:color w:val="000000"/>
          <w:spacing w:val="0"/>
          <w:w w:val="100"/>
          <w:position w:val="0"/>
        </w:rPr>
        <w:t>（</w:t>
      </w:r>
      <w:bookmarkEnd w:id="569"/>
      <w:r>
        <w:rPr>
          <w:color w:val="000000"/>
          <w:spacing w:val="0"/>
          <w:w w:val="100"/>
          <w:position w:val="0"/>
        </w:rPr>
        <w:t>五）</w:t>
        <w:tab/>
        <w:t>关于公司</w:t>
      </w:r>
      <w:r>
        <w:rPr>
          <w:color w:val="000000"/>
          <w:spacing w:val="0"/>
          <w:w w:val="100"/>
          <w:position w:val="0"/>
          <w:sz w:val="18"/>
          <w:szCs w:val="18"/>
        </w:rPr>
        <w:t>2021</w:t>
      </w:r>
      <w:r>
        <w:rPr>
          <w:color w:val="000000"/>
          <w:spacing w:val="0"/>
          <w:w w:val="100"/>
          <w:position w:val="0"/>
        </w:rPr>
        <w:t>年股票期权激励计划进展情况</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日召开了第五届董事会第十四次会议、</w:t>
      </w:r>
      <w:r>
        <w:rPr>
          <w:color w:val="000000"/>
          <w:spacing w:val="0"/>
          <w:w w:val="100"/>
          <w:position w:val="0"/>
          <w:sz w:val="18"/>
          <w:szCs w:val="18"/>
        </w:rPr>
        <w:t>2021</w:t>
      </w:r>
      <w:r>
        <w:rPr>
          <w:color w:val="000000"/>
          <w:spacing w:val="0"/>
          <w:w w:val="100"/>
          <w:position w:val="0"/>
        </w:rPr>
        <w:t>年第四次临时股东大会，会议审 议通过了《关于〈银江技术股份有限公司</w:t>
      </w:r>
      <w:r>
        <w:rPr>
          <w:color w:val="000000"/>
          <w:spacing w:val="0"/>
          <w:w w:val="100"/>
          <w:position w:val="0"/>
          <w:sz w:val="18"/>
          <w:szCs w:val="18"/>
        </w:rPr>
        <w:t>2021</w:t>
      </w:r>
      <w:r>
        <w:rPr>
          <w:color w:val="000000"/>
          <w:spacing w:val="0"/>
          <w:w w:val="100"/>
          <w:position w:val="0"/>
        </w:rPr>
        <w:t>年股票期权激励计划（草案）＞及其摘要的议案》、《关于〈银江技术股份有限 公司</w:t>
      </w:r>
      <w:r>
        <w:rPr>
          <w:color w:val="000000"/>
          <w:spacing w:val="0"/>
          <w:w w:val="100"/>
          <w:position w:val="0"/>
          <w:sz w:val="18"/>
          <w:szCs w:val="18"/>
        </w:rPr>
        <w:t>2021</w:t>
      </w:r>
      <w:r>
        <w:rPr>
          <w:color w:val="000000"/>
          <w:spacing w:val="0"/>
          <w:w w:val="100"/>
          <w:position w:val="0"/>
        </w:rPr>
        <w:t>年股票期权激励计划实施考核管理办法〉的议案》、《关于提请股东大会授权董事会办理公司</w:t>
      </w:r>
      <w:r>
        <w:rPr>
          <w:color w:val="000000"/>
          <w:spacing w:val="0"/>
          <w:w w:val="100"/>
          <w:position w:val="0"/>
          <w:sz w:val="18"/>
          <w:szCs w:val="18"/>
        </w:rPr>
        <w:t>2021</w:t>
      </w:r>
      <w:r>
        <w:rPr>
          <w:color w:val="000000"/>
          <w:spacing w:val="0"/>
          <w:w w:val="100"/>
          <w:position w:val="0"/>
        </w:rPr>
        <w:t>年股票期权激励 计划有关事项的议案》并于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日发布关于</w:t>
      </w:r>
      <w:r>
        <w:rPr>
          <w:color w:val="000000"/>
          <w:spacing w:val="0"/>
          <w:w w:val="100"/>
          <w:position w:val="0"/>
          <w:sz w:val="18"/>
          <w:szCs w:val="18"/>
        </w:rPr>
        <w:t>2021</w:t>
      </w:r>
      <w:r>
        <w:rPr>
          <w:color w:val="000000"/>
          <w:spacing w:val="0"/>
          <w:w w:val="100"/>
          <w:position w:val="0"/>
        </w:rPr>
        <w:t xml:space="preserve">年股票期权激励计划首次授予登记完成的公告。具体内容详见公司于 </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日在巨潮资讯网披露的《关于</w:t>
      </w:r>
      <w:r>
        <w:rPr>
          <w:color w:val="000000"/>
          <w:spacing w:val="0"/>
          <w:w w:val="100"/>
          <w:position w:val="0"/>
          <w:sz w:val="18"/>
          <w:szCs w:val="18"/>
        </w:rPr>
        <w:t>2021</w:t>
      </w:r>
      <w:r>
        <w:rPr>
          <w:color w:val="000000"/>
          <w:spacing w:val="0"/>
          <w:w w:val="100"/>
          <w:position w:val="0"/>
        </w:rPr>
        <w:t>年股票期权激励计划首次授予登记完成的公告》（公告编号：</w:t>
      </w:r>
      <w:r>
        <w:rPr>
          <w:color w:val="000000"/>
          <w:spacing w:val="0"/>
          <w:w w:val="100"/>
          <w:position w:val="0"/>
          <w:sz w:val="18"/>
          <w:szCs w:val="18"/>
        </w:rPr>
        <w:t>2022-001）</w:t>
      </w:r>
      <w:r>
        <w:rPr>
          <w:color w:val="000000"/>
          <w:spacing w:val="0"/>
          <w:w w:val="100"/>
          <w:position w:val="0"/>
        </w:rPr>
        <w:t>。</w:t>
      </w:r>
    </w:p>
    <w:p>
      <w:pPr>
        <w:pStyle w:val="Style25"/>
        <w:keepNext w:val="0"/>
        <w:keepLines w:val="0"/>
        <w:widowControl w:val="0"/>
        <w:shd w:val="clear" w:color="auto" w:fill="auto"/>
        <w:tabs>
          <w:tab w:pos="853" w:val="left"/>
        </w:tabs>
        <w:bidi w:val="0"/>
        <w:spacing w:before="0" w:after="0" w:line="312" w:lineRule="exact"/>
        <w:ind w:left="0" w:right="0"/>
        <w:jc w:val="both"/>
      </w:pPr>
      <w:bookmarkStart w:id="570" w:name="bookmark570"/>
      <w:r>
        <w:rPr>
          <w:color w:val="000000"/>
          <w:spacing w:val="0"/>
          <w:w w:val="100"/>
          <w:position w:val="0"/>
        </w:rPr>
        <w:t>（</w:t>
      </w:r>
      <w:bookmarkEnd w:id="570"/>
      <w:r>
        <w:rPr>
          <w:color w:val="000000"/>
          <w:spacing w:val="0"/>
          <w:w w:val="100"/>
          <w:position w:val="0"/>
        </w:rPr>
        <w:t>六）</w:t>
        <w:tab/>
        <w:t>关于处置亿邦国际股票进展情况</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日召开了第五届董事会第九次会议，审议通过了《关于授权公司管理层适时出售金融资产的议案》。 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 xml:space="preserve">日在巨潮资讯网披露的《关于授权公司管理层适时出售金融资产的公告》（公告编号： </w:t>
      </w:r>
      <w:r>
        <w:rPr>
          <w:color w:val="000000"/>
          <w:spacing w:val="0"/>
          <w:w w:val="100"/>
          <w:position w:val="0"/>
          <w:sz w:val="18"/>
          <w:szCs w:val="18"/>
        </w:rPr>
        <w:t>2021-007）</w:t>
      </w:r>
      <w:r>
        <w:rPr>
          <w:color w:val="000000"/>
          <w:spacing w:val="0"/>
          <w:w w:val="100"/>
          <w:position w:val="0"/>
        </w:rPr>
        <w:t>。截止</w:t>
      </w:r>
      <w:r>
        <w:rPr>
          <w:color w:val="000000"/>
          <w:spacing w:val="0"/>
          <w:w w:val="100"/>
          <w:position w:val="0"/>
          <w:sz w:val="18"/>
          <w:szCs w:val="18"/>
        </w:rPr>
        <w:t>2021</w:t>
      </w:r>
      <w:r>
        <w:rPr>
          <w:color w:val="000000"/>
          <w:spacing w:val="0"/>
          <w:w w:val="100"/>
          <w:position w:val="0"/>
        </w:rPr>
        <w:t>年底，公司共收到出售亿邦股权款</w:t>
      </w:r>
      <w:r>
        <w:rPr>
          <w:color w:val="000000"/>
          <w:spacing w:val="0"/>
          <w:w w:val="100"/>
          <w:position w:val="0"/>
          <w:sz w:val="18"/>
          <w:szCs w:val="18"/>
        </w:rPr>
        <w:t xml:space="preserve">9, </w:t>
      </w:r>
      <w:r>
        <w:rPr>
          <w:color w:val="000000"/>
          <w:spacing w:val="0"/>
          <w:w w:val="100"/>
          <w:position w:val="0"/>
          <w:sz w:val="18"/>
          <w:szCs w:val="18"/>
        </w:rPr>
        <w:t xml:space="preserve">627,296. </w:t>
      </w:r>
      <w:r>
        <w:rPr>
          <w:color w:val="000000"/>
          <w:spacing w:val="0"/>
          <w:w w:val="100"/>
          <w:position w:val="0"/>
          <w:sz w:val="18"/>
          <w:szCs w:val="18"/>
        </w:rPr>
        <w:t>19</w:t>
      </w:r>
      <w:r>
        <w:rPr>
          <w:color w:val="000000"/>
          <w:spacing w:val="0"/>
          <w:w w:val="100"/>
          <w:position w:val="0"/>
        </w:rPr>
        <w:t>美元，折合人民币</w:t>
      </w:r>
      <w:r>
        <w:rPr>
          <w:color w:val="000000"/>
          <w:spacing w:val="0"/>
          <w:w w:val="100"/>
          <w:position w:val="0"/>
          <w:sz w:val="18"/>
          <w:szCs w:val="18"/>
        </w:rPr>
        <w:t>61,725,187.21</w:t>
      </w:r>
      <w:r>
        <w:rPr>
          <w:color w:val="000000"/>
          <w:spacing w:val="0"/>
          <w:w w:val="100"/>
          <w:position w:val="0"/>
        </w:rPr>
        <w:t>元。</w:t>
      </w:r>
    </w:p>
    <w:p>
      <w:pPr>
        <w:pStyle w:val="Style21"/>
        <w:keepNext/>
        <w:keepLines/>
        <w:widowControl w:val="0"/>
        <w:shd w:val="clear" w:color="auto" w:fill="auto"/>
        <w:bidi w:val="0"/>
        <w:spacing w:before="0" w:after="380" w:line="240" w:lineRule="auto"/>
        <w:ind w:left="0" w:right="0" w:firstLine="0"/>
        <w:jc w:val="left"/>
      </w:pPr>
      <w:bookmarkStart w:id="571" w:name="bookmark571"/>
      <w:bookmarkStart w:id="572" w:name="bookmark572"/>
      <w:bookmarkStart w:id="573" w:name="bookmark573"/>
      <w:r>
        <w:rPr>
          <w:color w:val="000000"/>
          <w:spacing w:val="0"/>
          <w:w w:val="100"/>
          <w:position w:val="0"/>
        </w:rPr>
        <w:t>十七、公司子公司重大事项</w:t>
      </w:r>
      <w:bookmarkEnd w:id="571"/>
      <w:bookmarkEnd w:id="572"/>
      <w:bookmarkEnd w:id="573"/>
    </w:p>
    <w:p>
      <w:pPr>
        <w:pStyle w:val="Style25"/>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0"/>
        <w:keepNext/>
        <w:keepLines/>
        <w:widowControl w:val="0"/>
        <w:shd w:val="clear" w:color="auto" w:fill="auto"/>
        <w:bidi w:val="0"/>
        <w:spacing w:before="0" w:line="240" w:lineRule="auto"/>
        <w:ind w:left="0" w:right="0" w:firstLine="0"/>
        <w:jc w:val="center"/>
      </w:pPr>
      <w:bookmarkStart w:id="574" w:name="bookmark574"/>
      <w:bookmarkStart w:id="575" w:name="bookmark575"/>
      <w:bookmarkStart w:id="576" w:name="bookmark576"/>
      <w:r>
        <w:rPr>
          <w:color w:val="000000"/>
          <w:spacing w:val="0"/>
          <w:w w:val="100"/>
          <w:position w:val="0"/>
        </w:rPr>
        <w:t>第七节股份变动及股东情况</w:t>
      </w:r>
      <w:bookmarkEnd w:id="574"/>
      <w:bookmarkEnd w:id="575"/>
      <w:bookmarkEnd w:id="576"/>
    </w:p>
    <w:p>
      <w:pPr>
        <w:pStyle w:val="Style21"/>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一</w:t>
      </w:r>
      <w:bookmarkEnd w:id="579"/>
      <w:r>
        <w:rPr>
          <w:color w:val="000000"/>
          <w:spacing w:val="0"/>
          <w:w w:val="100"/>
          <w:position w:val="0"/>
        </w:rPr>
        <w:t>、股份变动情况</w:t>
      </w:r>
      <w:bookmarkEnd w:id="577"/>
      <w:bookmarkEnd w:id="578"/>
      <w:bookmarkEnd w:id="580"/>
    </w:p>
    <w:p>
      <w:pPr>
        <w:pStyle w:val="Style28"/>
        <w:keepNext/>
        <w:keepLines/>
        <w:widowControl w:val="0"/>
        <w:shd w:val="clear" w:color="auto" w:fill="auto"/>
        <w:bidi w:val="0"/>
        <w:spacing w:before="0" w:after="36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color w:val="000000"/>
          <w:spacing w:val="0"/>
          <w:w w:val="100"/>
          <w:position w:val="0"/>
        </w:rPr>
        <w:t>、股份变动情况</w:t>
      </w:r>
      <w:bookmarkEnd w:id="581"/>
      <w:bookmarkEnd w:id="582"/>
      <w:bookmarkEnd w:id="58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710"/>
        <w:gridCol w:w="850"/>
        <w:gridCol w:w="422"/>
        <w:gridCol w:w="1099"/>
        <w:gridCol w:w="744"/>
        <w:gridCol w:w="710"/>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28,500,321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28,616,623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28,500,321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28,616,623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627,288,765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627,172,463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627,288,765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627,172,463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655,789,086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655,789,086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8"/>
        <w:keepNext/>
        <w:keepLines/>
        <w:widowControl w:val="0"/>
        <w:shd w:val="clear" w:color="auto" w:fill="auto"/>
        <w:bidi w:val="0"/>
        <w:spacing w:before="0" w:after="360" w:line="240" w:lineRule="auto"/>
        <w:ind w:left="0" w:right="0" w:firstLine="0"/>
        <w:jc w:val="both"/>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、限售股份变动情况</w:t>
      </w:r>
      <w:bookmarkEnd w:id="585"/>
      <w:bookmarkEnd w:id="586"/>
      <w:bookmarkEnd w:id="588"/>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003"/>
        <w:gridCol w:w="989"/>
        <w:gridCol w:w="850"/>
        <w:gridCol w:w="994"/>
        <w:gridCol w:w="994"/>
        <w:gridCol w:w="1133"/>
        <w:gridCol w:w="362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王瑞慷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董事所持本公司股份每年按照其上年末持股 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予于锁定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花少富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董事所持本公司股份每年按照其上年末持股 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予于锁定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孔桦桦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高管所持本公司股份每年按照其上年末持股 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予于锁定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465,208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董事离职后半年内不能转让其所持有公司的 股票；董事所持本公司股份每年按照其上年末 持股总数的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予于锁定</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浙江浙商证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券资产管理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浙商资管持有的本公司</w:t>
            </w:r>
            <w:r>
              <w:rPr>
                <w:rFonts w:ascii="Times New Roman" w:eastAsia="Times New Roman" w:hAnsi="Times New Roman" w:cs="Times New Roman"/>
                <w:color w:val="000000"/>
                <w:spacing w:val="0"/>
                <w:w w:val="100"/>
                <w:position w:val="0"/>
                <w:sz w:val="18"/>
                <w:szCs w:val="18"/>
              </w:rPr>
              <w:t>27,813,840</w:t>
            </w:r>
            <w:r>
              <w:rPr>
                <w:color w:val="000000"/>
                <w:spacing w:val="0"/>
                <w:w w:val="100"/>
                <w:position w:val="0"/>
              </w:rPr>
              <w:t>股股份（占 公司股份总数的</w:t>
            </w:r>
            <w:r>
              <w:rPr>
                <w:rFonts w:ascii="Times New Roman" w:eastAsia="Times New Roman" w:hAnsi="Times New Roman" w:cs="Times New Roman"/>
                <w:color w:val="000000"/>
                <w:spacing w:val="0"/>
                <w:w w:val="100"/>
                <w:position w:val="0"/>
                <w:sz w:val="18"/>
                <w:szCs w:val="18"/>
              </w:rPr>
              <w:t>4.2413%</w:t>
            </w:r>
            <w:r>
              <w:rPr>
                <w:color w:val="000000"/>
                <w:spacing w:val="0"/>
                <w:w w:val="100"/>
                <w:position w:val="0"/>
              </w:rPr>
              <w:t>）性质尚为首发后限 售股，由于其中</w:t>
            </w:r>
            <w:r>
              <w:rPr>
                <w:rFonts w:ascii="Times New Roman" w:eastAsia="Times New Roman" w:hAnsi="Times New Roman" w:cs="Times New Roman"/>
                <w:color w:val="000000"/>
                <w:spacing w:val="0"/>
                <w:w w:val="100"/>
                <w:position w:val="0"/>
                <w:sz w:val="18"/>
                <w:szCs w:val="18"/>
              </w:rPr>
              <w:t>25,240,153</w:t>
            </w:r>
            <w:r>
              <w:rPr>
                <w:color w:val="000000"/>
                <w:spacing w:val="0"/>
                <w:w w:val="100"/>
                <w:position w:val="0"/>
              </w:rPr>
              <w:t>股系股东李欣与上 市公司有关的业绩对赌补偿承诺应回购注销 的股份，不符合解除限售条件。根据深交所规 则规定未履行相关承诺的股东转让其限售股 份的，该承诺具有延续性，承诺无法被承接的， 应履行法定程序变更或豁免。同时如履行法定 程序变更或豁免，最终能否通过公司董事会、 股东大会等法定程序存在较大的不确定性。该 部分股份最终能否解除限售需视其是否符合 相应法律法规的规定，且以法院及监管部门意 见为准。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28,500,321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28,616,623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both"/>
      </w:pPr>
      <w:bookmarkStart w:id="589" w:name="bookmark589"/>
      <w:bookmarkStart w:id="590" w:name="bookmark590"/>
      <w:bookmarkStart w:id="591" w:name="bookmark591"/>
      <w:bookmarkStart w:id="592" w:name="bookmark592"/>
      <w:r>
        <w:rPr>
          <w:color w:val="000000"/>
          <w:spacing w:val="0"/>
          <w:w w:val="100"/>
          <w:position w:val="0"/>
        </w:rPr>
        <w:t>二</w:t>
      </w:r>
      <w:bookmarkEnd w:id="591"/>
      <w:r>
        <w:rPr>
          <w:color w:val="000000"/>
          <w:spacing w:val="0"/>
          <w:w w:val="100"/>
          <w:position w:val="0"/>
        </w:rPr>
        <w:t>、证券发行与上市情况</w:t>
      </w:r>
      <w:bookmarkEnd w:id="589"/>
      <w:bookmarkEnd w:id="590"/>
      <w:bookmarkEnd w:id="592"/>
    </w:p>
    <w:p>
      <w:pPr>
        <w:pStyle w:val="Style28"/>
        <w:keepNext/>
        <w:keepLines/>
        <w:widowControl w:val="0"/>
        <w:shd w:val="clear" w:color="auto" w:fill="auto"/>
        <w:tabs>
          <w:tab w:pos="368" w:val="left"/>
        </w:tabs>
        <w:bidi w:val="0"/>
        <w:spacing w:before="0" w:after="360" w:line="240" w:lineRule="auto"/>
        <w:ind w:left="0" w:right="0" w:firstLine="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w:t>
        <w:tab/>
        <w:t>报告期内证券发行（不含优先股）情况</w:t>
      </w:r>
      <w:bookmarkEnd w:id="593"/>
      <w:bookmarkEnd w:id="594"/>
      <w:bookmarkEnd w:id="596"/>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both"/>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w:t>
        <w:tab/>
        <w:t>公司股份总数及股东结构的变动、公司资产和负债结构的变动情况说明</w:t>
      </w:r>
      <w:bookmarkEnd w:id="597"/>
      <w:bookmarkEnd w:id="598"/>
      <w:bookmarkEnd w:id="600"/>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3</w:t>
      </w:r>
      <w:bookmarkEnd w:id="603"/>
      <w:r>
        <w:rPr>
          <w:color w:val="000000"/>
          <w:spacing w:val="0"/>
          <w:w w:val="100"/>
          <w:position w:val="0"/>
        </w:rPr>
        <w:t>、现存的内部职工股情况</w:t>
      </w:r>
      <w:bookmarkEnd w:id="601"/>
      <w:bookmarkEnd w:id="602"/>
      <w:bookmarkEnd w:id="60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三</w:t>
      </w:r>
      <w:bookmarkEnd w:id="607"/>
      <w:r>
        <w:rPr>
          <w:color w:val="000000"/>
          <w:spacing w:val="0"/>
          <w:w w:val="100"/>
          <w:position w:val="0"/>
        </w:rPr>
        <w:t>、股东和实际控制人情况</w:t>
      </w:r>
      <w:bookmarkEnd w:id="605"/>
      <w:bookmarkEnd w:id="606"/>
      <w:bookmarkEnd w:id="608"/>
    </w:p>
    <w:p>
      <w:pPr>
        <w:pStyle w:val="Style28"/>
        <w:keepNext/>
        <w:keepLines/>
        <w:widowControl w:val="0"/>
        <w:shd w:val="clear" w:color="auto" w:fill="auto"/>
        <w:bidi w:val="0"/>
        <w:spacing w:before="0" w:after="38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、公司股东数量及持股情况</w:t>
      </w:r>
      <w:bookmarkEnd w:id="609"/>
      <w:bookmarkEnd w:id="610"/>
      <w:bookmarkEnd w:id="61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86"/>
        <w:gridCol w:w="422"/>
        <w:gridCol w:w="264"/>
        <w:gridCol w:w="730"/>
        <w:gridCol w:w="566"/>
        <w:gridCol w:w="283"/>
        <w:gridCol w:w="427"/>
        <w:gridCol w:w="566"/>
        <w:gridCol w:w="994"/>
        <w:gridCol w:w="422"/>
        <w:gridCol w:w="710"/>
        <w:gridCol w:w="1133"/>
        <w:gridCol w:w="144"/>
        <w:gridCol w:w="422"/>
        <w:gridCol w:w="283"/>
        <w:gridCol w:w="710"/>
        <w:gridCol w:w="221"/>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47,729</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报告期末表决权恢 复的优先股股东总 数（如有）（参见注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持有特别表 决权股份的 股东总数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8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jc w:val="left"/>
            </w:pPr>
            <w:r>
              <w:rPr>
                <w:color w:val="000000"/>
                <w:spacing w:val="0"/>
                <w:w w:val="100"/>
                <w:position w:val="0"/>
              </w:rPr>
              <w:t>数量</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银江科技集团有限公 司</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15.40%</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100,964,013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-19,635,487</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100,964,013</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91,950,000</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14,832,813</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浙江浙商证券资产管 理有限公司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22,728,065</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张明华</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4,558,501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4,558,501</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上海子午投资管理有 限公司一子午涵瑞</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号私募证券投资基金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4,558,104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+4,558,104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4,558,104</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王际勇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3,497,900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3,497,900</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李昀</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2,950,093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+1,253,793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2,950,093</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2,256,760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2,256,760</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陈福元</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2,105,000</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钱小鸿</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2,055,460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2,055,460</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名股东中，银江科技集团有限公司是本公司的控股股东；刘健是实际控制人王辉的夫 人。除此之外，公司其他前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名股东之间，未知是否存在关联，钱小鸿为公司控股股东银江科 技集团有限公司股东。除此之外，也未知是否属于一致行动人。</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1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8" w:hRule="exact"/>
        </w:trPr>
        <w:tc>
          <w:tcPr>
            <w:gridSpan w:val="1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3110" w:val="left"/>
                <w:tab w:pos="5558" w:val="left"/>
              </w:tabs>
              <w:bidi w:val="0"/>
              <w:spacing w:before="0" w:after="0" w:line="240" w:lineRule="auto"/>
              <w:ind w:left="0" w:right="0" w:firstLine="0"/>
              <w:jc w:val="center"/>
            </w:pPr>
            <w:r>
              <w:rPr>
                <w:color w:val="000000"/>
                <w:spacing w:val="0"/>
                <w:w w:val="100"/>
                <w:position w:val="0"/>
              </w:rPr>
              <w:t>股东名称</w:t>
              <w:tab/>
              <w:t>报告期末持有无限</w:t>
              <w:tab/>
              <w:t>股份种类</w:t>
            </w:r>
          </w:p>
        </w:tc>
      </w:tr>
    </w:tbl>
    <w:p>
      <w:pPr>
        <w:spacing w:lineRule="exact" w:line="1"/>
        <w:rPr>
          <w:sz w:val="2"/>
          <w:szCs w:val="2"/>
        </w:rPr>
      </w:pPr>
      <w:r>
        <w:br w:type="page"/>
      </w:r>
    </w:p>
    <w:tbl>
      <w:tblPr>
        <w:tblOverlap w:val="never"/>
        <w:jc w:val="center"/>
        <w:tblLayout w:type="fixed"/>
      </w:tblPr>
      <w:tblGrid>
        <w:gridCol w:w="1973"/>
        <w:gridCol w:w="3422"/>
        <w:gridCol w:w="1560"/>
        <w:gridCol w:w="1416"/>
        <w:gridCol w:w="1214"/>
      </w:tblGrid>
      <w:tr>
        <w:trPr>
          <w:trHeight w:val="403" w:hRule="exact"/>
        </w:trPr>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售条件股份数量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100,964,013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100,964,013</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22,728,065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4,558,501</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上海子午投资管理有限公司一子午涵瑞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4,558,104</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王际勇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3,497,900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2,950,093</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2,256,760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陈福元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钱小鸿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2,055,460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1,877,820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名股东中，银江科技集团有限公司是本公司的控股股东；刘健是实际控制人王辉的夫 人。除此之外，公司其他前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名股东之间，未知是否存在关联，钱小鸿历任为公司董事、副总 经理、财务总监。除此之外，也未知是否属于一致行动人。</w:t>
            </w:r>
          </w:p>
        </w:tc>
      </w:tr>
      <w:tr>
        <w:trPr>
          <w:trHeight w:val="478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在公司上述股东中，银江科技集团有限公司、陈文生、张明华、上海子午投资管理有限公司一子 午涵瑞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号私募证券投资基金、王际勇、李昀、陈福元是融资融券投资者信用账户股东。公司股 东银江科技集团有限公司除通过普通证券账户持有</w:t>
            </w:r>
            <w:r>
              <w:rPr>
                <w:rFonts w:ascii="Times New Roman" w:eastAsia="Times New Roman" w:hAnsi="Times New Roman" w:cs="Times New Roman"/>
                <w:color w:val="000000"/>
                <w:spacing w:val="0"/>
                <w:w w:val="100"/>
                <w:position w:val="0"/>
                <w:sz w:val="18"/>
                <w:szCs w:val="18"/>
              </w:rPr>
              <w:t>93,163,782</w:t>
            </w:r>
            <w:r>
              <w:rPr>
                <w:color w:val="000000"/>
                <w:spacing w:val="0"/>
                <w:w w:val="100"/>
                <w:position w:val="0"/>
              </w:rPr>
              <w:t>股外，还通过渤海证券股份有限公 司客户信用交易担保证券账户持有</w:t>
            </w:r>
            <w:r>
              <w:rPr>
                <w:rFonts w:ascii="Times New Roman" w:eastAsia="Times New Roman" w:hAnsi="Times New Roman" w:cs="Times New Roman"/>
                <w:color w:val="000000"/>
                <w:spacing w:val="0"/>
                <w:w w:val="100"/>
                <w:position w:val="0"/>
                <w:sz w:val="18"/>
                <w:szCs w:val="18"/>
              </w:rPr>
              <w:t>7,800,231</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100,964,013</w:t>
            </w:r>
            <w:r>
              <w:rPr>
                <w:color w:val="000000"/>
                <w:spacing w:val="0"/>
                <w:w w:val="100"/>
                <w:position w:val="0"/>
              </w:rPr>
              <w:t>股；公司股东陈文生 除通过普通证券账户持有</w:t>
            </w:r>
            <w:r>
              <w:rPr>
                <w:rFonts w:ascii="Times New Roman" w:eastAsia="Times New Roman" w:hAnsi="Times New Roman" w:cs="Times New Roman"/>
                <w:color w:val="000000"/>
                <w:spacing w:val="0"/>
                <w:w w:val="100"/>
                <w:position w:val="0"/>
                <w:sz w:val="18"/>
                <w:szCs w:val="18"/>
              </w:rPr>
              <w:t>976,9401</w:t>
            </w:r>
            <w:r>
              <w:rPr>
                <w:color w:val="000000"/>
                <w:spacing w:val="0"/>
                <w:w w:val="100"/>
                <w:position w:val="0"/>
              </w:rPr>
              <w:t>股外，还通过国泰君安证券股份有限公司客户信用交易担保证 券账户持有</w:t>
            </w:r>
            <w:r>
              <w:rPr>
                <w:rFonts w:ascii="Times New Roman" w:eastAsia="Times New Roman" w:hAnsi="Times New Roman" w:cs="Times New Roman"/>
                <w:color w:val="000000"/>
                <w:spacing w:val="0"/>
                <w:w w:val="100"/>
                <w:position w:val="0"/>
                <w:sz w:val="18"/>
                <w:szCs w:val="18"/>
              </w:rPr>
              <w:t>12,958,664</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22,728,065</w:t>
            </w:r>
            <w:r>
              <w:rPr>
                <w:color w:val="000000"/>
                <w:spacing w:val="0"/>
                <w:w w:val="100"/>
                <w:position w:val="0"/>
              </w:rPr>
              <w:t xml:space="preserve">股；公司股东张明华通过普通证券账户持有 </w:t>
            </w:r>
            <w:r>
              <w:rPr>
                <w:rFonts w:ascii="Times New Roman" w:eastAsia="Times New Roman" w:hAnsi="Times New Roman" w:cs="Times New Roman"/>
                <w:color w:val="000000"/>
                <w:spacing w:val="0"/>
                <w:w w:val="100"/>
                <w:position w:val="0"/>
                <w:sz w:val="18"/>
                <w:szCs w:val="18"/>
              </w:rPr>
              <w:t>8,900</w:t>
            </w:r>
            <w:r>
              <w:rPr>
                <w:color w:val="000000"/>
                <w:spacing w:val="0"/>
                <w:w w:val="100"/>
                <w:position w:val="0"/>
              </w:rPr>
              <w:t>股，还通过东吴证券股份有限公司客户信用交易担保证券账户持有</w:t>
            </w:r>
            <w:r>
              <w:rPr>
                <w:rFonts w:ascii="Times New Roman" w:eastAsia="Times New Roman" w:hAnsi="Times New Roman" w:cs="Times New Roman"/>
                <w:color w:val="000000"/>
                <w:spacing w:val="0"/>
                <w:w w:val="100"/>
                <w:position w:val="0"/>
                <w:sz w:val="18"/>
                <w:szCs w:val="18"/>
              </w:rPr>
              <w:t>4,549,601</w:t>
            </w:r>
            <w:r>
              <w:rPr>
                <w:color w:val="000000"/>
                <w:spacing w:val="0"/>
                <w:w w:val="100"/>
                <w:position w:val="0"/>
              </w:rPr>
              <w:t>股，实际合计 持有</w:t>
            </w:r>
            <w:r>
              <w:rPr>
                <w:rFonts w:ascii="Times New Roman" w:eastAsia="Times New Roman" w:hAnsi="Times New Roman" w:cs="Times New Roman"/>
                <w:color w:val="000000"/>
                <w:spacing w:val="0"/>
                <w:w w:val="100"/>
                <w:position w:val="0"/>
                <w:sz w:val="18"/>
                <w:szCs w:val="18"/>
              </w:rPr>
              <w:t>4,558,501</w:t>
            </w:r>
            <w:r>
              <w:rPr>
                <w:color w:val="000000"/>
                <w:spacing w:val="0"/>
                <w:w w:val="100"/>
                <w:position w:val="0"/>
              </w:rPr>
              <w:t>股；公司股东上海子午投资管理有限公司一子午涵瑞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号私募证券投资基金通过 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股，仅通过国泰君安证券股份有限公司客户信用交易担保证券账户持有 </w:t>
            </w:r>
            <w:r>
              <w:rPr>
                <w:rFonts w:ascii="Times New Roman" w:eastAsia="Times New Roman" w:hAnsi="Times New Roman" w:cs="Times New Roman"/>
                <w:color w:val="000000"/>
                <w:spacing w:val="0"/>
                <w:w w:val="100"/>
                <w:position w:val="0"/>
                <w:sz w:val="18"/>
                <w:szCs w:val="18"/>
              </w:rPr>
              <w:t>4,558,104</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4,558,104</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公司股东王际勇除通过普通证券账户持有</w:t>
            </w:r>
            <w:r>
              <w:rPr>
                <w:rFonts w:ascii="Times New Roman" w:eastAsia="Times New Roman" w:hAnsi="Times New Roman" w:cs="Times New Roman"/>
                <w:color w:val="000000"/>
                <w:spacing w:val="0"/>
                <w:w w:val="100"/>
                <w:position w:val="0"/>
                <w:sz w:val="18"/>
                <w:szCs w:val="18"/>
              </w:rPr>
              <w:t>1,917,900</w:t>
            </w:r>
            <w:r>
              <w:rPr>
                <w:color w:val="000000"/>
                <w:spacing w:val="0"/>
                <w:w w:val="100"/>
                <w:position w:val="0"/>
              </w:rPr>
              <w:t>股 外，还通过东兴证券股份有限公司客户信用交易担保证券账户持有</w:t>
            </w:r>
            <w:r>
              <w:rPr>
                <w:rFonts w:ascii="Times New Roman" w:eastAsia="Times New Roman" w:hAnsi="Times New Roman" w:cs="Times New Roman"/>
                <w:color w:val="000000"/>
                <w:spacing w:val="0"/>
                <w:w w:val="100"/>
                <w:position w:val="0"/>
                <w:sz w:val="18"/>
                <w:szCs w:val="18"/>
              </w:rPr>
              <w:t>1,580,000</w:t>
            </w:r>
            <w:r>
              <w:rPr>
                <w:color w:val="000000"/>
                <w:spacing w:val="0"/>
                <w:w w:val="100"/>
                <w:position w:val="0"/>
              </w:rPr>
              <w:t xml:space="preserve">股，实际合计持有 </w:t>
            </w:r>
            <w:r>
              <w:rPr>
                <w:rFonts w:ascii="Times New Roman" w:eastAsia="Times New Roman" w:hAnsi="Times New Roman" w:cs="Times New Roman"/>
                <w:color w:val="000000"/>
                <w:spacing w:val="0"/>
                <w:w w:val="100"/>
                <w:position w:val="0"/>
                <w:sz w:val="18"/>
                <w:szCs w:val="18"/>
              </w:rPr>
              <w:t>3,497,900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公司股东李昀通过普通证券账户持有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股，仅通过中国银河证券股份有限公司客户 信用交易担保证券账户持有</w:t>
            </w:r>
            <w:r>
              <w:rPr>
                <w:rFonts w:ascii="Times New Roman" w:eastAsia="Times New Roman" w:hAnsi="Times New Roman" w:cs="Times New Roman"/>
                <w:color w:val="000000"/>
                <w:spacing w:val="0"/>
                <w:w w:val="100"/>
                <w:position w:val="0"/>
                <w:sz w:val="18"/>
                <w:szCs w:val="18"/>
              </w:rPr>
              <w:t>2,950,093</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2,950,093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公司股东陈福元通过普通证 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股，仅通过光大证券股份有限公司客户信用交易担保证券账户持有</w:t>
            </w:r>
            <w:r>
              <w:rPr>
                <w:rFonts w:ascii="Times New Roman" w:eastAsia="Times New Roman" w:hAnsi="Times New Roman" w:cs="Times New Roman"/>
                <w:color w:val="000000"/>
                <w:spacing w:val="0"/>
                <w:w w:val="100"/>
                <w:position w:val="0"/>
                <w:sz w:val="18"/>
                <w:szCs w:val="18"/>
              </w:rPr>
              <w:t>2,105,000</w:t>
            </w:r>
            <w:r>
              <w:rPr>
                <w:color w:val="000000"/>
                <w:spacing w:val="0"/>
                <w:w w:val="100"/>
                <w:position w:val="0"/>
              </w:rPr>
              <w:t>股， 实际合计持有</w:t>
            </w:r>
            <w:r>
              <w:rPr>
                <w:rFonts w:ascii="Times New Roman" w:eastAsia="Times New Roman" w:hAnsi="Times New Roman" w:cs="Times New Roman"/>
                <w:color w:val="000000"/>
                <w:spacing w:val="0"/>
                <w:w w:val="100"/>
                <w:position w:val="0"/>
                <w:sz w:val="18"/>
                <w:szCs w:val="18"/>
              </w:rPr>
              <w:t>2,105,000</w:t>
            </w:r>
            <w:r>
              <w:rPr>
                <w:color w:val="000000"/>
                <w:spacing w:val="0"/>
                <w:w w:val="100"/>
                <w:position w:val="0"/>
              </w:rPr>
              <w:t>股。</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38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、公司控股股东情况</w:t>
      </w:r>
      <w:bookmarkEnd w:id="613"/>
      <w:bookmarkEnd w:id="614"/>
      <w:bookmarkEnd w:id="61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992"/>
        <w:gridCol w:w="1138"/>
        <w:gridCol w:w="1555"/>
        <w:gridCol w:w="994"/>
        <w:gridCol w:w="39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组织机构代 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75193874-5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许可经营项目：无。一般经营项目：高科技产业 投资开发；资产管理；信息咨询服务，印刷产品 及设备、塑料制品及原料的销售，经营进出口业 务。（上述经营范围不含国家法律法规禁止、限制 和许可经营的项目。）</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24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3</w:t>
      </w:r>
      <w:bookmarkEnd w:id="619"/>
      <w:r>
        <w:rPr>
          <w:color w:val="000000"/>
          <w:spacing w:val="0"/>
          <w:w w:val="100"/>
          <w:position w:val="0"/>
        </w:rPr>
        <w:t>、公司实际控制人及其一致行动人</w:t>
      </w:r>
      <w:bookmarkEnd w:id="617"/>
      <w:bookmarkEnd w:id="618"/>
      <w:bookmarkEnd w:id="620"/>
    </w:p>
    <w:p>
      <w:pPr>
        <w:pStyle w:val="Style25"/>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1992"/>
        <w:gridCol w:w="3686"/>
        <w:gridCol w:w="1507"/>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控股股东银江科技集团有限公司股东</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 外上市公司情况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218305" cy="17252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218305" cy="1725295"/>
                    </a:xfrm>
                    <a:prstGeom prst="rect"/>
                  </pic:spPr>
                </pic:pic>
              </a:graphicData>
            </a:graphic>
          </wp:inline>
        </w:drawing>
      </w:r>
    </w:p>
    <w:p>
      <w:pPr>
        <w:widowControl w:val="0"/>
        <w:spacing w:after="2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4</w:t>
      </w:r>
      <w:bookmarkEnd w:id="623"/>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1"/>
      <w:bookmarkEnd w:id="622"/>
      <w:bookmarkEnd w:id="624"/>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1190"/>
        <w:gridCol w:w="1200"/>
        <w:gridCol w:w="1200"/>
        <w:gridCol w:w="1195"/>
        <w:gridCol w:w="1200"/>
        <w:gridCol w:w="1195"/>
        <w:gridCol w:w="12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股票质押融资 总额（万元）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偿还期限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还款资金来源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是否存在偿债 或平仓风险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是否影响公司 控制权稳定</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67,187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生产经营所需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8"/>
        <w:keepNext/>
        <w:keepLines/>
        <w:widowControl w:val="0"/>
        <w:shd w:val="clear" w:color="auto" w:fill="auto"/>
        <w:tabs>
          <w:tab w:pos="378" w:val="left"/>
        </w:tabs>
        <w:bidi w:val="0"/>
        <w:spacing w:before="0" w:after="380" w:line="240" w:lineRule="auto"/>
        <w:ind w:left="0" w:right="0" w:firstLine="0"/>
        <w:jc w:val="both"/>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5</w:t>
      </w:r>
      <w:bookmarkEnd w:id="62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5"/>
      <w:bookmarkEnd w:id="626"/>
      <w:bookmarkEnd w:id="628"/>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both"/>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6</w:t>
      </w:r>
      <w:bookmarkEnd w:id="631"/>
      <w:r>
        <w:rPr>
          <w:color w:val="000000"/>
          <w:spacing w:val="0"/>
          <w:w w:val="100"/>
          <w:position w:val="0"/>
        </w:rPr>
        <w:t>、</w:t>
        <w:tab/>
        <w:t>控股股东、实际控制人、重组方及其他承诺主体股份限制减持情况</w:t>
      </w:r>
      <w:bookmarkEnd w:id="629"/>
      <w:bookmarkEnd w:id="630"/>
      <w:bookmarkEnd w:id="632"/>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both"/>
      </w:pPr>
      <w:bookmarkStart w:id="633" w:name="bookmark633"/>
      <w:bookmarkStart w:id="634" w:name="bookmark634"/>
      <w:bookmarkStart w:id="635" w:name="bookmark635"/>
      <w:bookmarkStart w:id="636" w:name="bookmark636"/>
      <w:r>
        <w:rPr>
          <w:color w:val="000000"/>
          <w:spacing w:val="0"/>
          <w:w w:val="100"/>
          <w:position w:val="0"/>
        </w:rPr>
        <w:t>四</w:t>
      </w:r>
      <w:bookmarkEnd w:id="635"/>
      <w:r>
        <w:rPr>
          <w:color w:val="000000"/>
          <w:spacing w:val="0"/>
          <w:w w:val="100"/>
          <w:position w:val="0"/>
        </w:rPr>
        <w:t>、股份回购在报告期的具体实施情况</w:t>
      </w:r>
      <w:bookmarkEnd w:id="633"/>
      <w:bookmarkEnd w:id="634"/>
      <w:bookmarkEnd w:id="636"/>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25"/>
        <w:keepNext w:val="0"/>
        <w:keepLines w:val="0"/>
        <w:widowControl w:val="0"/>
        <w:numPr>
          <w:ilvl w:val="0"/>
          <w:numId w:val="7"/>
        </w:numPr>
        <w:shd w:val="clear" w:color="auto" w:fill="auto"/>
        <w:tabs>
          <w:tab w:pos="282" w:val="left"/>
        </w:tabs>
        <w:bidi w:val="0"/>
        <w:spacing w:before="0" w:after="140" w:line="240" w:lineRule="auto"/>
        <w:ind w:left="0" w:right="0" w:firstLine="0"/>
        <w:jc w:val="both"/>
      </w:pPr>
      <w:bookmarkStart w:id="637" w:name="bookmark637"/>
      <w:bookmarkEnd w:id="63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5"/>
        <w:keepNext w:val="0"/>
        <w:keepLines w:val="0"/>
        <w:widowControl w:val="0"/>
        <w:numPr>
          <w:ilvl w:val="0"/>
          <w:numId w:val="7"/>
        </w:numPr>
        <w:shd w:val="clear" w:color="auto" w:fill="auto"/>
        <w:tabs>
          <w:tab w:pos="282" w:val="left"/>
        </w:tabs>
        <w:bidi w:val="0"/>
        <w:spacing w:before="0" w:after="380" w:line="240" w:lineRule="auto"/>
        <w:ind w:left="0" w:right="0" w:firstLine="0"/>
        <w:jc w:val="both"/>
        <w:sectPr>
          <w:footnotePr>
            <w:pos w:val="pageBottom"/>
            <w:numFmt w:val="decimal"/>
            <w:numRestart w:val="continuous"/>
          </w:footnotePr>
          <w:pgSz w:w="11900" w:h="16840"/>
          <w:pgMar w:top="1388" w:right="1073" w:bottom="1441" w:left="1049" w:header="0" w:footer="3" w:gutter="0"/>
          <w:cols w:space="720"/>
          <w:noEndnote/>
          <w:rtlGutter w:val="0"/>
          <w:docGrid w:linePitch="360"/>
        </w:sectPr>
      </w:pPr>
      <w:bookmarkStart w:id="638" w:name="bookmark638"/>
      <w:bookmarkEnd w:id="63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639" w:name="bookmark639"/>
                            <w:bookmarkStart w:id="640" w:name="bookmark640"/>
                            <w:bookmarkStart w:id="641" w:name="bookmark641"/>
                            <w:r>
                              <w:rPr>
                                <w:color w:val="000000"/>
                                <w:spacing w:val="0"/>
                                <w:w w:val="100"/>
                                <w:position w:val="0"/>
                              </w:rPr>
                              <w:t>第八节优先股相关情况</w:t>
                            </w:r>
                            <w:bookmarkEnd w:id="639"/>
                            <w:bookmarkEnd w:id="640"/>
                            <w:bookmarkEnd w:id="641"/>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639" w:name="bookmark639"/>
                      <w:bookmarkStart w:id="640" w:name="bookmark640"/>
                      <w:bookmarkStart w:id="641" w:name="bookmark641"/>
                      <w:r>
                        <w:rPr>
                          <w:color w:val="000000"/>
                          <w:spacing w:val="0"/>
                          <w:w w:val="100"/>
                          <w:position w:val="0"/>
                        </w:rPr>
                        <w:t>第八节优先股相关情况</w:t>
                      </w:r>
                      <w:bookmarkEnd w:id="639"/>
                      <w:bookmarkEnd w:id="640"/>
                      <w:bookmarkEnd w:id="641"/>
                    </w:p>
                  </w:txbxContent>
                </v:textbox>
                <w10:wrap type="topAndBottom" anchorx="page"/>
              </v:shape>
            </w:pict>
          </mc:Fallback>
        </mc:AlternateConten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86" w:bottom="1162" w:left="1114" w:header="0" w:footer="3" w:gutter="0"/>
          <w:cols w:space="720"/>
          <w:noEndnote/>
          <w:rtlGutter w:val="0"/>
          <w:docGrid w:linePitch="360"/>
        </w:sectPr>
      </w:pPr>
    </w:p>
    <w:p>
      <w:pPr>
        <w:pStyle w:val="Style25"/>
        <w:keepNext w:val="0"/>
        <w:keepLines w:val="0"/>
        <w:framePr w:w="1416" w:h="259" w:wrap="none" w:vAnchor="text" w:hAnchor="page" w:x="1115" w:y="9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42" w:name="bookmark642"/>
      <w:bookmarkStart w:id="643" w:name="bookmark643"/>
      <w:bookmarkStart w:id="644" w:name="bookmark644"/>
      <w:r>
        <w:rPr>
          <w:color w:val="000000"/>
          <w:spacing w:val="0"/>
          <w:w w:val="100"/>
          <w:position w:val="0"/>
        </w:rPr>
        <w:t>第九节债券相关情况</w:t>
      </w:r>
      <w:bookmarkEnd w:id="642"/>
      <w:bookmarkEnd w:id="643"/>
      <w:bookmarkEnd w:id="644"/>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86" w:bottom="1162" w:left="1114" w:header="0" w:footer="3" w:gutter="0"/>
          <w:cols w:space="720"/>
          <w:noEndnote/>
          <w:rtlGutter w:val="0"/>
          <w:docGrid w:linePitch="360"/>
        </w:sectPr>
      </w:pPr>
    </w:p>
    <w:p>
      <w:pPr>
        <w:pStyle w:val="Style10"/>
        <w:keepNext/>
        <w:keepLines/>
        <w:widowControl w:val="0"/>
        <w:shd w:val="clear" w:color="auto" w:fill="auto"/>
        <w:bidi w:val="0"/>
        <w:spacing w:before="560" w:after="540" w:line="240" w:lineRule="auto"/>
        <w:ind w:left="0" w:right="0" w:firstLine="0"/>
        <w:jc w:val="center"/>
      </w:pPr>
      <w:bookmarkStart w:id="645" w:name="bookmark645"/>
      <w:bookmarkStart w:id="646" w:name="bookmark646"/>
      <w:bookmarkStart w:id="647" w:name="bookmark647"/>
      <w:r>
        <w:rPr>
          <w:color w:val="000000"/>
          <w:spacing w:val="0"/>
          <w:w w:val="100"/>
          <w:position w:val="0"/>
        </w:rPr>
        <w:t>第十节财务报告</w:t>
      </w:r>
      <w:bookmarkEnd w:id="645"/>
      <w:bookmarkEnd w:id="646"/>
      <w:bookmarkEnd w:id="647"/>
    </w:p>
    <w:p>
      <w:pPr>
        <w:pStyle w:val="Style21"/>
        <w:keepNext/>
        <w:keepLines/>
        <w:widowControl w:val="0"/>
        <w:shd w:val="clear" w:color="auto" w:fill="auto"/>
        <w:bidi w:val="0"/>
        <w:spacing w:before="0" w:after="32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一</w:t>
      </w:r>
      <w:bookmarkEnd w:id="650"/>
      <w:r>
        <w:rPr>
          <w:color w:val="000000"/>
          <w:spacing w:val="0"/>
          <w:w w:val="100"/>
          <w:position w:val="0"/>
        </w:rPr>
        <w:t>、审计报告</w:t>
      </w:r>
      <w:bookmarkEnd w:id="648"/>
      <w:bookmarkEnd w:id="649"/>
      <w:bookmarkEnd w:id="65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510004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高敏建、庞玉文</w:t>
            </w:r>
          </w:p>
        </w:tc>
      </w:tr>
    </w:tbl>
    <w:p>
      <w:pPr>
        <w:pStyle w:val="Style2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12"/>
        <w:keepNext w:val="0"/>
        <w:keepLines w:val="0"/>
        <w:widowControl w:val="0"/>
        <w:shd w:val="clear" w:color="auto" w:fill="auto"/>
        <w:bidi w:val="0"/>
        <w:spacing w:before="0" w:after="0" w:line="240" w:lineRule="auto"/>
        <w:ind w:left="0" w:right="0" w:firstLine="0"/>
        <w:jc w:val="center"/>
        <w:rPr>
          <w:sz w:val="30"/>
          <w:szCs w:val="30"/>
        </w:rPr>
      </w:pPr>
      <w:r>
        <w:rPr>
          <w:color w:val="A61A21"/>
          <w:spacing w:val="0"/>
          <w:w w:val="100"/>
          <w:position w:val="0"/>
          <w:sz w:val="30"/>
          <w:szCs w:val="30"/>
        </w:rPr>
        <w:t>@</w:t>
      </w:r>
      <w:r>
        <w:rPr>
          <w:color w:val="000000"/>
          <w:spacing w:val="0"/>
          <w:w w:val="100"/>
          <w:position w:val="0"/>
          <w:sz w:val="30"/>
          <w:szCs w:val="30"/>
        </w:rPr>
        <w:t>审计报告</w:t>
      </w:r>
    </w:p>
    <w:p>
      <w:pPr>
        <w:pStyle w:val="Style25"/>
        <w:keepNext w:val="0"/>
        <w:keepLines w:val="0"/>
        <w:widowControl w:val="0"/>
        <w:shd w:val="clear" w:color="auto" w:fill="auto"/>
        <w:bidi w:val="0"/>
        <w:spacing w:before="0" w:after="0" w:line="316" w:lineRule="exact"/>
        <w:ind w:left="0" w:right="0" w:firstLine="7140"/>
        <w:jc w:val="both"/>
      </w:pPr>
      <w:r>
        <w:rPr>
          <w:color w:val="000000"/>
          <w:spacing w:val="0"/>
          <w:w w:val="100"/>
          <w:position w:val="0"/>
        </w:rPr>
        <w:t>中兴华审字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510004</w:t>
      </w:r>
      <w:r>
        <w:rPr>
          <w:color w:val="000000"/>
          <w:spacing w:val="0"/>
          <w:w w:val="100"/>
          <w:position w:val="0"/>
        </w:rPr>
        <w:t>号 银江技术公司股份有限公司全体股东：</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审计意见</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我们审计了银江技术股份有限公司（以下简称“银江技术公司”</w:t>
      </w:r>
      <w:r>
        <w:rPr>
          <w:color w:val="000000"/>
          <w:spacing w:val="0"/>
          <w:w w:val="100"/>
          <w:position w:val="0"/>
          <w:sz w:val="18"/>
          <w:szCs w:val="18"/>
        </w:rPr>
        <w:t>）</w:t>
      </w:r>
      <w:r>
        <w:rPr>
          <w:color w:val="000000"/>
          <w:spacing w:val="0"/>
          <w:w w:val="100"/>
          <w:position w:val="0"/>
        </w:rPr>
        <w:t>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 负债表，</w:t>
      </w:r>
      <w:r>
        <w:rPr>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年度的合并及母公司利润表、合并及母公司现金流量表、合并及母公司股东权益变动表以及相关财务报表附注。</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我们认为，后附的财务报表在所有重大方面按照企业会计准则的规定编制，公允反映了银江技术公司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 并及母公司的财务状况以及</w:t>
      </w:r>
      <w:r>
        <w:rPr>
          <w:color w:val="000000"/>
          <w:spacing w:val="0"/>
          <w:w w:val="100"/>
          <w:position w:val="0"/>
          <w:sz w:val="18"/>
          <w:szCs w:val="18"/>
        </w:rPr>
        <w:t>2021</w:t>
      </w:r>
      <w:r>
        <w:rPr>
          <w:color w:val="000000"/>
          <w:spacing w:val="0"/>
          <w:w w:val="100"/>
          <w:position w:val="0"/>
        </w:rPr>
        <w:t>年度合并及母公司的经营成果和现金流量。</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形成审计意见的基础</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步阐述了我们在这些准则下的责任。按照中国注册会计师职业道德守则，我们独立于银江技术公司，并履行了职业道德方面 的其他责任。我们相信，我们获取的审计证据是充分、适当的，为发表审计意见提供了基础。</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关键审计事项</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审计并形成意见为背景，我们不对这些事项单独发表意见。我们确定下列事项是需要在审计报告中沟通的关键审计事项。</w:t>
      </w:r>
    </w:p>
    <w:p>
      <w:pPr>
        <w:pStyle w:val="Style25"/>
        <w:keepNext w:val="0"/>
        <w:keepLines w:val="0"/>
        <w:widowControl w:val="0"/>
        <w:shd w:val="clear" w:color="auto" w:fill="auto"/>
        <w:bidi w:val="0"/>
        <w:spacing w:before="0" w:after="0" w:line="316" w:lineRule="exact"/>
        <w:ind w:left="0" w:right="0"/>
        <w:jc w:val="left"/>
      </w:pPr>
      <w:r>
        <w:rPr>
          <w:color w:val="000000"/>
          <w:spacing w:val="0"/>
          <w:w w:val="100"/>
          <w:position w:val="0"/>
        </w:rPr>
        <w:t>（一）建造合同收入确认</w:t>
      </w:r>
    </w:p>
    <w:p>
      <w:pPr>
        <w:pStyle w:val="Style25"/>
        <w:keepNext w:val="0"/>
        <w:keepLines w:val="0"/>
        <w:widowControl w:val="0"/>
        <w:shd w:val="clear" w:color="auto" w:fill="auto"/>
        <w:tabs>
          <w:tab w:pos="721" w:val="left"/>
        </w:tabs>
        <w:bidi w:val="0"/>
        <w:spacing w:before="0" w:after="0" w:line="316" w:lineRule="exact"/>
        <w:ind w:left="0" w:right="0"/>
        <w:jc w:val="left"/>
      </w:pPr>
      <w:bookmarkStart w:id="652" w:name="bookmark652"/>
      <w:r>
        <w:rPr>
          <w:color w:val="000000"/>
          <w:spacing w:val="0"/>
          <w:w w:val="100"/>
          <w:position w:val="0"/>
          <w:sz w:val="18"/>
          <w:szCs w:val="18"/>
        </w:rPr>
        <w:t>1</w:t>
      </w:r>
      <w:bookmarkEnd w:id="652"/>
      <w:r>
        <w:rPr>
          <w:color w:val="000000"/>
          <w:spacing w:val="0"/>
          <w:w w:val="100"/>
          <w:position w:val="0"/>
        </w:rPr>
        <w:t>、</w:t>
        <w:tab/>
        <w:t>事项描述</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如财务报表附注（四）、</w:t>
      </w:r>
      <w:r>
        <w:rPr>
          <w:color w:val="000000"/>
          <w:spacing w:val="0"/>
          <w:w w:val="100"/>
          <w:position w:val="0"/>
          <w:sz w:val="18"/>
          <w:szCs w:val="18"/>
        </w:rPr>
        <w:t>27（3</w:t>
      </w:r>
      <w:r>
        <w:rPr>
          <w:color w:val="000000"/>
          <w:spacing w:val="0"/>
          <w:w w:val="100"/>
          <w:position w:val="0"/>
        </w:rPr>
        <w:t>）所示，银江技术公司对于所提供的建造服务，在建造合同的结果能够可靠估计时，按 照投入法确认收入。管理层需要对建造合同的预计总收入和预计总成本作出合理估计已确定合同履约进度，并应于合同执行 过程中持续评估和修订。上述建造合同收入确认过程中涉及管理层的重大会计估计，因此我们将建造合同收入确认认定为关 键审计事项。</w:t>
      </w:r>
    </w:p>
    <w:p>
      <w:pPr>
        <w:pStyle w:val="Style25"/>
        <w:keepNext w:val="0"/>
        <w:keepLines w:val="0"/>
        <w:widowControl w:val="0"/>
        <w:shd w:val="clear" w:color="auto" w:fill="auto"/>
        <w:tabs>
          <w:tab w:pos="724" w:val="left"/>
        </w:tabs>
        <w:bidi w:val="0"/>
        <w:spacing w:before="0" w:after="0" w:line="316" w:lineRule="exact"/>
        <w:ind w:left="0" w:right="0"/>
        <w:jc w:val="both"/>
      </w:pPr>
      <w:bookmarkStart w:id="653" w:name="bookmark653"/>
      <w:r>
        <w:rPr>
          <w:color w:val="000000"/>
          <w:spacing w:val="0"/>
          <w:w w:val="100"/>
          <w:position w:val="0"/>
          <w:sz w:val="18"/>
          <w:szCs w:val="18"/>
        </w:rPr>
        <w:t>2</w:t>
      </w:r>
      <w:bookmarkEnd w:id="653"/>
      <w:r>
        <w:rPr>
          <w:color w:val="000000"/>
          <w:spacing w:val="0"/>
          <w:w w:val="100"/>
          <w:position w:val="0"/>
        </w:rPr>
        <w:t>、</w:t>
        <w:tab/>
        <w:t>审计应对</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我们针对建造合同收入确认执行的审计程序主要包括：</w:t>
      </w:r>
    </w:p>
    <w:p>
      <w:pPr>
        <w:pStyle w:val="Style25"/>
        <w:keepNext w:val="0"/>
        <w:keepLines w:val="0"/>
        <w:widowControl w:val="0"/>
        <w:shd w:val="clear" w:color="auto" w:fill="auto"/>
        <w:tabs>
          <w:tab w:pos="825" w:val="left"/>
        </w:tabs>
        <w:bidi w:val="0"/>
        <w:spacing w:before="0" w:after="0" w:line="316" w:lineRule="exact"/>
        <w:ind w:left="0" w:right="0"/>
        <w:jc w:val="both"/>
      </w:pPr>
      <w:bookmarkStart w:id="654" w:name="bookmark654"/>
      <w:r>
        <w:rPr>
          <w:color w:val="000000"/>
          <w:spacing w:val="0"/>
          <w:w w:val="100"/>
          <w:position w:val="0"/>
          <w:sz w:val="18"/>
          <w:szCs w:val="18"/>
        </w:rPr>
        <w:t>（</w:t>
      </w:r>
      <w:bookmarkEnd w:id="654"/>
      <w:r>
        <w:rPr>
          <w:color w:val="000000"/>
          <w:spacing w:val="0"/>
          <w:w w:val="100"/>
          <w:position w:val="0"/>
          <w:sz w:val="18"/>
          <w:szCs w:val="18"/>
        </w:rPr>
        <w:t>1）</w:t>
        <w:tab/>
      </w:r>
      <w:r>
        <w:rPr>
          <w:color w:val="000000"/>
          <w:spacing w:val="0"/>
          <w:w w:val="100"/>
          <w:position w:val="0"/>
        </w:rPr>
        <w:t>测试与建造合同预算编制和收入确认相关的内部控制；</w:t>
      </w:r>
    </w:p>
    <w:p>
      <w:pPr>
        <w:pStyle w:val="Style25"/>
        <w:keepNext w:val="0"/>
        <w:keepLines w:val="0"/>
        <w:widowControl w:val="0"/>
        <w:shd w:val="clear" w:color="auto" w:fill="auto"/>
        <w:tabs>
          <w:tab w:pos="825" w:val="left"/>
        </w:tabs>
        <w:bidi w:val="0"/>
        <w:spacing w:before="0" w:after="0" w:line="316" w:lineRule="exact"/>
        <w:ind w:left="0" w:right="0"/>
        <w:jc w:val="both"/>
      </w:pPr>
      <w:bookmarkStart w:id="655" w:name="bookmark655"/>
      <w:r>
        <w:rPr>
          <w:color w:val="000000"/>
          <w:spacing w:val="0"/>
          <w:w w:val="100"/>
          <w:position w:val="0"/>
          <w:sz w:val="18"/>
          <w:szCs w:val="18"/>
        </w:rPr>
        <w:t>（</w:t>
      </w:r>
      <w:bookmarkEnd w:id="655"/>
      <w:r>
        <w:rPr>
          <w:color w:val="000000"/>
          <w:spacing w:val="0"/>
          <w:w w:val="100"/>
          <w:position w:val="0"/>
          <w:sz w:val="18"/>
          <w:szCs w:val="18"/>
        </w:rPr>
        <w:t>2）</w:t>
        <w:tab/>
      </w:r>
      <w:r>
        <w:rPr>
          <w:color w:val="000000"/>
          <w:spacing w:val="0"/>
          <w:w w:val="100"/>
          <w:position w:val="0"/>
        </w:rPr>
        <w:t>获取建造合同信息表，重新计算建造合同合同履约进度的准确性；</w:t>
      </w:r>
    </w:p>
    <w:p>
      <w:pPr>
        <w:pStyle w:val="Style25"/>
        <w:keepNext w:val="0"/>
        <w:keepLines w:val="0"/>
        <w:widowControl w:val="0"/>
        <w:shd w:val="clear" w:color="auto" w:fill="auto"/>
        <w:tabs>
          <w:tab w:pos="896" w:val="left"/>
        </w:tabs>
        <w:bidi w:val="0"/>
        <w:spacing w:before="0" w:after="0" w:line="316" w:lineRule="exact"/>
        <w:ind w:left="0" w:right="0"/>
        <w:jc w:val="both"/>
      </w:pPr>
      <w:bookmarkStart w:id="656" w:name="bookmark656"/>
      <w:r>
        <w:rPr>
          <w:color w:val="000000"/>
          <w:spacing w:val="0"/>
          <w:w w:val="100"/>
          <w:position w:val="0"/>
          <w:sz w:val="18"/>
          <w:szCs w:val="18"/>
        </w:rPr>
        <w:t>（</w:t>
      </w:r>
      <w:bookmarkEnd w:id="656"/>
      <w:r>
        <w:rPr>
          <w:color w:val="000000"/>
          <w:spacing w:val="0"/>
          <w:w w:val="100"/>
          <w:position w:val="0"/>
          <w:sz w:val="18"/>
          <w:szCs w:val="18"/>
        </w:rPr>
        <w:t>3）</w:t>
        <w:tab/>
      </w:r>
      <w:r>
        <w:rPr>
          <w:color w:val="000000"/>
          <w:spacing w:val="0"/>
          <w:w w:val="100"/>
          <w:position w:val="0"/>
        </w:rPr>
        <w:t>选取建造合同样本，检查预计总收入、预计总成本所依据的建造合同和成本预算资料，评价管理层对预计总收入 和预计总成本的估计是否充分；</w:t>
      </w:r>
    </w:p>
    <w:p>
      <w:pPr>
        <w:pStyle w:val="Style25"/>
        <w:keepNext w:val="0"/>
        <w:keepLines w:val="0"/>
        <w:widowControl w:val="0"/>
        <w:shd w:val="clear" w:color="auto" w:fill="auto"/>
        <w:tabs>
          <w:tab w:pos="825" w:val="left"/>
        </w:tabs>
        <w:bidi w:val="0"/>
        <w:spacing w:before="0" w:after="0" w:line="316" w:lineRule="exact"/>
        <w:ind w:left="0" w:right="0"/>
        <w:jc w:val="both"/>
      </w:pPr>
      <w:bookmarkStart w:id="657" w:name="bookmark657"/>
      <w:r>
        <w:rPr>
          <w:color w:val="000000"/>
          <w:spacing w:val="0"/>
          <w:w w:val="100"/>
          <w:position w:val="0"/>
          <w:sz w:val="18"/>
          <w:szCs w:val="18"/>
        </w:rPr>
        <w:t>（</w:t>
      </w:r>
      <w:bookmarkEnd w:id="657"/>
      <w:r>
        <w:rPr>
          <w:color w:val="000000"/>
          <w:spacing w:val="0"/>
          <w:w w:val="100"/>
          <w:position w:val="0"/>
          <w:sz w:val="18"/>
          <w:szCs w:val="18"/>
        </w:rPr>
        <w:t>4）</w:t>
        <w:tab/>
      </w:r>
      <w:r>
        <w:rPr>
          <w:color w:val="000000"/>
          <w:spacing w:val="0"/>
          <w:w w:val="100"/>
          <w:position w:val="0"/>
        </w:rPr>
        <w:t>选取样本对本年度发生的工程施工成本进行测试；</w:t>
      </w:r>
    </w:p>
    <w:p>
      <w:pPr>
        <w:pStyle w:val="Style25"/>
        <w:keepNext w:val="0"/>
        <w:keepLines w:val="0"/>
        <w:widowControl w:val="0"/>
        <w:shd w:val="clear" w:color="auto" w:fill="auto"/>
        <w:tabs>
          <w:tab w:pos="445" w:val="left"/>
        </w:tabs>
        <w:bidi w:val="0"/>
        <w:spacing w:before="0" w:after="0" w:line="316" w:lineRule="exact"/>
        <w:ind w:left="0" w:right="0"/>
        <w:jc w:val="both"/>
      </w:pPr>
      <w:bookmarkStart w:id="658" w:name="bookmark658"/>
      <w:r>
        <w:rPr>
          <w:color w:val="000000"/>
          <w:spacing w:val="0"/>
          <w:w w:val="100"/>
          <w:position w:val="0"/>
          <w:sz w:val="18"/>
          <w:szCs w:val="18"/>
        </w:rPr>
        <w:t>（</w:t>
      </w:r>
      <w:bookmarkEnd w:id="658"/>
      <w:r>
        <w:rPr>
          <w:color w:val="000000"/>
          <w:spacing w:val="0"/>
          <w:w w:val="100"/>
          <w:position w:val="0"/>
          <w:sz w:val="18"/>
          <w:szCs w:val="18"/>
        </w:rPr>
        <w:t>5）</w:t>
        <w:tab/>
      </w:r>
      <w:r>
        <w:rPr>
          <w:color w:val="000000"/>
          <w:spacing w:val="0"/>
          <w:w w:val="100"/>
          <w:position w:val="0"/>
        </w:rPr>
        <w:t xml:space="preserve">选取建造合同样本，对工程进度进行现场查看，与工程管理部门讨论确认工程的完工进度，并与账面记录进行比 </w:t>
      </w:r>
      <w:r>
        <w:rPr>
          <w:color w:val="000000"/>
          <w:spacing w:val="0"/>
          <w:w w:val="100"/>
          <w:position w:val="0"/>
        </w:rPr>
        <w:t>较，对异常偏差执行进一步的检查程序。</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（二）应收账款坏账准备计提</w:t>
      </w:r>
    </w:p>
    <w:p>
      <w:pPr>
        <w:pStyle w:val="Style25"/>
        <w:keepNext w:val="0"/>
        <w:keepLines w:val="0"/>
        <w:widowControl w:val="0"/>
        <w:shd w:val="clear" w:color="auto" w:fill="auto"/>
        <w:tabs>
          <w:tab w:pos="740" w:val="left"/>
        </w:tabs>
        <w:bidi w:val="0"/>
        <w:spacing w:before="0" w:after="0" w:line="315" w:lineRule="exact"/>
        <w:ind w:left="0" w:right="0"/>
        <w:jc w:val="both"/>
      </w:pPr>
      <w:bookmarkStart w:id="659" w:name="bookmark659"/>
      <w:r>
        <w:rPr>
          <w:color w:val="000000"/>
          <w:spacing w:val="0"/>
          <w:w w:val="100"/>
          <w:position w:val="0"/>
          <w:sz w:val="18"/>
          <w:szCs w:val="18"/>
        </w:rPr>
        <w:t>1</w:t>
      </w:r>
      <w:bookmarkEnd w:id="659"/>
      <w:r>
        <w:rPr>
          <w:color w:val="000000"/>
          <w:spacing w:val="0"/>
          <w:w w:val="100"/>
          <w:position w:val="0"/>
        </w:rPr>
        <w:t>、</w:t>
        <w:tab/>
        <w:t>事项描述</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如财务报表附注四、</w:t>
      </w:r>
      <w:r>
        <w:rPr>
          <w:color w:val="000000"/>
          <w:spacing w:val="0"/>
          <w:w w:val="100"/>
          <w:position w:val="0"/>
          <w:sz w:val="18"/>
          <w:szCs w:val="18"/>
        </w:rPr>
        <w:t>10</w:t>
      </w:r>
      <w:r>
        <w:rPr>
          <w:color w:val="000000"/>
          <w:spacing w:val="0"/>
          <w:w w:val="100"/>
          <w:position w:val="0"/>
        </w:rPr>
        <w:t>及附注六、</w:t>
      </w:r>
      <w:r>
        <w:rPr>
          <w:color w:val="000000"/>
          <w:spacing w:val="0"/>
          <w:w w:val="100"/>
          <w:position w:val="0"/>
          <w:sz w:val="18"/>
          <w:szCs w:val="18"/>
        </w:rPr>
        <w:t>3</w:t>
      </w:r>
      <w:r>
        <w:rPr>
          <w:color w:val="000000"/>
          <w:spacing w:val="0"/>
          <w:w w:val="100"/>
          <w:position w:val="0"/>
        </w:rPr>
        <w:t>所示，银江技术公司应收账款余额</w:t>
      </w:r>
      <w:r>
        <w:rPr>
          <w:color w:val="000000"/>
          <w:spacing w:val="0"/>
          <w:w w:val="100"/>
          <w:position w:val="0"/>
          <w:sz w:val="18"/>
          <w:szCs w:val="18"/>
        </w:rPr>
        <w:t xml:space="preserve">2, 220, 025, </w:t>
      </w:r>
      <w:r>
        <w:rPr>
          <w:color w:val="000000"/>
          <w:spacing w:val="0"/>
          <w:w w:val="100"/>
          <w:position w:val="0"/>
          <w:sz w:val="18"/>
          <w:szCs w:val="18"/>
        </w:rPr>
        <w:t xml:space="preserve">391. </w:t>
      </w:r>
      <w:r>
        <w:rPr>
          <w:color w:val="000000"/>
          <w:spacing w:val="0"/>
          <w:w w:val="100"/>
          <w:position w:val="0"/>
          <w:sz w:val="18"/>
          <w:szCs w:val="18"/>
        </w:rPr>
        <w:t>80</w:t>
      </w:r>
      <w:r>
        <w:rPr>
          <w:color w:val="000000"/>
          <w:spacing w:val="0"/>
          <w:w w:val="100"/>
          <w:position w:val="0"/>
        </w:rPr>
        <w:t>元，坏账准备金额</w:t>
      </w:r>
      <w:r>
        <w:rPr>
          <w:color w:val="000000"/>
          <w:spacing w:val="0"/>
          <w:w w:val="100"/>
          <w:position w:val="0"/>
          <w:sz w:val="18"/>
          <w:szCs w:val="18"/>
        </w:rPr>
        <w:t xml:space="preserve">328, 968, </w:t>
      </w:r>
      <w:r>
        <w:rPr>
          <w:color w:val="000000"/>
          <w:spacing w:val="0"/>
          <w:w w:val="100"/>
          <w:position w:val="0"/>
          <w:sz w:val="18"/>
          <w:szCs w:val="18"/>
        </w:rPr>
        <w:t xml:space="preserve">187. </w:t>
      </w:r>
      <w:r>
        <w:rPr>
          <w:color w:val="000000"/>
          <w:spacing w:val="0"/>
          <w:w w:val="100"/>
          <w:position w:val="0"/>
          <w:sz w:val="18"/>
          <w:szCs w:val="18"/>
        </w:rPr>
        <w:t xml:space="preserve">54 </w:t>
      </w:r>
      <w:r>
        <w:rPr>
          <w:color w:val="000000"/>
          <w:spacing w:val="0"/>
          <w:w w:val="100"/>
          <w:position w:val="0"/>
        </w:rPr>
        <w:t>元，账面价值</w:t>
      </w:r>
      <w:r>
        <w:rPr>
          <w:color w:val="000000"/>
          <w:spacing w:val="0"/>
          <w:w w:val="100"/>
          <w:position w:val="0"/>
          <w:sz w:val="18"/>
          <w:szCs w:val="18"/>
        </w:rPr>
        <w:t xml:space="preserve">1, 891, 057, </w:t>
      </w:r>
      <w:r>
        <w:rPr>
          <w:color w:val="000000"/>
          <w:spacing w:val="0"/>
          <w:w w:val="100"/>
          <w:position w:val="0"/>
          <w:sz w:val="18"/>
          <w:szCs w:val="18"/>
        </w:rPr>
        <w:t xml:space="preserve">204. </w:t>
      </w:r>
      <w:r>
        <w:rPr>
          <w:color w:val="000000"/>
          <w:spacing w:val="0"/>
          <w:w w:val="100"/>
          <w:position w:val="0"/>
          <w:sz w:val="18"/>
          <w:szCs w:val="18"/>
        </w:rPr>
        <w:t>26</w:t>
      </w:r>
      <w:r>
        <w:rPr>
          <w:color w:val="000000"/>
          <w:spacing w:val="0"/>
          <w:w w:val="100"/>
          <w:position w:val="0"/>
        </w:rPr>
        <w:t>元。</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银江技术公司管理层基于对应收账款的可收回性的评估并判断是否计提坏账准备以及估计计提金额。坏账准备的计提涉 及管理层的判断，而实际情况有可能与预期存在差异。</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我们关注上述事项是由于上述应收账款余额及计提的坏账准备对银江技术公司合并财务报表而言是重大的，而且对上述 应收账款余额可收回性的评估中涉及重大判断，因此我们将其认定为关键审计事项。</w:t>
      </w:r>
    </w:p>
    <w:p>
      <w:pPr>
        <w:pStyle w:val="Style25"/>
        <w:keepNext w:val="0"/>
        <w:keepLines w:val="0"/>
        <w:widowControl w:val="0"/>
        <w:shd w:val="clear" w:color="auto" w:fill="auto"/>
        <w:tabs>
          <w:tab w:pos="740" w:val="left"/>
        </w:tabs>
        <w:bidi w:val="0"/>
        <w:spacing w:before="0" w:after="0" w:line="315" w:lineRule="exact"/>
        <w:ind w:left="0" w:right="0"/>
        <w:jc w:val="both"/>
      </w:pPr>
      <w:bookmarkStart w:id="660" w:name="bookmark660"/>
      <w:r>
        <w:rPr>
          <w:color w:val="000000"/>
          <w:spacing w:val="0"/>
          <w:w w:val="100"/>
          <w:position w:val="0"/>
          <w:sz w:val="18"/>
          <w:szCs w:val="18"/>
        </w:rPr>
        <w:t>2</w:t>
      </w:r>
      <w:bookmarkEnd w:id="660"/>
      <w:r>
        <w:rPr>
          <w:color w:val="000000"/>
          <w:spacing w:val="0"/>
          <w:w w:val="100"/>
          <w:position w:val="0"/>
        </w:rPr>
        <w:t>、</w:t>
        <w:tab/>
        <w:t>审计应对</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针对该关键审计事项，我们执行的主要审计程序如下：</w:t>
      </w:r>
    </w:p>
    <w:p>
      <w:pPr>
        <w:pStyle w:val="Style25"/>
        <w:keepNext w:val="0"/>
        <w:keepLines w:val="0"/>
        <w:widowControl w:val="0"/>
        <w:shd w:val="clear" w:color="auto" w:fill="auto"/>
        <w:tabs>
          <w:tab w:pos="901" w:val="left"/>
        </w:tabs>
        <w:bidi w:val="0"/>
        <w:spacing w:before="0" w:after="0" w:line="315" w:lineRule="exact"/>
        <w:ind w:left="0" w:right="0"/>
        <w:jc w:val="both"/>
      </w:pPr>
      <w:bookmarkStart w:id="661" w:name="bookmark661"/>
      <w:r>
        <w:rPr>
          <w:color w:val="000000"/>
          <w:spacing w:val="0"/>
          <w:w w:val="100"/>
          <w:position w:val="0"/>
          <w:sz w:val="18"/>
          <w:szCs w:val="18"/>
        </w:rPr>
        <w:t>（</w:t>
      </w:r>
      <w:bookmarkEnd w:id="661"/>
      <w:r>
        <w:rPr>
          <w:color w:val="000000"/>
          <w:spacing w:val="0"/>
          <w:w w:val="100"/>
          <w:position w:val="0"/>
          <w:sz w:val="18"/>
          <w:szCs w:val="18"/>
        </w:rPr>
        <w:t>1）</w:t>
        <w:tab/>
      </w:r>
      <w:r>
        <w:rPr>
          <w:color w:val="000000"/>
          <w:spacing w:val="0"/>
          <w:w w:val="100"/>
          <w:position w:val="0"/>
        </w:rPr>
        <w:t>我们了解、评价及验证了银江技术公司管理层在对应收账款可收回性评估方面的关键控制，包括应收账款的账龄 分析和对应收账款余额的可收回性的定期评估；</w:t>
      </w:r>
    </w:p>
    <w:p>
      <w:pPr>
        <w:pStyle w:val="Style25"/>
        <w:keepNext w:val="0"/>
        <w:keepLines w:val="0"/>
        <w:widowControl w:val="0"/>
        <w:shd w:val="clear" w:color="auto" w:fill="auto"/>
        <w:tabs>
          <w:tab w:pos="825" w:val="left"/>
        </w:tabs>
        <w:bidi w:val="0"/>
        <w:spacing w:before="0" w:after="0" w:line="315" w:lineRule="exact"/>
        <w:ind w:left="0" w:right="0"/>
        <w:jc w:val="both"/>
      </w:pPr>
      <w:bookmarkStart w:id="662" w:name="bookmark662"/>
      <w:r>
        <w:rPr>
          <w:color w:val="000000"/>
          <w:spacing w:val="0"/>
          <w:w w:val="100"/>
          <w:position w:val="0"/>
          <w:sz w:val="18"/>
          <w:szCs w:val="18"/>
        </w:rPr>
        <w:t>（</w:t>
      </w:r>
      <w:bookmarkEnd w:id="662"/>
      <w:r>
        <w:rPr>
          <w:color w:val="000000"/>
          <w:spacing w:val="0"/>
          <w:w w:val="100"/>
          <w:position w:val="0"/>
          <w:sz w:val="18"/>
          <w:szCs w:val="18"/>
        </w:rPr>
        <w:t>2）</w:t>
        <w:tab/>
      </w:r>
      <w:r>
        <w:rPr>
          <w:color w:val="000000"/>
          <w:spacing w:val="0"/>
          <w:w w:val="100"/>
          <w:position w:val="0"/>
        </w:rPr>
        <w:t>我们选取样本对应收账款余额进行了函证；</w:t>
      </w:r>
    </w:p>
    <w:p>
      <w:pPr>
        <w:pStyle w:val="Style25"/>
        <w:keepNext w:val="0"/>
        <w:keepLines w:val="0"/>
        <w:widowControl w:val="0"/>
        <w:shd w:val="clear" w:color="auto" w:fill="auto"/>
        <w:tabs>
          <w:tab w:pos="825" w:val="left"/>
        </w:tabs>
        <w:bidi w:val="0"/>
        <w:spacing w:before="0" w:after="0" w:line="315" w:lineRule="exact"/>
        <w:ind w:left="0" w:right="0"/>
        <w:jc w:val="both"/>
      </w:pPr>
      <w:bookmarkStart w:id="663" w:name="bookmark663"/>
      <w:r>
        <w:rPr>
          <w:color w:val="000000"/>
          <w:spacing w:val="0"/>
          <w:w w:val="100"/>
          <w:position w:val="0"/>
          <w:sz w:val="18"/>
          <w:szCs w:val="18"/>
        </w:rPr>
        <w:t>（</w:t>
      </w:r>
      <w:bookmarkEnd w:id="663"/>
      <w:r>
        <w:rPr>
          <w:color w:val="000000"/>
          <w:spacing w:val="0"/>
          <w:w w:val="100"/>
          <w:position w:val="0"/>
          <w:sz w:val="18"/>
          <w:szCs w:val="18"/>
        </w:rPr>
        <w:t>3</w:t>
      </w:r>
      <w:r>
        <w:rPr>
          <w:color w:val="000000"/>
          <w:spacing w:val="0"/>
          <w:w w:val="100"/>
          <w:position w:val="0"/>
        </w:rPr>
        <w:t>）</w:t>
        <w:tab/>
        <w:t>我们对管理层所编制的应收账款的账龄准确性进行了测试；</w:t>
      </w:r>
    </w:p>
    <w:p>
      <w:pPr>
        <w:pStyle w:val="Style25"/>
        <w:keepNext w:val="0"/>
        <w:keepLines w:val="0"/>
        <w:widowControl w:val="0"/>
        <w:shd w:val="clear" w:color="auto" w:fill="auto"/>
        <w:tabs>
          <w:tab w:pos="906" w:val="left"/>
        </w:tabs>
        <w:bidi w:val="0"/>
        <w:spacing w:before="0" w:after="0" w:line="315" w:lineRule="exact"/>
        <w:ind w:left="0" w:right="0"/>
        <w:jc w:val="both"/>
      </w:pPr>
      <w:bookmarkStart w:id="664" w:name="bookmark664"/>
      <w:r>
        <w:rPr>
          <w:color w:val="000000"/>
          <w:spacing w:val="0"/>
          <w:w w:val="100"/>
          <w:position w:val="0"/>
          <w:sz w:val="18"/>
          <w:szCs w:val="18"/>
        </w:rPr>
        <w:t>（</w:t>
      </w:r>
      <w:bookmarkEnd w:id="664"/>
      <w:r>
        <w:rPr>
          <w:color w:val="000000"/>
          <w:spacing w:val="0"/>
          <w:w w:val="100"/>
          <w:position w:val="0"/>
          <w:sz w:val="18"/>
          <w:szCs w:val="18"/>
        </w:rPr>
        <w:t>4）</w:t>
        <w:tab/>
      </w:r>
      <w:r>
        <w:rPr>
          <w:color w:val="000000"/>
          <w:spacing w:val="0"/>
          <w:w w:val="100"/>
          <w:position w:val="0"/>
        </w:rPr>
        <w:t>我们获取了管理层对大额应收账款可回收性评估的文件，对账龄在一年以上的余额，了解了客户背景、合同签订 及履约情况，查阅了工程项目进度和回款情况等；</w:t>
      </w:r>
    </w:p>
    <w:p>
      <w:pPr>
        <w:pStyle w:val="Style25"/>
        <w:keepNext w:val="0"/>
        <w:keepLines w:val="0"/>
        <w:widowControl w:val="0"/>
        <w:shd w:val="clear" w:color="auto" w:fill="auto"/>
        <w:tabs>
          <w:tab w:pos="825" w:val="left"/>
        </w:tabs>
        <w:bidi w:val="0"/>
        <w:spacing w:before="0" w:after="0" w:line="315" w:lineRule="exact"/>
        <w:ind w:left="0" w:right="0"/>
        <w:jc w:val="both"/>
      </w:pPr>
      <w:bookmarkStart w:id="665" w:name="bookmark665"/>
      <w:r>
        <w:rPr>
          <w:color w:val="000000"/>
          <w:spacing w:val="0"/>
          <w:w w:val="100"/>
          <w:position w:val="0"/>
          <w:sz w:val="18"/>
          <w:szCs w:val="18"/>
        </w:rPr>
        <w:t>（</w:t>
      </w:r>
      <w:bookmarkEnd w:id="665"/>
      <w:r>
        <w:rPr>
          <w:color w:val="000000"/>
          <w:spacing w:val="0"/>
          <w:w w:val="100"/>
          <w:position w:val="0"/>
          <w:sz w:val="18"/>
          <w:szCs w:val="18"/>
        </w:rPr>
        <w:t>5）</w:t>
        <w:tab/>
      </w:r>
      <w:r>
        <w:rPr>
          <w:color w:val="000000"/>
          <w:spacing w:val="0"/>
          <w:w w:val="100"/>
          <w:position w:val="0"/>
        </w:rPr>
        <w:t>对于已计提坏账准备的部分，我们根据应收账款的账龄以及坏账准备计提比例，测试了坏账准备的计算过程。</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其他信息</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银江技术公司管理层（以下简称管理层）对其他信息负责。其他信息包括银江技术公司</w:t>
      </w:r>
      <w:r>
        <w:rPr>
          <w:color w:val="000000"/>
          <w:spacing w:val="0"/>
          <w:w w:val="100"/>
          <w:position w:val="0"/>
          <w:sz w:val="18"/>
          <w:szCs w:val="18"/>
        </w:rPr>
        <w:t>2021</w:t>
      </w:r>
      <w:r>
        <w:rPr>
          <w:color w:val="000000"/>
          <w:spacing w:val="0"/>
          <w:w w:val="100"/>
          <w:position w:val="0"/>
        </w:rPr>
        <w:t>年度报告中涵盖的信息，但 不包括财务报表和我们的审计报告。</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管理层和治理层对财务报表的责任</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在编制财务报表时，管理层负责评估银江技术公司的持续经营能力，披露与持续经营相关的事项（如适用），并运用持 续经营假设，除非管理层计划清算银江技术公司、终止运营或别无其他现实的选择。</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治理层负责监督银江技术公司的财务报告过程。</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注册会计师对财务报表审计的责任</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告。合理保证是高水平的保证，但并不能保证按照审计准则执行的审计在某一重大错报存在时总能发现。错报可能由舞弊或 错误导致，如果合理预期错报单独或汇总起来可能影响财务报表使用者依据财务报表作出的经济决策，则通常认为错报是重 大的。</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在按照审计准则执行审计的过程中，我们运用了职业判断，保持了职业怀疑。同时，我们也执行以下工作：</w:t>
      </w:r>
    </w:p>
    <w:p>
      <w:pPr>
        <w:pStyle w:val="Style25"/>
        <w:keepNext w:val="0"/>
        <w:keepLines w:val="0"/>
        <w:widowControl w:val="0"/>
        <w:shd w:val="clear" w:color="auto" w:fill="auto"/>
        <w:tabs>
          <w:tab w:pos="901" w:val="left"/>
        </w:tabs>
        <w:bidi w:val="0"/>
        <w:spacing w:before="0" w:after="0" w:line="315" w:lineRule="exact"/>
        <w:ind w:left="0" w:right="0"/>
        <w:jc w:val="both"/>
      </w:pPr>
      <w:bookmarkStart w:id="666" w:name="bookmark666"/>
      <w:r>
        <w:rPr>
          <w:color w:val="000000"/>
          <w:spacing w:val="0"/>
          <w:w w:val="100"/>
          <w:position w:val="0"/>
          <w:sz w:val="18"/>
          <w:szCs w:val="18"/>
        </w:rPr>
        <w:t>（</w:t>
      </w:r>
      <w:bookmarkEnd w:id="666"/>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5"/>
        <w:keepNext w:val="0"/>
        <w:keepLines w:val="0"/>
        <w:widowControl w:val="0"/>
        <w:shd w:val="clear" w:color="auto" w:fill="auto"/>
        <w:tabs>
          <w:tab w:pos="825" w:val="left"/>
        </w:tabs>
        <w:bidi w:val="0"/>
        <w:spacing w:before="0" w:after="0" w:line="315" w:lineRule="exact"/>
        <w:ind w:left="0" w:right="0"/>
        <w:jc w:val="both"/>
      </w:pPr>
      <w:bookmarkStart w:id="667" w:name="bookmark667"/>
      <w:r>
        <w:rPr>
          <w:color w:val="000000"/>
          <w:spacing w:val="0"/>
          <w:w w:val="100"/>
          <w:position w:val="0"/>
          <w:sz w:val="18"/>
          <w:szCs w:val="18"/>
        </w:rPr>
        <w:t>（</w:t>
      </w:r>
      <w:bookmarkEnd w:id="667"/>
      <w:r>
        <w:rPr>
          <w:color w:val="000000"/>
          <w:spacing w:val="0"/>
          <w:w w:val="100"/>
          <w:position w:val="0"/>
          <w:sz w:val="18"/>
          <w:szCs w:val="18"/>
        </w:rPr>
        <w:t>2）</w:t>
        <w:tab/>
      </w:r>
      <w:r>
        <w:rPr>
          <w:color w:val="000000"/>
          <w:spacing w:val="0"/>
          <w:w w:val="100"/>
          <w:position w:val="0"/>
        </w:rPr>
        <w:t>了解与审计相关的内部控制，以设计恰当的审计程序，但目的并非对内部控制的有效性发表意见。</w:t>
      </w:r>
    </w:p>
    <w:p>
      <w:pPr>
        <w:pStyle w:val="Style25"/>
        <w:keepNext w:val="0"/>
        <w:keepLines w:val="0"/>
        <w:widowControl w:val="0"/>
        <w:shd w:val="clear" w:color="auto" w:fill="auto"/>
        <w:tabs>
          <w:tab w:pos="825" w:val="left"/>
        </w:tabs>
        <w:bidi w:val="0"/>
        <w:spacing w:before="0" w:after="0" w:line="315" w:lineRule="exact"/>
        <w:ind w:left="0" w:right="0"/>
        <w:jc w:val="both"/>
      </w:pPr>
      <w:bookmarkStart w:id="668" w:name="bookmark668"/>
      <w:r>
        <w:rPr>
          <w:color w:val="000000"/>
          <w:spacing w:val="0"/>
          <w:w w:val="100"/>
          <w:position w:val="0"/>
          <w:sz w:val="18"/>
          <w:szCs w:val="18"/>
        </w:rPr>
        <w:t>（</w:t>
      </w:r>
      <w:bookmarkEnd w:id="668"/>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25"/>
        <w:keepNext w:val="0"/>
        <w:keepLines w:val="0"/>
        <w:widowControl w:val="0"/>
        <w:shd w:val="clear" w:color="auto" w:fill="auto"/>
        <w:tabs>
          <w:tab w:pos="445" w:val="left"/>
        </w:tabs>
        <w:bidi w:val="0"/>
        <w:spacing w:before="0" w:after="0" w:line="315" w:lineRule="exact"/>
        <w:ind w:left="0" w:right="0"/>
        <w:jc w:val="both"/>
      </w:pPr>
      <w:bookmarkStart w:id="669" w:name="bookmark669"/>
      <w:r>
        <w:rPr>
          <w:color w:val="000000"/>
          <w:spacing w:val="0"/>
          <w:w w:val="100"/>
          <w:position w:val="0"/>
          <w:sz w:val="18"/>
          <w:szCs w:val="18"/>
        </w:rPr>
        <w:t>（</w:t>
      </w:r>
      <w:bookmarkEnd w:id="669"/>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对管理层使用持续经营假设的恰当性得出结论。同时，根据获取的审计证据，就可能导致对银江技术公司持续经</w:t>
        <w:br w:type="page"/>
      </w:r>
      <w:r>
        <w:rPr>
          <w:color w:val="000000"/>
          <w:spacing w:val="0"/>
          <w:w w:val="100"/>
          <w:position w:val="0"/>
        </w:rPr>
        <w:t>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论基于截至审计报告日可获得的信息。然而，未来的事项或情况可能导致银江技术公司不能持续经营。</w:t>
      </w:r>
    </w:p>
    <w:p>
      <w:pPr>
        <w:pStyle w:val="Style25"/>
        <w:keepNext w:val="0"/>
        <w:keepLines w:val="0"/>
        <w:widowControl w:val="0"/>
        <w:shd w:val="clear" w:color="auto" w:fill="auto"/>
        <w:tabs>
          <w:tab w:pos="825" w:val="left"/>
        </w:tabs>
        <w:bidi w:val="0"/>
        <w:spacing w:before="0" w:after="0" w:line="314" w:lineRule="exact"/>
        <w:ind w:left="0" w:right="0"/>
        <w:jc w:val="both"/>
      </w:pPr>
      <w:bookmarkStart w:id="670" w:name="bookmark670"/>
      <w:r>
        <w:rPr>
          <w:color w:val="000000"/>
          <w:spacing w:val="0"/>
          <w:w w:val="100"/>
          <w:position w:val="0"/>
          <w:sz w:val="18"/>
          <w:szCs w:val="18"/>
        </w:rPr>
        <w:t>（</w:t>
      </w:r>
      <w:bookmarkEnd w:id="670"/>
      <w:r>
        <w:rPr>
          <w:color w:val="000000"/>
          <w:spacing w:val="0"/>
          <w:w w:val="100"/>
          <w:position w:val="0"/>
          <w:sz w:val="18"/>
          <w:szCs w:val="18"/>
        </w:rPr>
        <w:t>5）</w:t>
        <w:tab/>
      </w:r>
      <w:r>
        <w:rPr>
          <w:color w:val="000000"/>
          <w:spacing w:val="0"/>
          <w:w w:val="100"/>
          <w:position w:val="0"/>
        </w:rPr>
        <w:t>评价财务报表的总体列报、结构和内容，并评价财务报表是否公允反映相关交易和事项。</w:t>
      </w:r>
    </w:p>
    <w:p>
      <w:pPr>
        <w:pStyle w:val="Style25"/>
        <w:keepNext w:val="0"/>
        <w:keepLines w:val="0"/>
        <w:widowControl w:val="0"/>
        <w:shd w:val="clear" w:color="auto" w:fill="auto"/>
        <w:tabs>
          <w:tab w:pos="896" w:val="left"/>
        </w:tabs>
        <w:bidi w:val="0"/>
        <w:spacing w:before="0" w:after="0" w:line="314" w:lineRule="exact"/>
        <w:ind w:left="0" w:right="0"/>
        <w:jc w:val="both"/>
      </w:pPr>
      <w:bookmarkStart w:id="671" w:name="bookmark671"/>
      <w:r>
        <w:rPr>
          <w:color w:val="000000"/>
          <w:spacing w:val="0"/>
          <w:w w:val="100"/>
          <w:position w:val="0"/>
          <w:sz w:val="18"/>
          <w:szCs w:val="18"/>
        </w:rPr>
        <w:t>（</w:t>
      </w:r>
      <w:bookmarkEnd w:id="671"/>
      <w:r>
        <w:rPr>
          <w:color w:val="000000"/>
          <w:spacing w:val="0"/>
          <w:w w:val="100"/>
          <w:position w:val="0"/>
          <w:sz w:val="18"/>
          <w:szCs w:val="18"/>
        </w:rPr>
        <w:t>6）</w:t>
        <w:tab/>
      </w:r>
      <w:r>
        <w:rPr>
          <w:color w:val="000000"/>
          <w:spacing w:val="0"/>
          <w:w w:val="100"/>
          <w:position w:val="0"/>
        </w:rPr>
        <w:t>就银江技术公司中实体或业务活动的财务信息获取充分、适当的审计证据，以对财务报表发表意见。我们负责指 导、监督和执行集团审计。我们对审计意见承担全部责任。</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5"/>
        <w:keepNext w:val="0"/>
        <w:keepLines w:val="0"/>
        <w:widowControl w:val="0"/>
        <w:shd w:val="clear" w:color="auto" w:fill="auto"/>
        <w:bidi w:val="0"/>
        <w:spacing w:before="0" w:after="300" w:line="314"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5"/>
        <w:keepNext w:val="0"/>
        <w:keepLines w:val="0"/>
        <w:widowControl w:val="0"/>
        <w:shd w:val="clear" w:color="auto" w:fill="auto"/>
        <w:tabs>
          <w:tab w:pos="6577" w:val="left"/>
        </w:tabs>
        <w:bidi w:val="0"/>
        <w:spacing w:before="0" w:after="0" w:line="314" w:lineRule="exact"/>
        <w:ind w:left="0" w:right="0"/>
        <w:jc w:val="both"/>
      </w:pPr>
      <w:r>
        <w:rPr>
          <w:color w:val="000000"/>
          <w:spacing w:val="0"/>
          <w:w w:val="100"/>
          <w:position w:val="0"/>
        </w:rPr>
        <w:t>中兴华会计师事务所（特殊普通合伙）</w:t>
        <w:tab/>
        <w:t>中国注册会计师：高敏建</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（项目合伙人）</w:t>
      </w:r>
    </w:p>
    <w:p>
      <w:pPr>
        <w:pStyle w:val="Style25"/>
        <w:keepNext w:val="0"/>
        <w:keepLines w:val="0"/>
        <w:widowControl w:val="0"/>
        <w:shd w:val="clear" w:color="auto" w:fill="auto"/>
        <w:tabs>
          <w:tab w:pos="6577" w:val="left"/>
        </w:tabs>
        <w:bidi w:val="0"/>
        <w:spacing w:before="0" w:after="0" w:line="314" w:lineRule="exact"/>
        <w:ind w:left="0" w:right="0"/>
        <w:jc w:val="both"/>
      </w:pPr>
      <w:r>
        <w:rPr>
          <w:color w:val="000000"/>
          <w:spacing w:val="0"/>
          <w:w w:val="100"/>
          <w:position w:val="0"/>
        </w:rPr>
        <w:t>中国•北京</w:t>
        <w:tab/>
        <w:t>中国注册会计师：庞玉文</w:t>
      </w:r>
    </w:p>
    <w:p>
      <w:pPr>
        <w:pStyle w:val="Style25"/>
        <w:keepNext w:val="0"/>
        <w:keepLines w:val="0"/>
        <w:widowControl w:val="0"/>
        <w:shd w:val="clear" w:color="auto" w:fill="auto"/>
        <w:bidi w:val="0"/>
        <w:spacing w:before="0" w:after="400" w:line="314" w:lineRule="exact"/>
        <w:ind w:left="0" w:right="1720" w:firstLine="0"/>
        <w:jc w:val="righ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p>
      <w:pPr>
        <w:pStyle w:val="Style21"/>
        <w:keepNext/>
        <w:keepLines/>
        <w:widowControl w:val="0"/>
        <w:shd w:val="clear" w:color="auto" w:fill="auto"/>
        <w:bidi w:val="0"/>
        <w:spacing w:before="0" w:after="24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rPr>
        <w:t>二</w:t>
      </w:r>
      <w:bookmarkEnd w:id="674"/>
      <w:r>
        <w:rPr>
          <w:color w:val="000000"/>
          <w:spacing w:val="0"/>
          <w:w w:val="100"/>
          <w:position w:val="0"/>
        </w:rPr>
        <w:t>、财务报表</w:t>
      </w:r>
      <w:bookmarkEnd w:id="672"/>
      <w:bookmarkEnd w:id="673"/>
      <w:bookmarkEnd w:id="675"/>
    </w:p>
    <w:p>
      <w:pPr>
        <w:pStyle w:val="Style25"/>
        <w:keepNext w:val="0"/>
        <w:keepLines w:val="0"/>
        <w:widowControl w:val="0"/>
        <w:shd w:val="clear" w:color="auto" w:fill="auto"/>
        <w:bidi w:val="0"/>
        <w:spacing w:before="0" w:after="400" w:line="314" w:lineRule="exact"/>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after="24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bookmarkEnd w:id="678"/>
      <w:r>
        <w:rPr>
          <w:color w:val="000000"/>
          <w:spacing w:val="0"/>
          <w:w w:val="100"/>
          <w:position w:val="0"/>
        </w:rPr>
        <w:t>、合并资产负债表</w:t>
      </w:r>
      <w:bookmarkEnd w:id="676"/>
      <w:bookmarkEnd w:id="677"/>
      <w:bookmarkEnd w:id="679"/>
    </w:p>
    <w:p>
      <w:pPr>
        <w:pStyle w:val="Style25"/>
        <w:keepNext w:val="0"/>
        <w:keepLines w:val="0"/>
        <w:widowControl w:val="0"/>
        <w:shd w:val="clear" w:color="auto" w:fill="auto"/>
        <w:bidi w:val="0"/>
        <w:spacing w:before="0" w:after="160" w:line="314"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6349365</wp:posOffset>
                </wp:positionH>
                <wp:positionV relativeFrom="paragraph">
                  <wp:posOffset>520700</wp:posOffset>
                </wp:positionV>
                <wp:extent cx="481330" cy="143510"/>
                <wp:wrapSquare wrapText="bothSides"/>
                <wp:docPr id="4" name="Shape 4"/>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0" type="#_x0000_t202" style="position:absolute;margin-left:499.94999999999999pt;margin-top:41.pt;width:37.899999999999999pt;height:11.300000000000001pt;z-index:-125829373;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编制单位：银江技术股份有限公司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4838" w:hSpace="10" w:vSpace="629" w:wrap="notBeside" w:vAnchor="text" w:hAnchor="text" w:x="57" w:y="630"/>
              <w:widowControl w:val="0"/>
              <w:rPr>
                <w:sz w:val="10"/>
                <w:szCs w:val="10"/>
              </w:rPr>
            </w:pPr>
          </w:p>
        </w:tc>
        <w:tc>
          <w:tcPr>
            <w:tcBorders>
              <w:top w:val="single" w:sz="4"/>
              <w:left w:val="single" w:sz="4"/>
              <w:right w:val="single" w:sz="4"/>
            </w:tcBorders>
            <w:shd w:val="clear" w:color="auto" w:fill="D3D3D3"/>
            <w:vAlign w:val="top"/>
          </w:tcPr>
          <w:p>
            <w:pPr>
              <w:framePr w:w="9586" w:h="4838" w:hSpace="10" w:vSpace="629" w:wrap="notBeside" w:vAnchor="text" w:hAnchor="text" w:x="5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425,997,510.12</w:t>
            </w:r>
          </w:p>
        </w:tc>
        <w:tc>
          <w:tcPr>
            <w:tcBorders>
              <w:top w:val="single" w:sz="4"/>
              <w:left w:val="single" w:sz="4"/>
              <w:right w:val="single" w:sz="4"/>
            </w:tcBorders>
            <w:shd w:val="clear" w:color="auto" w:fill="FFFFFF"/>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699,721,404.35</w:t>
            </w:r>
          </w:p>
        </w:tc>
      </w:tr>
      <w:tr>
        <w:trPr>
          <w:trHeight w:val="398" w:hRule="exact"/>
        </w:trPr>
        <w:tc>
          <w:tcPr>
            <w:tcBorders>
              <w:top w:val="single" w:sz="4"/>
              <w:left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4838" w:hSpace="10" w:vSpace="629" w:wrap="notBeside" w:vAnchor="text" w:hAnchor="text" w:x="57" w:y="630"/>
              <w:widowControl w:val="0"/>
              <w:rPr>
                <w:sz w:val="10"/>
                <w:szCs w:val="10"/>
              </w:rPr>
            </w:pPr>
          </w:p>
        </w:tc>
        <w:tc>
          <w:tcPr>
            <w:tcBorders>
              <w:top w:val="single" w:sz="4"/>
              <w:left w:val="single" w:sz="4"/>
              <w:right w:val="single" w:sz="4"/>
            </w:tcBorders>
            <w:shd w:val="clear" w:color="auto" w:fill="FFFFFF"/>
            <w:vAlign w:val="top"/>
          </w:tcPr>
          <w:p>
            <w:pPr>
              <w:framePr w:w="9586" w:h="4838" w:hSpace="10" w:vSpace="629" w:wrap="notBeside" w:vAnchor="text" w:hAnchor="text" w:x="5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4838" w:hSpace="10" w:vSpace="629" w:wrap="notBeside" w:vAnchor="text" w:hAnchor="text" w:x="57" w:y="630"/>
              <w:widowControl w:val="0"/>
              <w:rPr>
                <w:sz w:val="10"/>
                <w:szCs w:val="10"/>
              </w:rPr>
            </w:pPr>
          </w:p>
        </w:tc>
        <w:tc>
          <w:tcPr>
            <w:tcBorders>
              <w:top w:val="single" w:sz="4"/>
              <w:left w:val="single" w:sz="4"/>
              <w:right w:val="single" w:sz="4"/>
            </w:tcBorders>
            <w:shd w:val="clear" w:color="auto" w:fill="FFFFFF"/>
            <w:vAlign w:val="top"/>
          </w:tcPr>
          <w:p>
            <w:pPr>
              <w:framePr w:w="9586" w:h="4838" w:hSpace="10" w:vSpace="629" w:wrap="notBeside" w:vAnchor="text" w:hAnchor="text" w:x="5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6" w:h="4838" w:hSpace="10" w:vSpace="629" w:wrap="notBeside" w:vAnchor="text" w:hAnchor="text" w:x="57" w:y="630"/>
              <w:widowControl w:val="0"/>
              <w:rPr>
                <w:sz w:val="10"/>
                <w:szCs w:val="10"/>
              </w:rPr>
            </w:pPr>
          </w:p>
        </w:tc>
        <w:tc>
          <w:tcPr>
            <w:tcBorders>
              <w:top w:val="single" w:sz="4"/>
              <w:left w:val="single" w:sz="4"/>
              <w:right w:val="single" w:sz="4"/>
            </w:tcBorders>
            <w:shd w:val="clear" w:color="auto" w:fill="FFFFFF"/>
            <w:vAlign w:val="top"/>
          </w:tcPr>
          <w:p>
            <w:pPr>
              <w:framePr w:w="9586" w:h="4838" w:hSpace="10" w:vSpace="629" w:wrap="notBeside" w:vAnchor="text" w:hAnchor="text" w:x="5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4838" w:hSpace="10" w:vSpace="629" w:wrap="notBeside" w:vAnchor="text" w:hAnchor="text" w:x="57" w:y="630"/>
              <w:widowControl w:val="0"/>
              <w:rPr>
                <w:sz w:val="10"/>
                <w:szCs w:val="10"/>
              </w:rPr>
            </w:pPr>
          </w:p>
        </w:tc>
        <w:tc>
          <w:tcPr>
            <w:tcBorders>
              <w:top w:val="single" w:sz="4"/>
              <w:left w:val="single" w:sz="4"/>
              <w:right w:val="single" w:sz="4"/>
            </w:tcBorders>
            <w:shd w:val="clear" w:color="auto" w:fill="FFFFFF"/>
            <w:vAlign w:val="top"/>
          </w:tcPr>
          <w:p>
            <w:pPr>
              <w:framePr w:w="9586" w:h="4838" w:hSpace="10" w:vSpace="629" w:wrap="notBeside" w:vAnchor="text" w:hAnchor="text" w:x="57"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28,457,525.50</w:t>
            </w:r>
          </w:p>
        </w:tc>
        <w:tc>
          <w:tcPr>
            <w:tcBorders>
              <w:top w:val="single" w:sz="4"/>
              <w:left w:val="single" w:sz="4"/>
              <w:right w:val="single" w:sz="4"/>
            </w:tcBorders>
            <w:shd w:val="clear" w:color="auto" w:fill="FFFFFF"/>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19,111,477.84</w:t>
            </w: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1,891,057,204.26</w:t>
            </w:r>
          </w:p>
        </w:tc>
        <w:tc>
          <w:tcPr>
            <w:tcBorders>
              <w:top w:val="single" w:sz="4"/>
              <w:left w:val="single" w:sz="4"/>
              <w:right w:val="single" w:sz="4"/>
            </w:tcBorders>
            <w:shd w:val="clear" w:color="auto" w:fill="FFFFFF"/>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1,635,029,402.65</w:t>
            </w: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2,816,000.00</w:t>
            </w:r>
          </w:p>
        </w:tc>
        <w:tc>
          <w:tcPr>
            <w:tcBorders>
              <w:top w:val="single" w:sz="4"/>
              <w:left w:val="single" w:sz="4"/>
              <w:right w:val="single" w:sz="4"/>
            </w:tcBorders>
            <w:shd w:val="clear" w:color="auto" w:fill="FFFFFF"/>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2,640,000.00</w:t>
            </w: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142,185,939.01</w:t>
            </w:r>
          </w:p>
        </w:tc>
        <w:tc>
          <w:tcPr>
            <w:tcBorders>
              <w:top w:val="single" w:sz="4"/>
              <w:left w:val="single" w:sz="4"/>
              <w:right w:val="single" w:sz="4"/>
            </w:tcBorders>
            <w:shd w:val="clear" w:color="auto" w:fill="FFFFFF"/>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139,179,585.00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framePr w:w="9586" w:h="4838" w:hSpace="10" w:vSpace="629" w:wrap="notBeside" w:vAnchor="text" w:hAnchor="text" w:x="57" w:y="63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framePr w:w="9586" w:h="4838" w:hSpace="10" w:vSpace="629" w:wrap="notBeside" w:vAnchor="text" w:hAnchor="text" w:x="57"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4838" w:hSpace="10" w:vSpace="629" w:wrap="notBeside" w:vAnchor="text" w:hAnchor="text" w:x="57" w:y="630"/>
              <w:widowControl w:val="0"/>
              <w:rPr>
                <w:sz w:val="10"/>
                <w:szCs w:val="10"/>
              </w:rPr>
            </w:pPr>
          </w:p>
        </w:tc>
      </w:tr>
    </w:tbl>
    <w:p>
      <w:pPr>
        <w:pStyle w:val="Style23"/>
        <w:keepNext w:val="0"/>
        <w:keepLines w:val="0"/>
        <w:framePr w:w="9686" w:h="312" w:hSpace="46" w:wrap="notBeside" w:vAnchor="text" w:hAnchor="text" w:x="47"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173,134,939.16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160,485,328.69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39,601,069.70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116,629,925.34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1,770,257,194.50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1,713,059,673.34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10,872,639.51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3,899,271.13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6,981,844.32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4,488,279,292.89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4,492,838,641.53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5,473,135.85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36,754,952.91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589,944,044.61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592,330,993.57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89,451,278.16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301,394,572.00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589,446,366.30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677,819,033.27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232,667,128.52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96,845,820.71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121,165,628.73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56,423,908.29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19,845,988.11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210,218,932.29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205,149,583.56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27,020,372.27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21,224,154.58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2,494,292.46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3,004,409.12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76,554,857.05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71,217,529.18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134,558,358.72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158,575,139.94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2,100,840,383.07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2,220,740,097.13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6,589,119,675.96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6,713,578,738.66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1,654,090,908.02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1,737,724,263.22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149,972,037.03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115,456,130.60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806,470,970.55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996,307,485.66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8,159,311.21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36,823,706.39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58,258,592.44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16,020,338.71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20,819,415.73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93,129,751.37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127,518,409.05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102,701,766.91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148,743,411.35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1,736,258.78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2,869,105,048.97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3,204,827,708.05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17,611,301.06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471,174.99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3,124,200.00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1,829,964.32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1,829,964.32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214,617,300.00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239,903,940.37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3,197,964.32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3,109,008,989.34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3,208,025,672.37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655,789,086.00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655,789,086.00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1,550,967,991.81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1,550,397,873.81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-16,385,486.84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98,424,572.00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169,982,310.23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157,495,393.37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1,090,458,798.09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1,010,820,615.73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3,450,812,699.29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3,472,927,540.91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29,297,987.33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32,625,525.38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3,480,110,686.62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3,505,553,066.29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6,589,119,675.96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6,713,578,738.66</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382" behindDoc="0" locked="0" layoutInCell="1" allowOverlap="1">
                <wp:simplePos x="0" y="0"/>
                <wp:positionH relativeFrom="page">
                  <wp:posOffset>707390</wp:posOffset>
                </wp:positionH>
                <wp:positionV relativeFrom="margin">
                  <wp:posOffset>5885815</wp:posOffset>
                </wp:positionV>
                <wp:extent cx="938530" cy="149225"/>
                <wp:wrapTopAndBottom/>
                <wp:docPr id="6" name="Shape 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法定代表人：王腾</w:t>
                            </w:r>
                          </w:p>
                        </w:txbxContent>
                      </wps:txbx>
                      <wps:bodyPr wrap="none" lIns="0" tIns="0" rIns="0" bIns="0">
                        <a:noAutoFit/>
                      </wps:bodyPr>
                    </wps:wsp>
                  </a:graphicData>
                </a:graphic>
              </wp:anchor>
            </w:drawing>
          </mc:Choice>
          <mc:Fallback>
            <w:pict>
              <v:shape id="_x0000_s1032" type="#_x0000_t202" style="position:absolute;margin-left:55.700000000000003pt;margin-top:463.44999999999999pt;width:73.900000000000006pt;height:11.75pt;z-index:-125829371;mso-wrap-distance-left:9.pt;mso-wrap-distance-top:12.pt;mso-wrap-distance-right:414.40000000000003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法定代表人：王腾</w:t>
                      </w:r>
                    </w:p>
                  </w:txbxContent>
                </v:textbox>
                <w10:wrap type="topAndBottom" anchorx="page" anchory="margin"/>
              </v:shape>
            </w:pict>
          </mc:Fallback>
        </mc:AlternateContent>
      </w:r>
      <w:r>
        <mc:AlternateContent>
          <mc:Choice Requires="wps">
            <w:drawing>
              <wp:anchor distT="152400" distB="3175" distL="2178050" distR="2632075" simplePos="0" relativeHeight="125829384" behindDoc="0" locked="0" layoutInCell="1" allowOverlap="1">
                <wp:simplePos x="0" y="0"/>
                <wp:positionH relativeFrom="page">
                  <wp:posOffset>2771140</wp:posOffset>
                </wp:positionH>
                <wp:positionV relativeFrom="margin">
                  <wp:posOffset>5885815</wp:posOffset>
                </wp:positionV>
                <wp:extent cx="1505585" cy="146050"/>
                <wp:wrapTopAndBottom/>
                <wp:docPr id="8" name="Shape 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主管会计工作负责人：任刚要</w:t>
                            </w:r>
                          </w:p>
                        </w:txbxContent>
                      </wps:txbx>
                      <wps:bodyPr wrap="none" lIns="0" tIns="0" rIns="0" bIns="0">
                        <a:noAutoFit/>
                      </wps:bodyPr>
                    </wps:wsp>
                  </a:graphicData>
                </a:graphic>
              </wp:anchor>
            </w:drawing>
          </mc:Choice>
          <mc:Fallback>
            <w:pict>
              <v:shape id="_x0000_s1034" type="#_x0000_t202" style="position:absolute;margin-left:218.20000000000002pt;margin-top:463.44999999999999pt;width:118.55pt;height:11.5pt;z-index:-125829369;mso-wrap-distance-left:171.5pt;mso-wrap-distance-top:12.pt;mso-wrap-distance-right:207.25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主管会计工作负责人：任刚要</w:t>
                      </w:r>
                    </w:p>
                  </w:txbxContent>
                </v:textbox>
                <w10:wrap type="topAndBottom" anchorx="page" anchory="margin"/>
              </v:shape>
            </w:pict>
          </mc:Fallback>
        </mc:AlternateContent>
      </w:r>
      <w:r>
        <mc:AlternateContent>
          <mc:Choice Requires="wps">
            <w:drawing>
              <wp:anchor distT="152400" distB="0" distL="4801870" distR="114935" simplePos="0" relativeHeight="125829386" behindDoc="0" locked="0" layoutInCell="1" allowOverlap="1">
                <wp:simplePos x="0" y="0"/>
                <wp:positionH relativeFrom="page">
                  <wp:posOffset>5394960</wp:posOffset>
                </wp:positionH>
                <wp:positionV relativeFrom="margin">
                  <wp:posOffset>5885815</wp:posOffset>
                </wp:positionV>
                <wp:extent cx="1398905" cy="149225"/>
                <wp:wrapTopAndBottom/>
                <wp:docPr id="10" name="Shape 10"/>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会计机构负责人：欧阳文根</w:t>
                            </w:r>
                          </w:p>
                        </w:txbxContent>
                      </wps:txbx>
                      <wps:bodyPr wrap="none" lIns="0" tIns="0" rIns="0" bIns="0">
                        <a:noAutoFit/>
                      </wps:bodyPr>
                    </wps:wsp>
                  </a:graphicData>
                </a:graphic>
              </wp:anchor>
            </w:drawing>
          </mc:Choice>
          <mc:Fallback>
            <w:pict>
              <v:shape id="_x0000_s1036" type="#_x0000_t202" style="position:absolute;margin-left:424.80000000000001pt;margin-top:463.44999999999999pt;width:110.15000000000001pt;height:11.75pt;z-index:-125829367;mso-wrap-distance-left:378.10000000000002pt;mso-wrap-distance-top:12.pt;mso-wrap-distance-right:9.0500000000000007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会计机构负责人：欧阳文根</w:t>
                      </w:r>
                    </w:p>
                  </w:txbxContent>
                </v:textbox>
                <w10:wrap type="topAndBottom" anchorx="page" anchory="margin"/>
              </v:shape>
            </w:pict>
          </mc:Fallback>
        </mc:AlternateContent>
      </w: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bookmarkEnd w:id="682"/>
      <w:r>
        <w:rPr>
          <w:color w:val="000000"/>
          <w:spacing w:val="0"/>
          <w:w w:val="100"/>
          <w:position w:val="0"/>
        </w:rPr>
        <w:t>、母公司资产负债表</w:t>
      </w:r>
      <w:bookmarkEnd w:id="680"/>
      <w:bookmarkEnd w:id="681"/>
      <w:bookmarkEnd w:id="68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398,970,236.27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622,099,938.64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28,457,525.50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19,111,477.84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1,911,945,633.83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1,636,598,278.55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2,816,000.00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139,785,340.18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170,941,474.23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317,379,954.09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526,894,286.31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13,873,027.21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84,185,585.11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1,670,283,658.97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1,707,490,204.98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10,872,639.51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176,392.02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4,495,155,430.94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4,770,137,637.68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27,566,926.51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900,653,105.07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901,756,635.13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70,522,000.00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110,116,000.00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589,446,366.30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677,819,033.27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229,087,178.76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92,990,414.63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121,165,628.73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56,423,908.29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19,845,988.11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125,705,022.33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114,339,214.37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27,020,372.27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18,435,930.80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1,110,387.15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783,532.95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67,700,910.52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64,349,232.74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134,447,034.79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158,575,139.94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2,288,703,994.03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2,223,155,968.63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6,783,859,424.97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6,993,293,606.31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1,504,090,908.02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1,592,724,263.22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299,972,037.03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260,456,130.60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762,008,553.91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1,081,970,215.41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8,159,311.21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36,511,564.03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38,113,594.00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9,779,453.27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13,722,471.00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80,667,647.09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120,715,485.91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162,565,823.44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326,595,410.35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1,684,003.46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2,865,439,301.46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3,434,297,570.49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17,611,301.06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3,124,200.00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214,617,300.00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235,352,801.06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3,100,792,102.52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3,435,665,570.49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655,789,086.00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655,789,086.00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1,551,006,932.97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1,550,436,814.97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169,982,310.23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157,495,393.37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1,306,288,993.25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1,193,906,741.48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3,683,067,322.45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3,557,628,035.82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6,783,859,424.97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6,993,293,606.31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3</w:t>
      </w:r>
      <w:bookmarkEnd w:id="686"/>
      <w:r>
        <w:rPr>
          <w:color w:val="000000"/>
          <w:spacing w:val="0"/>
          <w:w w:val="100"/>
          <w:position w:val="0"/>
        </w:rPr>
        <w:t>、合并利润表</w:t>
      </w:r>
      <w:bookmarkEnd w:id="684"/>
      <w:bookmarkEnd w:id="685"/>
      <w:bookmarkEnd w:id="68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554"/>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1,999,686,204.20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2,138,181,930.27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1,999,686,204.20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2,138,181,930.27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1,887,779,206.44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1,957,771,011.23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1,486,947,361.51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1,609,601,729.45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11,326,647.69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9,973,823.55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57,440,876.55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46,427,801.18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145,422,217.95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139,077,278.60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106,639,311.66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71,735,352.83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80,002,791.08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80,955,025.62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86,931,194.58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89,477,284.87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7,418,617.84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17,089,047.34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2,985,487.18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9,102,290.85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3,403,099.16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2,427,544.16</w:t>
            </w:r>
          </w:p>
        </w:tc>
      </w:tr>
    </w:tbl>
    <w:p>
      <w:pPr>
        <w:widowControl w:val="0"/>
        <w:spacing w:line="1" w:lineRule="exact"/>
      </w:pPr>
      <w:r>
        <w:br w:type="page"/>
      </w:r>
    </w:p>
    <w:tbl>
      <w:tblPr>
        <w:tblOverlap w:val="never"/>
        <w:jc w:val="center"/>
        <w:tblLayout w:type="fixed"/>
      </w:tblPr>
      <w:tblGrid>
        <w:gridCol w:w="4685"/>
        <w:gridCol w:w="2554"/>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-4,114,810.80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-4,254,837.40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-31,761,029.63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-11,860,353.62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-1,546,504.29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-5,284,434.43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84,988,050.18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174,799,343.68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22,580,040.41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313,342.85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784,611.43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107,468,887.44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174,328,075.10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11,823,073.19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22,959,780.25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95,645,814.25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151,368,294.85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95,645,814.25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151,368,294.85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98,973,352.30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157,704,491.11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-3,327,538.05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-6,336,196.26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-20,422,149.21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98,007,810.28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-20,422,149.21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98,007,810.28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-20,422,149.21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98,007,810.28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-20,422,149.21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98,007,810.28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554"/>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75,223,665.04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249,376,105.13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78,551,203.09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255,712,301.39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-3,327,538.05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-6,336,196.26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388" behindDoc="0" locked="0" layoutInCell="1" allowOverlap="1">
                <wp:simplePos x="0" y="0"/>
                <wp:positionH relativeFrom="page">
                  <wp:posOffset>707390</wp:posOffset>
                </wp:positionH>
                <wp:positionV relativeFrom="margin">
                  <wp:posOffset>2566670</wp:posOffset>
                </wp:positionV>
                <wp:extent cx="938530" cy="149225"/>
                <wp:wrapTopAndBottom/>
                <wp:docPr id="12" name="Shape 1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法定代表人：王腾</w:t>
                            </w:r>
                          </w:p>
                        </w:txbxContent>
                      </wps:txbx>
                      <wps:bodyPr wrap="none" lIns="0" tIns="0" rIns="0" bIns="0">
                        <a:noAutoFit/>
                      </wps:bodyPr>
                    </wps:wsp>
                  </a:graphicData>
                </a:graphic>
              </wp:anchor>
            </w:drawing>
          </mc:Choice>
          <mc:Fallback>
            <w:pict>
              <v:shape id="_x0000_s1038" type="#_x0000_t202" style="position:absolute;margin-left:55.700000000000003pt;margin-top:202.09999999999999pt;width:73.900000000000006pt;height:11.75pt;z-index:-125829365;mso-wrap-distance-left:9.pt;mso-wrap-distance-top:11.pt;mso-wrap-distance-right:414.40000000000003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法定代表人：王腾</w:t>
                      </w:r>
                    </w:p>
                  </w:txbxContent>
                </v:textbox>
                <w10:wrap type="topAndBottom" anchorx="page" anchory="margin"/>
              </v:shape>
            </w:pict>
          </mc:Fallback>
        </mc:AlternateContent>
      </w:r>
      <w:r>
        <mc:AlternateContent>
          <mc:Choice Requires="wps">
            <w:drawing>
              <wp:anchor distT="139700" distB="3175" distL="2178050" distR="2632075" simplePos="0" relativeHeight="125829390" behindDoc="0" locked="0" layoutInCell="1" allowOverlap="1">
                <wp:simplePos x="0" y="0"/>
                <wp:positionH relativeFrom="page">
                  <wp:posOffset>2771140</wp:posOffset>
                </wp:positionH>
                <wp:positionV relativeFrom="margin">
                  <wp:posOffset>2566670</wp:posOffset>
                </wp:positionV>
                <wp:extent cx="1505585" cy="146050"/>
                <wp:wrapTopAndBottom/>
                <wp:docPr id="14" name="Shape 1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主管会计工作负责人：任刚要</w:t>
                            </w:r>
                          </w:p>
                        </w:txbxContent>
                      </wps:txbx>
                      <wps:bodyPr wrap="none" lIns="0" tIns="0" rIns="0" bIns="0">
                        <a:noAutoFit/>
                      </wps:bodyPr>
                    </wps:wsp>
                  </a:graphicData>
                </a:graphic>
              </wp:anchor>
            </w:drawing>
          </mc:Choice>
          <mc:Fallback>
            <w:pict>
              <v:shape id="_x0000_s1040" type="#_x0000_t202" style="position:absolute;margin-left:218.20000000000002pt;margin-top:202.09999999999999pt;width:118.55pt;height:11.5pt;z-index:-125829363;mso-wrap-distance-left:171.5pt;mso-wrap-distance-top:11.pt;mso-wrap-distance-right:207.25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主管会计工作负责人：任刚要</w:t>
                      </w:r>
                    </w:p>
                  </w:txbxContent>
                </v:textbox>
                <w10:wrap type="topAndBottom" anchorx="page" anchory="margin"/>
              </v:shape>
            </w:pict>
          </mc:Fallback>
        </mc:AlternateContent>
      </w:r>
      <w:r>
        <mc:AlternateContent>
          <mc:Choice Requires="wps">
            <w:drawing>
              <wp:anchor distT="139700" distB="0" distL="4801870" distR="114935" simplePos="0" relativeHeight="125829392" behindDoc="0" locked="0" layoutInCell="1" allowOverlap="1">
                <wp:simplePos x="0" y="0"/>
                <wp:positionH relativeFrom="page">
                  <wp:posOffset>5394960</wp:posOffset>
                </wp:positionH>
                <wp:positionV relativeFrom="margin">
                  <wp:posOffset>2566670</wp:posOffset>
                </wp:positionV>
                <wp:extent cx="1398905" cy="149225"/>
                <wp:wrapTopAndBottom/>
                <wp:docPr id="16" name="Shape 16"/>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会计机构负责人：欧阳文根</w:t>
                            </w:r>
                          </w:p>
                        </w:txbxContent>
                      </wps:txbx>
                      <wps:bodyPr wrap="none" lIns="0" tIns="0" rIns="0" bIns="0">
                        <a:noAutoFit/>
                      </wps:bodyPr>
                    </wps:wsp>
                  </a:graphicData>
                </a:graphic>
              </wp:anchor>
            </w:drawing>
          </mc:Choice>
          <mc:Fallback>
            <w:pict>
              <v:shape id="_x0000_s1042" type="#_x0000_t202" style="position:absolute;margin-left:424.80000000000001pt;margin-top:202.09999999999999pt;width:110.15000000000001pt;height:11.75pt;z-index:-125829361;mso-wrap-distance-left:378.10000000000002pt;mso-wrap-distance-top:11.pt;mso-wrap-distance-right:9.0500000000000007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会计机构负责人：欧阳文根</w:t>
                      </w:r>
                    </w:p>
                  </w:txbxContent>
                </v:textbox>
                <w10:wrap type="topAndBottom" anchorx="page" anchory="margin"/>
              </v:shape>
            </w:pict>
          </mc:Fallback>
        </mc:AlternateContent>
      </w: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4</w:t>
      </w:r>
      <w:bookmarkEnd w:id="690"/>
      <w:r>
        <w:rPr>
          <w:color w:val="000000"/>
          <w:spacing w:val="0"/>
          <w:w w:val="100"/>
          <w:position w:val="0"/>
        </w:rPr>
        <w:t>、母公司利润表</w:t>
      </w:r>
      <w:bookmarkEnd w:id="688"/>
      <w:bookmarkEnd w:id="689"/>
      <w:bookmarkEnd w:id="69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554"/>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1,821,397,724.95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2,081,874,980.78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1,345,949,645.00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1,549,399,659.25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11,061,031.36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9,546,227.32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49,700,561.04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45,039,770.20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91,252,362.04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94,050,194.08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97,629,836.06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93,035,941.59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79,953,323.22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80,685,685.04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80,993,976.39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88,213,395.98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1,928,437.85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15,976,988.28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2,211,522.01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4,566,943.60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-1,362,530.06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-5,694,326.78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-5,103,530.06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-5,694,411.09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100"/>
              <w:jc w:val="left"/>
            </w:pPr>
            <w:r>
              <w:rPr>
                <w:color w:val="000000"/>
                <w:spacing w:val="0"/>
                <w:w w:val="100"/>
                <w:position w:val="0"/>
              </w:rPr>
              <w:t>以摊余成本计量的金融资产终止确认收益（损 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-19,868,177.58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25,539,149.53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-376,396.14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-1,836,013.43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126,455,384.46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232,697,951.18</w:t>
            </w:r>
          </w:p>
        </w:tc>
      </w:tr>
    </w:tbl>
    <w:p>
      <w:pPr>
        <w:widowControl w:val="0"/>
        <w:spacing w:line="1" w:lineRule="exact"/>
      </w:pPr>
      <w:r>
        <w:br w:type="page"/>
      </w:r>
    </w:p>
    <w:tbl>
      <w:tblPr>
        <w:tblOverlap w:val="never"/>
        <w:jc w:val="center"/>
        <w:tblLayout w:type="fixed"/>
      </w:tblPr>
      <w:tblGrid>
        <w:gridCol w:w="4685"/>
        <w:gridCol w:w="2554"/>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1,977,300.48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210,286.79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128,376,135.46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232,513,642.48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10,416,595.37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27,335,820.46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117,959,540.09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205,177,822.02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117,959,540.09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205,177,822.02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117,959,540.09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205,185,517.67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5</w:t>
      </w:r>
      <w:bookmarkEnd w:id="694"/>
      <w:r>
        <w:rPr>
          <w:color w:val="000000"/>
          <w:spacing w:val="0"/>
          <w:w w:val="100"/>
          <w:position w:val="0"/>
        </w:rPr>
        <w:t>、合并现金流量表</w:t>
      </w:r>
      <w:bookmarkEnd w:id="692"/>
      <w:bookmarkEnd w:id="693"/>
      <w:bookmarkEnd w:id="69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2405"/>
        <w:gridCol w:w="22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1,707,246,512.71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1,685,138,674.92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73"/>
        <w:gridCol w:w="2405"/>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229,876.09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156,172,638.74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114,248,617.99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1,863,649,027.54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1,799,434,770.79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1,569,850,696.40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1,496,640,179.61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94,687,585.11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99,945,419.98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72,776,063.07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46,280,060.48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386,703,587.09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248,061,195.29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2,124,017,931.67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1,890,926,855.36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-260,368,904.13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-91,492,084.57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90,383,602.37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12,121,362.10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4,750,048.12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38,328,233.17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4,898,640.21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214,617,300.00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900,478,050.00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314,649,590.70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950,951,214.97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170,728,213.28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75,053,627.88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7,488,434.72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73"/>
        <w:gridCol w:w="2405"/>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717,254,050.00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178,216,648.00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792,307,677.88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136,432,942.70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158,643,537.09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1,704,250,000.00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1,985,000,000.00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41,922,678.78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71,516,489.63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1,746,172,678.78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2,056,516,489.63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1,784,000,000.00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1,885,650,000.00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88,564,549.78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114,980,299.82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29,481,583.82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50,280,039.32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1,902,046,133.60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2,050,910,339.14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-155,873,454.82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5,606,150.49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51,996.97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-279,606,299.20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72,809,599.98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633,849,153.85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561,039,553.87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354,242,854.65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633,849,153.85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6</w:t>
      </w:r>
      <w:bookmarkEnd w:id="698"/>
      <w:r>
        <w:rPr>
          <w:color w:val="000000"/>
          <w:spacing w:val="0"/>
          <w:w w:val="100"/>
          <w:position w:val="0"/>
        </w:rPr>
        <w:t>、母公司现金流量表</w:t>
      </w:r>
      <w:bookmarkEnd w:id="696"/>
      <w:bookmarkEnd w:id="697"/>
      <w:bookmarkEnd w:id="69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2405"/>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1,702,266,132.18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1,617,474,610.88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229,876.09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47,477.88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182,106,559.68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82,709,315.05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1,884,602,567.95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1,700,231,403.81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1,617,706,229.06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1,298,718,083.13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50,929,154.67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60,034,803.55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69,426,403.51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44,590,690.17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372,715,667.69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227,365,542.17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2,110,777,454.93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1,630,709,119.02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-226,174,886.98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69,522,284.79</w:t>
            </w:r>
          </w:p>
        </w:tc>
      </w:tr>
    </w:tbl>
    <w:p>
      <w:pPr>
        <w:widowControl w:val="0"/>
        <w:spacing w:line="1" w:lineRule="exact"/>
      </w:pPr>
      <w:r>
        <w:br w:type="page"/>
      </w:r>
    </w:p>
    <w:tbl>
      <w:tblPr>
        <w:tblOverlap w:val="never"/>
        <w:jc w:val="center"/>
        <w:tblLayout w:type="fixed"/>
      </w:tblPr>
      <w:tblGrid>
        <w:gridCol w:w="4973"/>
        <w:gridCol w:w="2405"/>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24,501,814.27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3,741,000.00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38,054,404.00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4,898,640.21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214,617,300.00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900,478,050.00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247,758,754.48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938,564,465.27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169,696,331.67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73,540,994.03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717,254,050.00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176,196,331.67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790,795,044.03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71,562,422.81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147,769,421.24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1,552,000,000.00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318,601,521.87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190,679,291.58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1,870,601,521.87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2,030,679,291.58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1,639,000,000.00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1,885,450,000.00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82,374,701.58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114,980,299.82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223,332,773.96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221,318,911.24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1,944,707,475.54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2,221,749,211.06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-74,105,953.67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-191,069,919.48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-229,012,107.34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26,279,457.08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556,227,688.14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529,948,231.06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327,215,580.80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556,227,688.14</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7</w:t>
      </w:r>
      <w:bookmarkEnd w:id="702"/>
      <w:r>
        <w:rPr>
          <w:color w:val="000000"/>
          <w:spacing w:val="0"/>
          <w:w w:val="100"/>
          <w:position w:val="0"/>
        </w:rPr>
        <w:t>、合并所有者权益变动表</w:t>
      </w:r>
      <w:bookmarkEnd w:id="700"/>
      <w:bookmarkEnd w:id="701"/>
      <w:bookmarkEnd w:id="703"/>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1397"/>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者权</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配利 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益合 计</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397,87</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927,54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32,625 </w:t>
            </w:r>
            <w:r>
              <w:rPr>
                <w:rFonts w:ascii="Times New Roman" w:eastAsia="Times New Roman" w:hAnsi="Times New Roman" w:cs="Times New Roman"/>
                <w:color w:val="000000"/>
                <w:spacing w:val="0"/>
                <w:w w:val="100"/>
                <w:position w:val="0"/>
                <w:sz w:val="18"/>
                <w:szCs w:val="18"/>
              </w:rPr>
              <w:t xml:space="preserve">,525.3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553,06</w:t>
            </w:r>
          </w:p>
          <w:p>
            <w:pPr>
              <w:pStyle w:val="Style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397,87</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927,54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32,625 </w:t>
            </w:r>
            <w:r>
              <w:rPr>
                <w:rFonts w:ascii="Times New Roman" w:eastAsia="Times New Roman" w:hAnsi="Times New Roman" w:cs="Times New Roman"/>
                <w:color w:val="000000"/>
                <w:spacing w:val="0"/>
                <w:w w:val="100"/>
                <w:position w:val="0"/>
                <w:sz w:val="18"/>
                <w:szCs w:val="18"/>
              </w:rPr>
              <w:t xml:space="preserve">,525.3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553,06</w:t>
            </w:r>
          </w:p>
          <w:p>
            <w:pPr>
              <w:pStyle w:val="Style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570,11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12,486 </w:t>
            </w:r>
            <w:r>
              <w:rPr>
                <w:rFonts w:ascii="Times New Roman" w:eastAsia="Times New Roman" w:hAnsi="Times New Roman" w:cs="Times New Roman"/>
                <w:color w:val="000000"/>
                <w:spacing w:val="0"/>
                <w:w w:val="100"/>
                <w:position w:val="0"/>
                <w:sz w:val="18"/>
                <w:szCs w:val="18"/>
              </w:rPr>
              <w:t xml:space="preserve">,916.8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79,638 </w:t>
            </w:r>
            <w:r>
              <w:rPr>
                <w:rFonts w:ascii="Times New Roman" w:eastAsia="Times New Roman" w:hAnsi="Times New Roman" w:cs="Times New Roman"/>
                <w:color w:val="000000"/>
                <w:spacing w:val="0"/>
                <w:w w:val="100"/>
                <w:position w:val="0"/>
                <w:sz w:val="18"/>
                <w:szCs w:val="18"/>
              </w:rPr>
              <w:t xml:space="preserve">,182.3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-3,327, 538.05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98,973 </w:t>
            </w:r>
            <w:r>
              <w:rPr>
                <w:rFonts w:ascii="Times New Roman" w:eastAsia="Times New Roman" w:hAnsi="Times New Roman" w:cs="Times New Roman"/>
                <w:color w:val="000000"/>
                <w:spacing w:val="0"/>
                <w:w w:val="100"/>
                <w:position w:val="0"/>
                <w:sz w:val="18"/>
                <w:szCs w:val="18"/>
              </w:rPr>
              <w:t xml:space="preserve">,352.3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78,551 </w:t>
            </w:r>
            <w:r>
              <w:rPr>
                <w:rFonts w:ascii="Times New Roman" w:eastAsia="Times New Roman" w:hAnsi="Times New Roman" w:cs="Times New Roman"/>
                <w:color w:val="000000"/>
                <w:spacing w:val="0"/>
                <w:w w:val="100"/>
                <w:position w:val="0"/>
                <w:sz w:val="18"/>
                <w:szCs w:val="18"/>
              </w:rPr>
              <w:t xml:space="preserve">,203.0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-3,327, 538.05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75,223 </w:t>
            </w:r>
            <w:r>
              <w:rPr>
                <w:rFonts w:ascii="Times New Roman" w:eastAsia="Times New Roman" w:hAnsi="Times New Roman" w:cs="Times New Roman"/>
                <w:color w:val="000000"/>
                <w:spacing w:val="0"/>
                <w:w w:val="100"/>
                <w:position w:val="0"/>
                <w:sz w:val="18"/>
                <w:szCs w:val="18"/>
              </w:rPr>
              <w:t xml:space="preserve">,665.0 </w:t>
            </w: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570,11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570,11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570,11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570,11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7,909.</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7,909.</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94,387 </w:t>
            </w:r>
            <w:r>
              <w:rPr>
                <w:rFonts w:ascii="Times New Roman" w:eastAsia="Times New Roman" w:hAnsi="Times New Roman" w:cs="Times New Roman"/>
                <w:color w:val="000000"/>
                <w:spacing w:val="0"/>
                <w:w w:val="100"/>
                <w:position w:val="0"/>
                <w:sz w:val="18"/>
                <w:szCs w:val="18"/>
              </w:rPr>
              <w:t xml:space="preserve">,909.6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967,99</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29,297 </w:t>
            </w:r>
            <w:r>
              <w:rPr>
                <w:rFonts w:ascii="Times New Roman" w:eastAsia="Times New Roman" w:hAnsi="Times New Roman" w:cs="Times New Roman"/>
                <w:color w:val="000000"/>
                <w:spacing w:val="0"/>
                <w:w w:val="100"/>
                <w:position w:val="0"/>
                <w:sz w:val="18"/>
                <w:szCs w:val="18"/>
              </w:rPr>
              <w:t>,987.3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693,68</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4,084.</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-2,710, 991.44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-2,710, 991.44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429,59</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98,423 </w:t>
            </w:r>
            <w:r>
              <w:rPr>
                <w:rFonts w:ascii="Times New Roman" w:eastAsia="Times New Roman" w:hAnsi="Times New Roman" w:cs="Times New Roman"/>
                <w:color w:val="000000"/>
                <w:spacing w:val="0"/>
                <w:w w:val="100"/>
                <w:position w:val="0"/>
                <w:sz w:val="18"/>
                <w:szCs w:val="18"/>
              </w:rPr>
              <w:t xml:space="preserve">,690.4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6,902.</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,706.44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20,517 </w:t>
            </w:r>
            <w:r>
              <w:rPr>
                <w:rFonts w:ascii="Times New Roman" w:eastAsia="Times New Roman" w:hAnsi="Times New Roman" w:cs="Times New Roman"/>
                <w:color w:val="000000"/>
                <w:spacing w:val="0"/>
                <w:w w:val="100"/>
                <w:position w:val="0"/>
                <w:sz w:val="18"/>
                <w:szCs w:val="18"/>
              </w:rPr>
              <w:t xml:space="preserve">,782.2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3,672.</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-36,031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,726.11</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397,87</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98,424</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3,505,5 </w:t>
            </w:r>
            <w:r>
              <w:rPr>
                <w:rFonts w:ascii="Times New Roman" w:eastAsia="Times New Roman" w:hAnsi="Times New Roman" w:cs="Times New Roman"/>
                <w:color w:val="000000"/>
                <w:spacing w:val="0"/>
                <w:w w:val="100"/>
                <w:position w:val="0"/>
                <w:sz w:val="18"/>
                <w:szCs w:val="18"/>
              </w:rPr>
              <w:t>53,066.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8</w:t>
      </w:r>
      <w:bookmarkEnd w:id="706"/>
      <w:r>
        <w:rPr>
          <w:color w:val="000000"/>
          <w:spacing w:val="0"/>
          <w:w w:val="100"/>
          <w:position w:val="0"/>
        </w:rPr>
        <w:t>、母公司所有者权益变动表</w:t>
      </w:r>
      <w:bookmarkEnd w:id="704"/>
      <w:bookmarkEnd w:id="705"/>
      <w:bookmarkEnd w:id="707"/>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1,550,43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1,193,9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06,741.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1,550,43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1,193,9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06,741.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035.82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570,118.</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117,95 </w:t>
            </w:r>
            <w:r>
              <w:rPr>
                <w:rFonts w:ascii="Times New Roman" w:eastAsia="Times New Roman" w:hAnsi="Times New Roman" w:cs="Times New Roman"/>
                <w:color w:val="000000"/>
                <w:spacing w:val="0"/>
                <w:w w:val="100"/>
                <w:position w:val="0"/>
                <w:sz w:val="18"/>
                <w:szCs w:val="18"/>
              </w:rPr>
              <w:t xml:space="preserve">9,540.0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570,118.</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570,118.00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570,118.</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570,118.00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6,218,6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6,218,6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3,683,067, 322.45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137,848 </w:t>
            </w:r>
            <w:r>
              <w:rPr>
                <w:rFonts w:ascii="Times New Roman" w:eastAsia="Times New Roman" w:hAnsi="Times New Roman" w:cs="Times New Roman"/>
                <w:color w:val="000000"/>
                <w:spacing w:val="0"/>
                <w:w w:val="100"/>
                <w:position w:val="0"/>
                <w:sz w:val="18"/>
                <w:szCs w:val="18"/>
              </w:rPr>
              <w:t>,864.61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1,036,761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3,429,133,1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-18,274,205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3,408,147,9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164,994,0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149,480,11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205,177,8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-40,191,4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-20,517,7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-19,673,6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-36,031,726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1,193,906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w:t>
            </w:r>
          </w:p>
        </w:tc>
      </w:tr>
    </w:tbl>
    <w:p>
      <w:pPr>
        <w:widowControl w:val="0"/>
        <w:spacing w:after="319" w:line="1" w:lineRule="exact"/>
      </w:pPr>
    </w:p>
    <w:p>
      <w:pPr>
        <w:pStyle w:val="Style21"/>
        <w:keepNext/>
        <w:keepLines/>
        <w:widowControl w:val="0"/>
        <w:shd w:val="clear" w:color="auto" w:fill="auto"/>
        <w:bidi w:val="0"/>
        <w:spacing w:before="0" w:after="26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三</w:t>
      </w:r>
      <w:bookmarkEnd w:id="710"/>
      <w:r>
        <w:rPr>
          <w:color w:val="000000"/>
          <w:spacing w:val="0"/>
          <w:w w:val="100"/>
          <w:position w:val="0"/>
        </w:rPr>
        <w:t>、公司基本情况</w:t>
      </w:r>
      <w:bookmarkEnd w:id="708"/>
      <w:bookmarkEnd w:id="709"/>
      <w:bookmarkEnd w:id="711"/>
    </w:p>
    <w:p>
      <w:pPr>
        <w:pStyle w:val="Style25"/>
        <w:keepNext w:val="0"/>
        <w:keepLines w:val="0"/>
        <w:widowControl w:val="0"/>
        <w:shd w:val="clear" w:color="auto" w:fill="auto"/>
        <w:bidi w:val="0"/>
        <w:spacing w:before="0" w:after="0" w:line="313" w:lineRule="exact"/>
        <w:ind w:left="0" w:right="0"/>
        <w:jc w:val="both"/>
      </w:pPr>
      <w:bookmarkStart w:id="712" w:name="bookmark712"/>
      <w:r>
        <w:rPr>
          <w:b/>
          <w:bCs/>
          <w:color w:val="000000"/>
          <w:spacing w:val="0"/>
          <w:w w:val="100"/>
          <w:position w:val="0"/>
        </w:rPr>
        <w:t>1</w:t>
      </w:r>
      <w:bookmarkEnd w:id="712"/>
      <w:r>
        <w:rPr>
          <w:b/>
          <w:bCs/>
          <w:color w:val="000000"/>
          <w:spacing w:val="0"/>
          <w:w w:val="100"/>
          <w:position w:val="0"/>
        </w:rPr>
        <w:t>、公司注册地、组织形式和总部地址</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银江技术股份有限公司（以下简称“公司”或“本公司”）系在原杭州银江电子有限公司基础上整体变更设立的股份有 限公司，由银江科技集团有限公司和自然人张岩、柴志涛、王毅、杨富金、钱小鸿、樊锦祥、刘健、钱英、柳展、王剑伟作 为发起人，注册资本为人民币</w:t>
      </w:r>
      <w:r>
        <w:rPr>
          <w:color w:val="000000"/>
          <w:spacing w:val="0"/>
          <w:w w:val="100"/>
          <w:position w:val="0"/>
          <w:sz w:val="18"/>
          <w:szCs w:val="18"/>
        </w:rPr>
        <w:t>4, 000</w:t>
      </w:r>
      <w:r>
        <w:rPr>
          <w:color w:val="000000"/>
          <w:spacing w:val="0"/>
          <w:w w:val="100"/>
          <w:position w:val="0"/>
        </w:rPr>
        <w:t>万元（每股面值人民币</w:t>
      </w:r>
      <w:r>
        <w:rPr>
          <w:color w:val="000000"/>
          <w:spacing w:val="0"/>
          <w:w w:val="100"/>
          <w:position w:val="0"/>
          <w:sz w:val="18"/>
          <w:szCs w:val="18"/>
        </w:rPr>
        <w:t>1</w:t>
      </w:r>
      <w:r>
        <w:rPr>
          <w:color w:val="000000"/>
          <w:spacing w:val="0"/>
          <w:w w:val="100"/>
          <w:position w:val="0"/>
        </w:rPr>
        <w:t>元）。公司企业法人营业执照注册号：</w:t>
      </w:r>
      <w:r>
        <w:rPr>
          <w:color w:val="000000"/>
          <w:spacing w:val="0"/>
          <w:w w:val="100"/>
          <w:position w:val="0"/>
          <w:sz w:val="18"/>
          <w:szCs w:val="18"/>
        </w:rPr>
        <w:t>91330000609121494M</w:t>
      </w:r>
      <w:r>
        <w:rPr>
          <w:color w:val="000000"/>
          <w:spacing w:val="0"/>
          <w:w w:val="100"/>
          <w:position w:val="0"/>
        </w:rPr>
        <w:t>。</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月，公司申请新增注册资本</w:t>
      </w:r>
      <w:r>
        <w:rPr>
          <w:color w:val="000000"/>
          <w:spacing w:val="0"/>
          <w:w w:val="100"/>
          <w:position w:val="0"/>
          <w:sz w:val="18"/>
          <w:szCs w:val="18"/>
        </w:rPr>
        <w:t>1,200</w:t>
      </w:r>
      <w:r>
        <w:rPr>
          <w:color w:val="000000"/>
          <w:spacing w:val="0"/>
          <w:w w:val="100"/>
          <w:position w:val="0"/>
        </w:rPr>
        <w:t>万元，由新增法人股东浙江蓝山投资有限公司出资</w:t>
      </w:r>
      <w:r>
        <w:rPr>
          <w:color w:val="000000"/>
          <w:spacing w:val="0"/>
          <w:w w:val="100"/>
          <w:position w:val="0"/>
          <w:sz w:val="18"/>
          <w:szCs w:val="18"/>
        </w:rPr>
        <w:t>500</w:t>
      </w:r>
      <w:r>
        <w:rPr>
          <w:color w:val="000000"/>
          <w:spacing w:val="0"/>
          <w:w w:val="100"/>
          <w:position w:val="0"/>
        </w:rPr>
        <w:t>万元，新增自然人股东 杨增荣出资</w:t>
      </w:r>
      <w:r>
        <w:rPr>
          <w:color w:val="000000"/>
          <w:spacing w:val="0"/>
          <w:w w:val="100"/>
          <w:position w:val="0"/>
          <w:sz w:val="18"/>
          <w:szCs w:val="18"/>
        </w:rPr>
        <w:t>282</w:t>
      </w:r>
      <w:r>
        <w:rPr>
          <w:color w:val="000000"/>
          <w:spacing w:val="0"/>
          <w:w w:val="100"/>
          <w:position w:val="0"/>
        </w:rPr>
        <w:t>万元，新增自然人股东李涛出资</w:t>
      </w:r>
      <w:r>
        <w:rPr>
          <w:color w:val="000000"/>
          <w:spacing w:val="0"/>
          <w:w w:val="100"/>
          <w:position w:val="0"/>
          <w:sz w:val="18"/>
          <w:szCs w:val="18"/>
        </w:rPr>
        <w:t>278</w:t>
      </w:r>
      <w:r>
        <w:rPr>
          <w:color w:val="000000"/>
          <w:spacing w:val="0"/>
          <w:w w:val="100"/>
          <w:position w:val="0"/>
        </w:rPr>
        <w:t>万元，新增自然人股东章笠中出资</w:t>
      </w:r>
      <w:r>
        <w:rPr>
          <w:color w:val="000000"/>
          <w:spacing w:val="0"/>
          <w:w w:val="100"/>
          <w:position w:val="0"/>
          <w:sz w:val="18"/>
          <w:szCs w:val="18"/>
        </w:rPr>
        <w:t>60</w:t>
      </w:r>
      <w:r>
        <w:rPr>
          <w:color w:val="000000"/>
          <w:spacing w:val="0"/>
          <w:w w:val="100"/>
          <w:position w:val="0"/>
        </w:rPr>
        <w:t>万元，新增自然人股东乐秀夫出资</w:t>
      </w:r>
      <w:r>
        <w:rPr>
          <w:color w:val="000000"/>
          <w:spacing w:val="0"/>
          <w:w w:val="100"/>
          <w:position w:val="0"/>
          <w:sz w:val="18"/>
          <w:szCs w:val="18"/>
        </w:rPr>
        <w:t xml:space="preserve">80 </w:t>
      </w:r>
      <w:r>
        <w:rPr>
          <w:color w:val="000000"/>
          <w:spacing w:val="0"/>
          <w:w w:val="100"/>
          <w:position w:val="0"/>
        </w:rPr>
        <w:t>万元，变更后的注册资本为</w:t>
      </w:r>
      <w:r>
        <w:rPr>
          <w:color w:val="000000"/>
          <w:spacing w:val="0"/>
          <w:w w:val="100"/>
          <w:position w:val="0"/>
          <w:sz w:val="18"/>
          <w:szCs w:val="18"/>
        </w:rPr>
        <w:t>5,200</w:t>
      </w:r>
      <w:r>
        <w:rPr>
          <w:color w:val="000000"/>
          <w:spacing w:val="0"/>
          <w:w w:val="100"/>
          <w:position w:val="0"/>
        </w:rPr>
        <w:t>万元。</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月，钱英将其所持公司股份中的</w:t>
      </w:r>
      <w:r>
        <w:rPr>
          <w:color w:val="000000"/>
          <w:spacing w:val="0"/>
          <w:w w:val="100"/>
          <w:position w:val="0"/>
          <w:sz w:val="18"/>
          <w:szCs w:val="18"/>
        </w:rPr>
        <w:t>10</w:t>
      </w:r>
      <w:r>
        <w:rPr>
          <w:color w:val="000000"/>
          <w:spacing w:val="0"/>
          <w:w w:val="100"/>
          <w:position w:val="0"/>
        </w:rPr>
        <w:t>万股转让给李正大、</w:t>
      </w:r>
      <w:r>
        <w:rPr>
          <w:color w:val="000000"/>
          <w:spacing w:val="0"/>
          <w:w w:val="100"/>
          <w:position w:val="0"/>
          <w:sz w:val="18"/>
          <w:szCs w:val="18"/>
        </w:rPr>
        <w:t>10</w:t>
      </w:r>
      <w:r>
        <w:rPr>
          <w:color w:val="000000"/>
          <w:spacing w:val="0"/>
          <w:w w:val="100"/>
          <w:position w:val="0"/>
        </w:rPr>
        <w:t>万股转让给胡志宏，杨富金将其所持公司股份中的</w:t>
      </w:r>
      <w:r>
        <w:rPr>
          <w:color w:val="000000"/>
          <w:spacing w:val="0"/>
          <w:w w:val="100"/>
          <w:position w:val="0"/>
          <w:sz w:val="18"/>
          <w:szCs w:val="18"/>
        </w:rPr>
        <w:t xml:space="preserve">20 </w:t>
      </w:r>
      <w:r>
        <w:rPr>
          <w:color w:val="000000"/>
          <w:spacing w:val="0"/>
          <w:w w:val="100"/>
          <w:position w:val="0"/>
        </w:rPr>
        <w:t>万股转让给胡志宏；另外公司申请新增注册资本</w:t>
      </w:r>
      <w:r>
        <w:rPr>
          <w:color w:val="000000"/>
          <w:spacing w:val="0"/>
          <w:w w:val="100"/>
          <w:position w:val="0"/>
          <w:sz w:val="18"/>
          <w:szCs w:val="18"/>
        </w:rPr>
        <w:t>800</w:t>
      </w:r>
      <w:r>
        <w:rPr>
          <w:color w:val="000000"/>
          <w:spacing w:val="0"/>
          <w:w w:val="100"/>
          <w:position w:val="0"/>
        </w:rPr>
        <w:t>万元，其中银江科技集团有限公司增资</w:t>
      </w:r>
      <w:r>
        <w:rPr>
          <w:color w:val="000000"/>
          <w:spacing w:val="0"/>
          <w:w w:val="100"/>
          <w:position w:val="0"/>
          <w:sz w:val="18"/>
          <w:szCs w:val="18"/>
        </w:rPr>
        <w:t>50</w:t>
      </w:r>
      <w:r>
        <w:rPr>
          <w:color w:val="000000"/>
          <w:spacing w:val="0"/>
          <w:w w:val="100"/>
          <w:position w:val="0"/>
        </w:rPr>
        <w:t>万元，英特尔产品（成都）有 限公司投资</w:t>
      </w:r>
      <w:r>
        <w:rPr>
          <w:color w:val="000000"/>
          <w:spacing w:val="0"/>
          <w:w w:val="100"/>
          <w:position w:val="0"/>
          <w:sz w:val="18"/>
          <w:szCs w:val="18"/>
        </w:rPr>
        <w:t>500</w:t>
      </w:r>
      <w:r>
        <w:rPr>
          <w:color w:val="000000"/>
          <w:spacing w:val="0"/>
          <w:w w:val="100"/>
          <w:position w:val="0"/>
        </w:rPr>
        <w:t>万元，浙江省科技风险投资有限公司投资</w:t>
      </w:r>
      <w:r>
        <w:rPr>
          <w:color w:val="000000"/>
          <w:spacing w:val="0"/>
          <w:w w:val="100"/>
          <w:position w:val="0"/>
          <w:sz w:val="18"/>
          <w:szCs w:val="18"/>
        </w:rPr>
        <w:t>150</w:t>
      </w:r>
      <w:r>
        <w:rPr>
          <w:color w:val="000000"/>
          <w:spacing w:val="0"/>
          <w:w w:val="100"/>
          <w:position w:val="0"/>
        </w:rPr>
        <w:t>万元，杭州青岛实业投资有限公司投资</w:t>
      </w:r>
      <w:r>
        <w:rPr>
          <w:color w:val="000000"/>
          <w:spacing w:val="0"/>
          <w:w w:val="100"/>
          <w:position w:val="0"/>
          <w:sz w:val="18"/>
          <w:szCs w:val="18"/>
        </w:rPr>
        <w:t>10 0</w:t>
      </w:r>
      <w:r>
        <w:rPr>
          <w:color w:val="000000"/>
          <w:spacing w:val="0"/>
          <w:w w:val="100"/>
          <w:position w:val="0"/>
        </w:rPr>
        <w:t>万元，变更后的注册 资本为</w:t>
      </w:r>
      <w:r>
        <w:rPr>
          <w:color w:val="000000"/>
          <w:spacing w:val="0"/>
          <w:w w:val="100"/>
          <w:position w:val="0"/>
          <w:sz w:val="18"/>
          <w:szCs w:val="18"/>
        </w:rPr>
        <w:t>6, 000</w:t>
      </w:r>
      <w:r>
        <w:rPr>
          <w:color w:val="000000"/>
          <w:spacing w:val="0"/>
          <w:w w:val="100"/>
          <w:position w:val="0"/>
        </w:rPr>
        <w:t>万元。</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3</w:t>
      </w:r>
      <w:r>
        <w:rPr>
          <w:color w:val="000000"/>
          <w:spacing w:val="0"/>
          <w:w w:val="100"/>
          <w:position w:val="0"/>
        </w:rPr>
        <w:t>月，杨增荣、张岩分别将其持有的</w:t>
      </w:r>
      <w:r>
        <w:rPr>
          <w:color w:val="000000"/>
          <w:spacing w:val="0"/>
          <w:w w:val="100"/>
          <w:position w:val="0"/>
          <w:sz w:val="18"/>
          <w:szCs w:val="18"/>
        </w:rPr>
        <w:t>75</w:t>
      </w:r>
      <w:r>
        <w:rPr>
          <w:color w:val="000000"/>
          <w:spacing w:val="0"/>
          <w:w w:val="100"/>
          <w:position w:val="0"/>
        </w:rPr>
        <w:t>万股股份转让给海通开元投资有限公司。</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color w:val="000000"/>
          <w:spacing w:val="0"/>
          <w:w w:val="100"/>
          <w:position w:val="0"/>
          <w:sz w:val="18"/>
          <w:szCs w:val="18"/>
        </w:rPr>
        <w:t>2009</w:t>
      </w:r>
      <w:r>
        <w:rPr>
          <w:color w:val="000000"/>
          <w:spacing w:val="0"/>
          <w:w w:val="100"/>
          <w:position w:val="0"/>
        </w:rPr>
        <w:t>年度第一次临时股东大会决议，并经中国证券监督管理委员会证监许可【</w:t>
      </w:r>
      <w:r>
        <w:rPr>
          <w:color w:val="000000"/>
          <w:spacing w:val="0"/>
          <w:w w:val="100"/>
          <w:position w:val="0"/>
          <w:sz w:val="18"/>
          <w:szCs w:val="18"/>
        </w:rPr>
        <w:t>2009</w:t>
      </w:r>
      <w:r>
        <w:rPr>
          <w:color w:val="000000"/>
          <w:spacing w:val="0"/>
          <w:w w:val="100"/>
          <w:position w:val="0"/>
        </w:rPr>
        <w:t xml:space="preserve">】 </w:t>
      </w:r>
      <w:r>
        <w:rPr>
          <w:color w:val="000000"/>
          <w:spacing w:val="0"/>
          <w:w w:val="100"/>
          <w:position w:val="0"/>
          <w:sz w:val="18"/>
          <w:szCs w:val="18"/>
        </w:rPr>
        <w:t>1032</w:t>
      </w:r>
      <w:r>
        <w:rPr>
          <w:color w:val="000000"/>
          <w:spacing w:val="0"/>
          <w:w w:val="100"/>
          <w:position w:val="0"/>
        </w:rPr>
        <w:t>号文核准，公司向社会公 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2,000</w:t>
      </w:r>
      <w:r>
        <w:rPr>
          <w:color w:val="000000"/>
          <w:spacing w:val="0"/>
          <w:w w:val="100"/>
          <w:position w:val="0"/>
        </w:rPr>
        <w:t>万股（每股面值人民币</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w:t>
      </w:r>
      <w:r>
        <w:rPr>
          <w:color w:val="000000"/>
          <w:spacing w:val="0"/>
          <w:w w:val="100"/>
          <w:position w:val="0"/>
        </w:rPr>
        <w:t>变更后的注册资本为人民币</w:t>
      </w:r>
      <w:r>
        <w:rPr>
          <w:color w:val="000000"/>
          <w:spacing w:val="0"/>
          <w:w w:val="100"/>
          <w:position w:val="0"/>
          <w:sz w:val="18"/>
          <w:szCs w:val="18"/>
        </w:rPr>
        <w:t>8, 000</w:t>
      </w:r>
      <w:r>
        <w:rPr>
          <w:color w:val="000000"/>
          <w:spacing w:val="0"/>
          <w:w w:val="100"/>
          <w:position w:val="0"/>
        </w:rPr>
        <w:t>万元，已于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日在深圳证券交易所创业板上市。</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color w:val="000000"/>
          <w:spacing w:val="0"/>
          <w:w w:val="100"/>
          <w:position w:val="0"/>
          <w:sz w:val="18"/>
          <w:szCs w:val="18"/>
        </w:rPr>
        <w:t>2009</w:t>
      </w:r>
      <w:r>
        <w:rPr>
          <w:color w:val="000000"/>
          <w:spacing w:val="0"/>
          <w:w w:val="100"/>
          <w:position w:val="0"/>
        </w:rPr>
        <w:t>年度股东大会决议，公司以首次公开发行股票并上市后的总股本</w:t>
      </w:r>
      <w:r>
        <w:rPr>
          <w:color w:val="000000"/>
          <w:spacing w:val="0"/>
          <w:w w:val="100"/>
          <w:position w:val="0"/>
          <w:sz w:val="18"/>
          <w:szCs w:val="18"/>
        </w:rPr>
        <w:t>8,000</w:t>
      </w:r>
      <w:r>
        <w:rPr>
          <w:color w:val="000000"/>
          <w:spacing w:val="0"/>
          <w:w w:val="100"/>
          <w:position w:val="0"/>
        </w:rPr>
        <w:t>万股为基数，按每</w:t>
      </w:r>
      <w:r>
        <w:rPr>
          <w:color w:val="000000"/>
          <w:spacing w:val="0"/>
          <w:w w:val="100"/>
          <w:position w:val="0"/>
          <w:sz w:val="18"/>
          <w:szCs w:val="18"/>
        </w:rPr>
        <w:t>10</w:t>
      </w:r>
      <w:r>
        <w:rPr>
          <w:color w:val="000000"/>
          <w:spacing w:val="0"/>
          <w:w w:val="100"/>
          <w:position w:val="0"/>
        </w:rPr>
        <w:t xml:space="preserve">股由资本公积转增 </w:t>
      </w:r>
      <w:r>
        <w:rPr>
          <w:color w:val="000000"/>
          <w:spacing w:val="0"/>
          <w:w w:val="100"/>
          <w:position w:val="0"/>
          <w:sz w:val="18"/>
          <w:szCs w:val="18"/>
        </w:rPr>
        <w:t>10</w:t>
      </w:r>
      <w:r>
        <w:rPr>
          <w:color w:val="000000"/>
          <w:spacing w:val="0"/>
          <w:w w:val="100"/>
          <w:position w:val="0"/>
        </w:rPr>
        <w:t>股，共计转增</w:t>
      </w:r>
      <w:r>
        <w:rPr>
          <w:color w:val="000000"/>
          <w:spacing w:val="0"/>
          <w:w w:val="100"/>
          <w:position w:val="0"/>
          <w:sz w:val="18"/>
          <w:szCs w:val="18"/>
        </w:rPr>
        <w:t>8, 000</w:t>
      </w:r>
      <w:r>
        <w:rPr>
          <w:color w:val="000000"/>
          <w:spacing w:val="0"/>
          <w:w w:val="100"/>
          <w:position w:val="0"/>
        </w:rPr>
        <w:t>万股。变更后的注册资本为</w:t>
      </w:r>
      <w:r>
        <w:rPr>
          <w:color w:val="000000"/>
          <w:spacing w:val="0"/>
          <w:w w:val="100"/>
          <w:position w:val="0"/>
          <w:sz w:val="18"/>
          <w:szCs w:val="18"/>
        </w:rPr>
        <w:t>1.6</w:t>
      </w:r>
      <w:r>
        <w:rPr>
          <w:color w:val="000000"/>
          <w:spacing w:val="0"/>
          <w:w w:val="100"/>
          <w:position w:val="0"/>
        </w:rPr>
        <w:t>亿元。</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color w:val="000000"/>
          <w:spacing w:val="0"/>
          <w:w w:val="100"/>
          <w:position w:val="0"/>
          <w:sz w:val="18"/>
          <w:szCs w:val="18"/>
        </w:rPr>
        <w:t>2010</w:t>
      </w:r>
      <w:r>
        <w:rPr>
          <w:color w:val="000000"/>
          <w:spacing w:val="0"/>
          <w:w w:val="100"/>
          <w:position w:val="0"/>
        </w:rPr>
        <w:t>年度股东大会决议，公司以总股本数</w:t>
      </w:r>
      <w:r>
        <w:rPr>
          <w:color w:val="000000"/>
          <w:spacing w:val="0"/>
          <w:w w:val="100"/>
          <w:position w:val="0"/>
          <w:sz w:val="18"/>
          <w:szCs w:val="18"/>
        </w:rPr>
        <w:t>1.6</w:t>
      </w:r>
      <w:r>
        <w:rPr>
          <w:color w:val="000000"/>
          <w:spacing w:val="0"/>
          <w:w w:val="100"/>
          <w:position w:val="0"/>
        </w:rPr>
        <w:t>亿股为基数，按每</w:t>
      </w:r>
      <w:r>
        <w:rPr>
          <w:color w:val="000000"/>
          <w:spacing w:val="0"/>
          <w:w w:val="100"/>
          <w:position w:val="0"/>
          <w:sz w:val="18"/>
          <w:szCs w:val="18"/>
        </w:rPr>
        <w:t>10</w:t>
      </w:r>
      <w:r>
        <w:rPr>
          <w:color w:val="000000"/>
          <w:spacing w:val="0"/>
          <w:w w:val="100"/>
          <w:position w:val="0"/>
        </w:rPr>
        <w:t>股由资本公积转增</w:t>
      </w:r>
      <w:r>
        <w:rPr>
          <w:color w:val="000000"/>
          <w:spacing w:val="0"/>
          <w:w w:val="100"/>
          <w:position w:val="0"/>
          <w:sz w:val="18"/>
          <w:szCs w:val="18"/>
        </w:rPr>
        <w:t>5</w:t>
      </w:r>
      <w:r>
        <w:rPr>
          <w:color w:val="000000"/>
          <w:spacing w:val="0"/>
          <w:w w:val="100"/>
          <w:position w:val="0"/>
        </w:rPr>
        <w:t>股，共计转增</w:t>
      </w:r>
      <w:r>
        <w:rPr>
          <w:color w:val="000000"/>
          <w:spacing w:val="0"/>
          <w:w w:val="100"/>
          <w:position w:val="0"/>
          <w:sz w:val="18"/>
          <w:szCs w:val="18"/>
        </w:rPr>
        <w:t>8, 000</w:t>
      </w:r>
      <w:r>
        <w:rPr>
          <w:color w:val="000000"/>
          <w:spacing w:val="0"/>
          <w:w w:val="100"/>
          <w:position w:val="0"/>
        </w:rPr>
        <w:t>万股，变 更后的注册资本</w:t>
      </w:r>
      <w:r>
        <w:rPr>
          <w:color w:val="000000"/>
          <w:spacing w:val="0"/>
          <w:w w:val="100"/>
          <w:position w:val="0"/>
          <w:sz w:val="18"/>
          <w:szCs w:val="18"/>
        </w:rPr>
        <w:t>2.4</w:t>
      </w:r>
      <w:r>
        <w:rPr>
          <w:color w:val="000000"/>
          <w:spacing w:val="0"/>
          <w:w w:val="100"/>
          <w:position w:val="0"/>
        </w:rPr>
        <w:t>亿元。</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日召开的</w:t>
      </w:r>
      <w:r>
        <w:rPr>
          <w:color w:val="000000"/>
          <w:spacing w:val="0"/>
          <w:w w:val="100"/>
          <w:position w:val="0"/>
          <w:sz w:val="18"/>
          <w:szCs w:val="18"/>
        </w:rPr>
        <w:t>2012</w:t>
      </w:r>
      <w:r>
        <w:rPr>
          <w:color w:val="000000"/>
          <w:spacing w:val="0"/>
          <w:w w:val="100"/>
          <w:position w:val="0"/>
        </w:rPr>
        <w:t>年第一次临时股东大会决议审议通过的《公司股票期权激励计划（草案修订稿）》，公 司向股票期权激励对象定向发行股票。截止</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日，公司累计已向股票激励对象发行股票</w:t>
      </w:r>
      <w:r>
        <w:rPr>
          <w:color w:val="000000"/>
          <w:spacing w:val="0"/>
          <w:w w:val="100"/>
          <w:position w:val="0"/>
          <w:sz w:val="18"/>
          <w:szCs w:val="18"/>
        </w:rPr>
        <w:t>5,113,600</w:t>
      </w:r>
      <w:r>
        <w:rPr>
          <w:color w:val="000000"/>
          <w:spacing w:val="0"/>
          <w:w w:val="100"/>
          <w:position w:val="0"/>
        </w:rPr>
        <w:t>股。</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color w:val="000000"/>
          <w:spacing w:val="0"/>
          <w:w w:val="100"/>
          <w:position w:val="0"/>
          <w:sz w:val="18"/>
          <w:szCs w:val="18"/>
        </w:rPr>
        <w:t>2013</w:t>
      </w:r>
      <w:r>
        <w:rPr>
          <w:color w:val="000000"/>
          <w:spacing w:val="0"/>
          <w:w w:val="100"/>
          <w:position w:val="0"/>
        </w:rPr>
        <w:t>年第一次临时股东大会决议、第二届董事会第二十八次会议决议，并经中国证券监督管理委员会“证监许 可</w:t>
      </w:r>
      <w:r>
        <w:rPr>
          <w:color w:val="000000"/>
          <w:spacing w:val="0"/>
          <w:w w:val="100"/>
          <w:position w:val="0"/>
          <w:sz w:val="18"/>
          <w:szCs w:val="18"/>
        </w:rPr>
        <w:t>[2013]1633</w:t>
      </w:r>
      <w:r>
        <w:rPr>
          <w:color w:val="000000"/>
          <w:spacing w:val="0"/>
          <w:w w:val="100"/>
          <w:position w:val="0"/>
        </w:rPr>
        <w:t>号”核准，公司向李欣发行</w:t>
      </w:r>
      <w:r>
        <w:rPr>
          <w:color w:val="000000"/>
          <w:spacing w:val="0"/>
          <w:w w:val="100"/>
          <w:position w:val="0"/>
          <w:sz w:val="18"/>
          <w:szCs w:val="18"/>
        </w:rPr>
        <w:t>17,587,245</w:t>
      </w:r>
      <w:r>
        <w:rPr>
          <w:color w:val="000000"/>
          <w:spacing w:val="0"/>
          <w:w w:val="100"/>
          <w:position w:val="0"/>
        </w:rPr>
        <w:t>股股份、向昆山中科昆开创业投资有限公司发行</w:t>
      </w:r>
      <w:r>
        <w:rPr>
          <w:color w:val="000000"/>
          <w:spacing w:val="0"/>
          <w:w w:val="100"/>
          <w:position w:val="0"/>
          <w:sz w:val="18"/>
          <w:szCs w:val="18"/>
        </w:rPr>
        <w:t>1,362,518</w:t>
      </w:r>
      <w:r>
        <w:rPr>
          <w:color w:val="000000"/>
          <w:spacing w:val="0"/>
          <w:w w:val="100"/>
          <w:position w:val="0"/>
        </w:rPr>
        <w:t>股股份、向 兰馨成长（天津）股权投资基金合伙企业（有限合伙）发行</w:t>
      </w:r>
      <w:r>
        <w:rPr>
          <w:color w:val="000000"/>
          <w:spacing w:val="0"/>
          <w:w w:val="100"/>
          <w:position w:val="0"/>
          <w:sz w:val="18"/>
          <w:szCs w:val="18"/>
        </w:rPr>
        <w:t>1,362,518</w:t>
      </w:r>
      <w:r>
        <w:rPr>
          <w:color w:val="000000"/>
          <w:spacing w:val="0"/>
          <w:w w:val="100"/>
          <w:position w:val="0"/>
        </w:rPr>
        <w:t>股股份、向杭州众赢成长投资合伙企业（有限合伙） 发行</w:t>
      </w:r>
      <w:r>
        <w:rPr>
          <w:color w:val="000000"/>
          <w:spacing w:val="0"/>
          <w:w w:val="100"/>
          <w:position w:val="0"/>
          <w:sz w:val="18"/>
          <w:szCs w:val="18"/>
        </w:rPr>
        <w:t>1,167,792</w:t>
      </w:r>
      <w:r>
        <w:rPr>
          <w:color w:val="000000"/>
          <w:spacing w:val="0"/>
          <w:w w:val="100"/>
          <w:position w:val="0"/>
        </w:rPr>
        <w:t>股股份、向江阴长泾中科长赢创业投资有限公司发行</w:t>
      </w:r>
      <w:r>
        <w:rPr>
          <w:color w:val="000000"/>
          <w:spacing w:val="0"/>
          <w:w w:val="100"/>
          <w:position w:val="0"/>
          <w:sz w:val="18"/>
          <w:szCs w:val="18"/>
        </w:rPr>
        <w:t>973,254</w:t>
      </w:r>
      <w:r>
        <w:rPr>
          <w:color w:val="000000"/>
          <w:spacing w:val="0"/>
          <w:w w:val="100"/>
          <w:position w:val="0"/>
        </w:rPr>
        <w:t>股股份、向陈兴华发行</w:t>
      </w:r>
      <w:r>
        <w:rPr>
          <w:color w:val="000000"/>
          <w:spacing w:val="0"/>
          <w:w w:val="100"/>
          <w:position w:val="0"/>
          <w:sz w:val="18"/>
          <w:szCs w:val="18"/>
        </w:rPr>
        <w:t>762,143</w:t>
      </w:r>
      <w:r>
        <w:rPr>
          <w:color w:val="000000"/>
          <w:spacing w:val="0"/>
          <w:w w:val="100"/>
          <w:position w:val="0"/>
        </w:rPr>
        <w:t>股股份、向颜廷 健发行</w:t>
      </w:r>
      <w:r>
        <w:rPr>
          <w:color w:val="000000"/>
          <w:spacing w:val="0"/>
          <w:w w:val="100"/>
          <w:position w:val="0"/>
          <w:sz w:val="18"/>
          <w:szCs w:val="18"/>
        </w:rPr>
        <w:t>58, 626</w:t>
      </w:r>
      <w:r>
        <w:rPr>
          <w:color w:val="000000"/>
          <w:spacing w:val="0"/>
          <w:w w:val="100"/>
          <w:position w:val="0"/>
        </w:rPr>
        <w:t>股股份、向于海燕发行</w:t>
      </w:r>
      <w:r>
        <w:rPr>
          <w:color w:val="000000"/>
          <w:spacing w:val="0"/>
          <w:w w:val="100"/>
          <w:position w:val="0"/>
          <w:sz w:val="18"/>
          <w:szCs w:val="18"/>
        </w:rPr>
        <w:t>49, 836</w:t>
      </w:r>
      <w:r>
        <w:rPr>
          <w:color w:val="000000"/>
          <w:spacing w:val="0"/>
          <w:w w:val="100"/>
          <w:position w:val="0"/>
        </w:rPr>
        <w:t>股股份、向罗明发行</w:t>
      </w:r>
      <w:r>
        <w:rPr>
          <w:color w:val="000000"/>
          <w:spacing w:val="0"/>
          <w:w w:val="100"/>
          <w:position w:val="0"/>
          <w:sz w:val="18"/>
          <w:szCs w:val="18"/>
        </w:rPr>
        <w:t>43, 976</w:t>
      </w:r>
      <w:r>
        <w:rPr>
          <w:color w:val="000000"/>
          <w:spacing w:val="0"/>
          <w:w w:val="100"/>
          <w:position w:val="0"/>
        </w:rPr>
        <w:t>股股份、向张晔发行</w:t>
      </w:r>
      <w:r>
        <w:rPr>
          <w:color w:val="000000"/>
          <w:spacing w:val="0"/>
          <w:w w:val="100"/>
          <w:position w:val="0"/>
          <w:sz w:val="18"/>
          <w:szCs w:val="18"/>
        </w:rPr>
        <w:t>29,301</w:t>
      </w:r>
      <w:r>
        <w:rPr>
          <w:color w:val="000000"/>
          <w:spacing w:val="0"/>
          <w:w w:val="100"/>
          <w:position w:val="0"/>
        </w:rPr>
        <w:t xml:space="preserve">股股份、向侯世勇发行 </w:t>
      </w:r>
      <w:r>
        <w:rPr>
          <w:color w:val="000000"/>
          <w:spacing w:val="0"/>
          <w:w w:val="100"/>
          <w:position w:val="0"/>
          <w:sz w:val="18"/>
          <w:szCs w:val="18"/>
        </w:rPr>
        <w:t>14, 651</w:t>
      </w:r>
      <w:r>
        <w:rPr>
          <w:color w:val="000000"/>
          <w:spacing w:val="0"/>
          <w:w w:val="100"/>
          <w:position w:val="0"/>
        </w:rPr>
        <w:t>股股份、向金鑫发行</w:t>
      </w:r>
      <w:r>
        <w:rPr>
          <w:color w:val="000000"/>
          <w:spacing w:val="0"/>
          <w:w w:val="100"/>
          <w:position w:val="0"/>
          <w:sz w:val="18"/>
          <w:szCs w:val="18"/>
        </w:rPr>
        <w:t>14,651</w:t>
      </w:r>
      <w:r>
        <w:rPr>
          <w:color w:val="000000"/>
          <w:spacing w:val="0"/>
          <w:w w:val="100"/>
          <w:position w:val="0"/>
        </w:rPr>
        <w:t>股股份、向张蓓发行</w:t>
      </w:r>
      <w:r>
        <w:rPr>
          <w:color w:val="000000"/>
          <w:spacing w:val="0"/>
          <w:w w:val="100"/>
          <w:position w:val="0"/>
          <w:sz w:val="18"/>
          <w:szCs w:val="18"/>
        </w:rPr>
        <w:t>14,651</w:t>
      </w:r>
      <w:r>
        <w:rPr>
          <w:color w:val="000000"/>
          <w:spacing w:val="0"/>
          <w:w w:val="100"/>
          <w:position w:val="0"/>
        </w:rPr>
        <w:t>股股份，以购买北京亚太安讯科技股份有限公司</w:t>
      </w:r>
      <w:r>
        <w:rPr>
          <w:color w:val="000000"/>
          <w:spacing w:val="0"/>
          <w:w w:val="100"/>
          <w:position w:val="0"/>
          <w:sz w:val="18"/>
          <w:szCs w:val="18"/>
        </w:rPr>
        <w:t xml:space="preserve">83. </w:t>
      </w:r>
      <w:r>
        <w:rPr>
          <w:color w:val="000000"/>
          <w:spacing w:val="0"/>
          <w:w w:val="100"/>
          <w:position w:val="0"/>
          <w:sz w:val="18"/>
          <w:szCs w:val="18"/>
        </w:rPr>
        <w:t>3333%</w:t>
      </w:r>
      <w:r>
        <w:rPr>
          <w:color w:val="000000"/>
          <w:spacing w:val="0"/>
          <w:w w:val="100"/>
          <w:position w:val="0"/>
        </w:rPr>
        <w:t>的股 权；同时向华安基金管理有限公司、常州投资集团有限公司和国泰基金管理有限公司以</w:t>
      </w:r>
      <w:r>
        <w:rPr>
          <w:color w:val="000000"/>
          <w:spacing w:val="0"/>
          <w:w w:val="100"/>
          <w:position w:val="0"/>
          <w:sz w:val="18"/>
          <w:szCs w:val="18"/>
        </w:rPr>
        <w:t>24</w:t>
      </w:r>
      <w:r>
        <w:rPr>
          <w:color w:val="000000"/>
          <w:spacing w:val="0"/>
          <w:w w:val="100"/>
          <w:position w:val="0"/>
        </w:rPr>
        <w:t xml:space="preserve">元/股的发行价格非公开发行 </w:t>
      </w:r>
      <w:r>
        <w:rPr>
          <w:color w:val="000000"/>
          <w:spacing w:val="0"/>
          <w:w w:val="100"/>
          <w:position w:val="0"/>
          <w:sz w:val="18"/>
          <w:szCs w:val="18"/>
        </w:rPr>
        <w:t>8, 333,333</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元）人民币普通股，本次定向增发股份共计新增公司股本</w:t>
      </w:r>
      <w:r>
        <w:rPr>
          <w:color w:val="000000"/>
          <w:spacing w:val="0"/>
          <w:w w:val="100"/>
          <w:position w:val="0"/>
          <w:sz w:val="18"/>
          <w:szCs w:val="18"/>
        </w:rPr>
        <w:t>31,774, 495</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公司首期股权激励计划第二个行权期采用自主行权模式，行权期限为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r>
        <w:rPr>
          <w:color w:val="000000"/>
          <w:spacing w:val="0"/>
          <w:w w:val="100"/>
          <w:position w:val="0"/>
          <w:sz w:val="18"/>
          <w:szCs w:val="18"/>
        </w:rPr>
        <w:t>，</w:t>
      </w:r>
      <w:r>
        <w:rPr>
          <w:color w:val="000000"/>
          <w:spacing w:val="0"/>
          <w:w w:val="100"/>
          <w:position w:val="0"/>
        </w:rPr>
        <w:t>行权期内公司股 票期权激励计划首次授予股票期权第二个行权期累计共行权</w:t>
      </w:r>
      <w:r>
        <w:rPr>
          <w:color w:val="000000"/>
          <w:spacing w:val="0"/>
          <w:w w:val="100"/>
          <w:position w:val="0"/>
          <w:sz w:val="18"/>
          <w:szCs w:val="18"/>
        </w:rPr>
        <w:t>2,655, 000</w:t>
      </w:r>
      <w:r>
        <w:rPr>
          <w:color w:val="000000"/>
          <w:spacing w:val="0"/>
          <w:w w:val="100"/>
          <w:position w:val="0"/>
        </w:rPr>
        <w:t>股。</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日，公司召开的</w:t>
      </w:r>
      <w:r>
        <w:rPr>
          <w:color w:val="000000"/>
          <w:spacing w:val="0"/>
          <w:w w:val="100"/>
          <w:position w:val="0"/>
          <w:sz w:val="18"/>
          <w:szCs w:val="18"/>
        </w:rPr>
        <w:t>2014</w:t>
      </w:r>
      <w:r>
        <w:rPr>
          <w:color w:val="000000"/>
          <w:spacing w:val="0"/>
          <w:w w:val="100"/>
          <w:position w:val="0"/>
        </w:rPr>
        <w:t>年度股东大会审议通过《</w:t>
      </w:r>
      <w:r>
        <w:rPr>
          <w:color w:val="000000"/>
          <w:spacing w:val="0"/>
          <w:w w:val="100"/>
          <w:position w:val="0"/>
          <w:sz w:val="18"/>
          <w:szCs w:val="18"/>
        </w:rPr>
        <w:t>2014</w:t>
      </w:r>
      <w:r>
        <w:rPr>
          <w:color w:val="000000"/>
          <w:spacing w:val="0"/>
          <w:w w:val="100"/>
          <w:position w:val="0"/>
        </w:rPr>
        <w:t>年度利润分配预案》</w:t>
      </w:r>
      <w:r>
        <w:rPr>
          <w:color w:val="000000"/>
          <w:spacing w:val="0"/>
          <w:w w:val="100"/>
          <w:position w:val="0"/>
          <w:sz w:val="18"/>
          <w:szCs w:val="18"/>
        </w:rPr>
        <w:t>，</w:t>
      </w:r>
      <w:r>
        <w:rPr>
          <w:color w:val="000000"/>
          <w:spacing w:val="0"/>
          <w:w w:val="100"/>
          <w:position w:val="0"/>
        </w:rPr>
        <w:t>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日的公司总股本 </w:t>
      </w:r>
      <w:r>
        <w:rPr>
          <w:color w:val="000000"/>
          <w:spacing w:val="0"/>
          <w:w w:val="100"/>
          <w:position w:val="0"/>
          <w:sz w:val="18"/>
          <w:szCs w:val="18"/>
        </w:rPr>
        <w:t>277, 243, 495</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元现金；同时，以资本公积向全体股东每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12</w:t>
      </w:r>
      <w:r>
        <w:rPr>
          <w:color w:val="000000"/>
          <w:spacing w:val="0"/>
          <w:w w:val="100"/>
          <w:position w:val="0"/>
        </w:rPr>
        <w:t>股。公司分红前总股 本为</w:t>
      </w:r>
      <w:r>
        <w:rPr>
          <w:color w:val="000000"/>
          <w:spacing w:val="0"/>
          <w:w w:val="100"/>
          <w:position w:val="0"/>
          <w:sz w:val="18"/>
          <w:szCs w:val="18"/>
        </w:rPr>
        <w:t>277, 243, 495</w:t>
      </w:r>
      <w:r>
        <w:rPr>
          <w:color w:val="000000"/>
          <w:spacing w:val="0"/>
          <w:w w:val="100"/>
          <w:position w:val="0"/>
        </w:rPr>
        <w:t>股，分红后总股本增至</w:t>
      </w:r>
      <w:r>
        <w:rPr>
          <w:color w:val="000000"/>
          <w:spacing w:val="0"/>
          <w:w w:val="100"/>
          <w:position w:val="0"/>
          <w:sz w:val="18"/>
          <w:szCs w:val="18"/>
        </w:rPr>
        <w:t>609, 935, 689</w:t>
      </w:r>
      <w:r>
        <w:rPr>
          <w:color w:val="000000"/>
          <w:spacing w:val="0"/>
          <w:w w:val="100"/>
          <w:position w:val="0"/>
        </w:rPr>
        <w:t>股。</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日，公司取得中国证监会《关于核准银江股份有限公司非公开发行股票的批复》（证监许可</w:t>
      </w:r>
      <w:r>
        <w:rPr>
          <w:color w:val="000000"/>
          <w:spacing w:val="0"/>
          <w:w w:val="100"/>
          <w:position w:val="0"/>
          <w:sz w:val="18"/>
          <w:szCs w:val="18"/>
        </w:rPr>
        <w:t>[2015]845</w:t>
      </w:r>
      <w:r>
        <w:rPr>
          <w:color w:val="000000"/>
          <w:spacing w:val="0"/>
          <w:w w:val="100"/>
          <w:position w:val="0"/>
        </w:rPr>
        <w:t>号）</w:t>
      </w:r>
      <w:r>
        <w:rPr>
          <w:color w:val="000000"/>
          <w:spacing w:val="0"/>
          <w:w w:val="100"/>
          <w:position w:val="0"/>
          <w:sz w:val="18"/>
          <w:szCs w:val="18"/>
        </w:rPr>
        <w:t xml:space="preserve">， </w:t>
      </w:r>
      <w:r>
        <w:rPr>
          <w:color w:val="000000"/>
          <w:spacing w:val="0"/>
          <w:w w:val="100"/>
          <w:position w:val="0"/>
        </w:rPr>
        <w:t>核准公司非公开发行不超过</w:t>
      </w:r>
      <w:r>
        <w:rPr>
          <w:color w:val="000000"/>
          <w:spacing w:val="0"/>
          <w:w w:val="100"/>
          <w:position w:val="0"/>
          <w:sz w:val="18"/>
          <w:szCs w:val="18"/>
        </w:rPr>
        <w:t>5,000</w:t>
      </w:r>
      <w:r>
        <w:rPr>
          <w:color w:val="000000"/>
          <w:spacing w:val="0"/>
          <w:w w:val="100"/>
          <w:position w:val="0"/>
        </w:rPr>
        <w:t>万股股票。由于公司于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w:t>
      </w:r>
      <w:r>
        <w:rPr>
          <w:color w:val="000000"/>
          <w:spacing w:val="0"/>
          <w:w w:val="100"/>
          <w:position w:val="0"/>
        </w:rPr>
        <w:t>日实施了以资本公积每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12</w:t>
      </w:r>
      <w:r>
        <w:rPr>
          <w:color w:val="000000"/>
          <w:spacing w:val="0"/>
          <w:w w:val="100"/>
          <w:position w:val="0"/>
        </w:rPr>
        <w:t>股的利润分配方案， 本次非公开发行股票数量调整为不超过</w:t>
      </w:r>
      <w:r>
        <w:rPr>
          <w:color w:val="000000"/>
          <w:spacing w:val="0"/>
          <w:w w:val="100"/>
          <w:position w:val="0"/>
          <w:sz w:val="18"/>
          <w:szCs w:val="18"/>
        </w:rPr>
        <w:t>11,000</w:t>
      </w:r>
      <w:r>
        <w:rPr>
          <w:color w:val="000000"/>
          <w:spacing w:val="0"/>
          <w:w w:val="100"/>
          <w:position w:val="0"/>
        </w:rPr>
        <w:t>万股（含）。该调整事项已经履行了会后事项程序。根据发行对象申购报价情 况，本次非公开发行向财通基金管理有限公司、华安未来资产管理（上海）有限公司、上海基金管理有限公司和云南惠潮投 资合伙企业（有限合伙）以</w:t>
      </w:r>
      <w:r>
        <w:rPr>
          <w:color w:val="000000"/>
          <w:spacing w:val="0"/>
          <w:w w:val="100"/>
          <w:position w:val="0"/>
          <w:sz w:val="18"/>
          <w:szCs w:val="18"/>
        </w:rPr>
        <w:t>23</w:t>
      </w:r>
      <w:r>
        <w:rPr>
          <w:color w:val="000000"/>
          <w:spacing w:val="0"/>
          <w:w w:val="100"/>
          <w:position w:val="0"/>
        </w:rPr>
        <w:t>元/股的的发行价格非公开发行</w:t>
      </w:r>
      <w:r>
        <w:rPr>
          <w:color w:val="000000"/>
          <w:spacing w:val="0"/>
          <w:w w:val="100"/>
          <w:position w:val="0"/>
          <w:sz w:val="18"/>
          <w:szCs w:val="18"/>
        </w:rPr>
        <w:t>43,391,304</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元）人民币普通股，本次定向增发股 份共计新增公司股本</w:t>
      </w:r>
      <w:r>
        <w:rPr>
          <w:color w:val="000000"/>
          <w:spacing w:val="0"/>
          <w:w w:val="100"/>
          <w:position w:val="0"/>
          <w:sz w:val="18"/>
          <w:szCs w:val="18"/>
        </w:rPr>
        <w:t>43,391,304</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由于亚太安讯未能完成</w:t>
      </w:r>
      <w:r>
        <w:rPr>
          <w:color w:val="000000"/>
          <w:spacing w:val="0"/>
          <w:w w:val="100"/>
          <w:position w:val="0"/>
          <w:sz w:val="18"/>
          <w:szCs w:val="18"/>
        </w:rPr>
        <w:t>2014</w:t>
      </w:r>
      <w:r>
        <w:rPr>
          <w:color w:val="000000"/>
          <w:spacing w:val="0"/>
          <w:w w:val="100"/>
          <w:position w:val="0"/>
        </w:rPr>
        <w:t>年度的承诺业绩，根据公司与其签订的《盈利预测补偿协议》，公司于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17</w:t>
      </w:r>
      <w:r>
        <w:rPr>
          <w:color w:val="000000"/>
          <w:spacing w:val="0"/>
          <w:w w:val="100"/>
          <w:position w:val="0"/>
        </w:rPr>
        <w:t>日在中 国证券登记结算有限责任公司深圳分公司办理完毕原亚太安讯实际控制人李欣所持有的银江股份</w:t>
      </w:r>
      <w:r>
        <w:rPr>
          <w:color w:val="000000"/>
          <w:spacing w:val="0"/>
          <w:w w:val="100"/>
          <w:position w:val="0"/>
          <w:sz w:val="18"/>
          <w:szCs w:val="18"/>
        </w:rPr>
        <w:t>5, 074, 307</w:t>
      </w:r>
      <w:r>
        <w:rPr>
          <w:color w:val="000000"/>
          <w:spacing w:val="0"/>
          <w:w w:val="100"/>
          <w:position w:val="0"/>
        </w:rPr>
        <w:t>股回购股份注销 手续。</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公司首期股权激励计划第三个行权期采用自主行权模式，行权期限为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26</w:t>
      </w:r>
      <w:r>
        <w:rPr>
          <w:color w:val="000000"/>
          <w:spacing w:val="0"/>
          <w:w w:val="100"/>
          <w:position w:val="0"/>
        </w:rPr>
        <w:t>日起至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17</w:t>
      </w:r>
      <w:r>
        <w:rPr>
          <w:color w:val="000000"/>
          <w:spacing w:val="0"/>
          <w:w w:val="100"/>
          <w:position w:val="0"/>
        </w:rPr>
        <w:t>日，行权期内公司 股票期权激励计划首次授予股票期权第二个行权期累计共行权</w:t>
      </w:r>
      <w:r>
        <w:rPr>
          <w:color w:val="000000"/>
          <w:spacing w:val="0"/>
          <w:w w:val="100"/>
          <w:position w:val="0"/>
          <w:sz w:val="18"/>
          <w:szCs w:val="18"/>
        </w:rPr>
        <w:t>7, 536, 400</w:t>
      </w:r>
      <w:r>
        <w:rPr>
          <w:color w:val="000000"/>
          <w:spacing w:val="0"/>
          <w:w w:val="100"/>
          <w:position w:val="0"/>
        </w:rPr>
        <w:t>股。</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日，公司名称由银江股份有限公司变更为银江技术股份有限公司。</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日，本公司股本</w:t>
      </w:r>
      <w:r>
        <w:rPr>
          <w:color w:val="000000"/>
          <w:spacing w:val="0"/>
          <w:w w:val="100"/>
          <w:position w:val="0"/>
          <w:sz w:val="18"/>
          <w:szCs w:val="18"/>
        </w:rPr>
        <w:t>655, 789, 086</w:t>
      </w:r>
      <w:r>
        <w:rPr>
          <w:color w:val="000000"/>
          <w:spacing w:val="0"/>
          <w:w w:val="100"/>
          <w:position w:val="0"/>
        </w:rPr>
        <w:t>元，累计发行股票</w:t>
      </w:r>
      <w:r>
        <w:rPr>
          <w:color w:val="000000"/>
          <w:spacing w:val="0"/>
          <w:w w:val="100"/>
          <w:position w:val="0"/>
          <w:sz w:val="18"/>
          <w:szCs w:val="18"/>
        </w:rPr>
        <w:t>655, 789, 086</w:t>
      </w:r>
      <w:r>
        <w:rPr>
          <w:color w:val="000000"/>
          <w:spacing w:val="0"/>
          <w:w w:val="100"/>
          <w:position w:val="0"/>
        </w:rPr>
        <w:t>股。</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公司注册地址：浙江省杭州市益乐路</w:t>
      </w:r>
      <w:r>
        <w:rPr>
          <w:color w:val="000000"/>
          <w:spacing w:val="0"/>
          <w:w w:val="100"/>
          <w:position w:val="0"/>
          <w:sz w:val="18"/>
          <w:szCs w:val="18"/>
        </w:rPr>
        <w:t>223</w:t>
      </w:r>
      <w:r>
        <w:rPr>
          <w:color w:val="000000"/>
          <w:spacing w:val="0"/>
          <w:w w:val="100"/>
          <w:position w:val="0"/>
        </w:rPr>
        <w:t>号</w:t>
      </w:r>
      <w:r>
        <w:rPr>
          <w:color w:val="000000"/>
          <w:spacing w:val="0"/>
          <w:w w:val="100"/>
          <w:position w:val="0"/>
          <w:sz w:val="18"/>
          <w:szCs w:val="18"/>
        </w:rPr>
        <w:t>1</w:t>
      </w:r>
      <w:r>
        <w:rPr>
          <w:color w:val="000000"/>
          <w:spacing w:val="0"/>
          <w:w w:val="100"/>
          <w:position w:val="0"/>
        </w:rPr>
        <w:t>幢</w:t>
      </w:r>
      <w:r>
        <w:rPr>
          <w:color w:val="000000"/>
          <w:spacing w:val="0"/>
          <w:w w:val="100"/>
          <w:position w:val="0"/>
          <w:sz w:val="18"/>
          <w:szCs w:val="18"/>
        </w:rPr>
        <w:t>1</w:t>
      </w:r>
      <w:r>
        <w:rPr>
          <w:color w:val="000000"/>
          <w:spacing w:val="0"/>
          <w:w w:val="100"/>
          <w:position w:val="0"/>
        </w:rPr>
        <w:t>层；</w:t>
      </w:r>
    </w:p>
    <w:p>
      <w:pPr>
        <w:pStyle w:val="Style25"/>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总部地址：浙江省杭州市富阳区九龙大道中国智谷富春园区</w:t>
      </w:r>
      <w:r>
        <w:rPr>
          <w:color w:val="000000"/>
          <w:spacing w:val="0"/>
          <w:w w:val="100"/>
          <w:position w:val="0"/>
          <w:sz w:val="18"/>
          <w:szCs w:val="18"/>
        </w:rPr>
        <w:t>A1</w:t>
      </w:r>
      <w:r>
        <w:rPr>
          <w:color w:val="000000"/>
          <w:spacing w:val="0"/>
          <w:w w:val="100"/>
          <w:position w:val="0"/>
        </w:rPr>
        <w:t>幢。</w:t>
      </w:r>
    </w:p>
    <w:p>
      <w:pPr>
        <w:pStyle w:val="Style25"/>
        <w:keepNext w:val="0"/>
        <w:keepLines w:val="0"/>
        <w:widowControl w:val="0"/>
        <w:shd w:val="clear" w:color="auto" w:fill="auto"/>
        <w:tabs>
          <w:tab w:pos="663" w:val="left"/>
        </w:tabs>
        <w:bidi w:val="0"/>
        <w:spacing w:before="0" w:after="0" w:line="313" w:lineRule="exact"/>
        <w:ind w:left="0" w:right="0" w:firstLine="360"/>
        <w:jc w:val="both"/>
      </w:pPr>
      <w:bookmarkStart w:id="713" w:name="bookmark713"/>
      <w:r>
        <w:rPr>
          <w:b/>
          <w:bCs/>
          <w:color w:val="000000"/>
          <w:spacing w:val="0"/>
          <w:w w:val="100"/>
          <w:position w:val="0"/>
        </w:rPr>
        <w:t>2</w:t>
      </w:r>
      <w:bookmarkEnd w:id="713"/>
      <w:r>
        <w:rPr>
          <w:b/>
          <w:bCs/>
          <w:color w:val="000000"/>
          <w:spacing w:val="0"/>
          <w:w w:val="100"/>
          <w:position w:val="0"/>
        </w:rPr>
        <w:t>、</w:t>
        <w:tab/>
        <w:t>公司的业务性质和主要经营活动</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一般项目：交通、医疗、建筑、环境、能源、教育智能化及信息化技术开发、技术服务、成果转让、设计，工业自动化 工程及产品、电力、电子工程及产品、机电工程及产品的设计、技术开发、技术服务、成果转让，停车服务，城市给排水系 统设施的建设、运营、管理，城市地下综合管廊工程的施工、运营、管理，安全技术防范工程的设计、施工、维护，智慧城 市信息化的技术研发与咨询服务，计算机系统集成及技术服务，数据处理技术服务，软件开发，电子产品、计算机软硬件及 设备的销售，从事进出口业务，实业投资。许可经营：第一类增值电信业务，第二类增值电信业务。（依法须经批准的项目， 经相关部门批准后方可开展经营活动）</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本公司及各子公司（以下统称“本集团”）主要从事智慧城市、智慧交通和智慧医疗等领域工程项目的开发、实施和维 护。</w:t>
      </w:r>
    </w:p>
    <w:p>
      <w:pPr>
        <w:pStyle w:val="Style25"/>
        <w:keepNext w:val="0"/>
        <w:keepLines w:val="0"/>
        <w:widowControl w:val="0"/>
        <w:shd w:val="clear" w:color="auto" w:fill="auto"/>
        <w:tabs>
          <w:tab w:pos="663" w:val="left"/>
        </w:tabs>
        <w:bidi w:val="0"/>
        <w:spacing w:before="0" w:after="0" w:line="313" w:lineRule="exact"/>
        <w:ind w:left="0" w:right="0" w:firstLine="360"/>
        <w:jc w:val="both"/>
      </w:pPr>
      <w:bookmarkStart w:id="714" w:name="bookmark714"/>
      <w:r>
        <w:rPr>
          <w:b/>
          <w:bCs/>
          <w:color w:val="000000"/>
          <w:spacing w:val="0"/>
          <w:w w:val="100"/>
          <w:position w:val="0"/>
        </w:rPr>
        <w:t>3</w:t>
      </w:r>
      <w:bookmarkEnd w:id="714"/>
      <w:r>
        <w:rPr>
          <w:b/>
          <w:bCs/>
          <w:color w:val="000000"/>
          <w:spacing w:val="0"/>
          <w:w w:val="100"/>
          <w:position w:val="0"/>
        </w:rPr>
        <w:t>、</w:t>
        <w:tab/>
        <w:t>财务报告的批准报出</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本财务报表业经公司董事会于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日决议批准报出。</w:t>
      </w:r>
    </w:p>
    <w:p>
      <w:pPr>
        <w:pStyle w:val="Style25"/>
        <w:keepNext w:val="0"/>
        <w:keepLines w:val="0"/>
        <w:widowControl w:val="0"/>
        <w:shd w:val="clear" w:color="auto" w:fill="auto"/>
        <w:bidi w:val="0"/>
        <w:spacing w:before="0" w:after="380" w:line="331" w:lineRule="exact"/>
        <w:ind w:left="0" w:right="0" w:firstLine="36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日，本集团纳入合并范围的子公司共</w:t>
      </w:r>
      <w:r>
        <w:rPr>
          <w:color w:val="000000"/>
          <w:spacing w:val="0"/>
          <w:w w:val="100"/>
          <w:position w:val="0"/>
          <w:sz w:val="18"/>
          <w:szCs w:val="18"/>
        </w:rPr>
        <w:t>35</w:t>
      </w:r>
      <w:r>
        <w:rPr>
          <w:color w:val="000000"/>
          <w:spacing w:val="0"/>
          <w:w w:val="100"/>
          <w:position w:val="0"/>
        </w:rPr>
        <w:t>户，详见本附注八“在其他主体中的权益”。本公司本期合 并范围比上期增加</w:t>
      </w:r>
      <w:r>
        <w:rPr>
          <w:color w:val="000000"/>
          <w:spacing w:val="0"/>
          <w:w w:val="100"/>
          <w:position w:val="0"/>
          <w:sz w:val="18"/>
          <w:szCs w:val="18"/>
        </w:rPr>
        <w:t>1</w:t>
      </w:r>
      <w:r>
        <w:rPr>
          <w:color w:val="000000"/>
          <w:spacing w:val="0"/>
          <w:w w:val="100"/>
          <w:position w:val="0"/>
        </w:rPr>
        <w:t>户，详见本附注七“合并范围的变更”。</w:t>
      </w:r>
    </w:p>
    <w:p>
      <w:pPr>
        <w:pStyle w:val="Style21"/>
        <w:keepNext/>
        <w:keepLines/>
        <w:widowControl w:val="0"/>
        <w:shd w:val="clear" w:color="auto" w:fill="auto"/>
        <w:bidi w:val="0"/>
        <w:spacing w:before="0" w:after="38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四</w:t>
      </w:r>
      <w:bookmarkEnd w:id="717"/>
      <w:r>
        <w:rPr>
          <w:color w:val="000000"/>
          <w:spacing w:val="0"/>
          <w:w w:val="100"/>
          <w:position w:val="0"/>
        </w:rPr>
        <w:t>、财务报表的编制基础</w:t>
      </w:r>
      <w:bookmarkEnd w:id="715"/>
      <w:bookmarkEnd w:id="716"/>
      <w:bookmarkEnd w:id="718"/>
    </w:p>
    <w:p>
      <w:pPr>
        <w:pStyle w:val="Style28"/>
        <w:keepNext/>
        <w:keepLines/>
        <w:widowControl w:val="0"/>
        <w:shd w:val="clear" w:color="auto" w:fill="auto"/>
        <w:bidi w:val="0"/>
        <w:spacing w:before="0" w:after="2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、编制基础</w:t>
      </w:r>
      <w:bookmarkEnd w:id="719"/>
      <w:bookmarkEnd w:id="720"/>
      <w:bookmarkEnd w:id="722"/>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本集团财务报表以持续经营假设为基础，根据实际发生的交易和事项，按照财政部发布的《企业会计准则</w:t>
      </w:r>
      <w:r>
        <w:rPr>
          <w:color w:val="000000"/>
          <w:spacing w:val="0"/>
          <w:w w:val="100"/>
          <w:position w:val="0"/>
        </w:rPr>
        <w:t>一一</w:t>
      </w:r>
      <w:r>
        <w:rPr>
          <w:color w:val="000000"/>
          <w:spacing w:val="0"/>
          <w:w w:val="100"/>
          <w:position w:val="0"/>
        </w:rPr>
        <w:t>基本准则》 （财政部令第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日及其后颁布和修订的</w:t>
      </w:r>
      <w:r>
        <w:rPr>
          <w:color w:val="000000"/>
          <w:spacing w:val="0"/>
          <w:w w:val="100"/>
          <w:position w:val="0"/>
          <w:sz w:val="18"/>
          <w:szCs w:val="18"/>
        </w:rPr>
        <w:t>42</w:t>
      </w:r>
      <w:r>
        <w:rPr>
          <w:color w:val="000000"/>
          <w:spacing w:val="0"/>
          <w:w w:val="100"/>
          <w:position w:val="0"/>
        </w:rPr>
        <w:t xml:space="preserve">项具体会计准则、企业会计准则 应用指南、企业会计准则解释及其他相关规定（以下合称“企业会计准则”），以及中国证券监督管理委员会《公开发行证 </w:t>
      </w:r>
      <w:r>
        <w:rPr>
          <w:color w:val="000000"/>
          <w:spacing w:val="0"/>
          <w:w w:val="100"/>
          <w:position w:val="0"/>
        </w:rPr>
        <w:t>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8"/>
          <w:szCs w:val="18"/>
        </w:rPr>
        <w:t>（2014</w:t>
      </w:r>
      <w:r>
        <w:rPr>
          <w:color w:val="000000"/>
          <w:spacing w:val="0"/>
          <w:w w:val="100"/>
          <w:position w:val="0"/>
        </w:rPr>
        <w:t>年修订）》的披露规定编制。</w:t>
      </w:r>
    </w:p>
    <w:p>
      <w:pPr>
        <w:pStyle w:val="Style25"/>
        <w:keepNext w:val="0"/>
        <w:keepLines w:val="0"/>
        <w:widowControl w:val="0"/>
        <w:shd w:val="clear" w:color="auto" w:fill="auto"/>
        <w:bidi w:val="0"/>
        <w:spacing w:before="0" w:after="400" w:line="312" w:lineRule="exact"/>
        <w:ind w:left="0" w:right="0"/>
        <w:jc w:val="both"/>
      </w:pPr>
      <w:r>
        <w:rPr>
          <w:color w:val="000000"/>
          <w:spacing w:val="0"/>
          <w:w w:val="100"/>
          <w:position w:val="0"/>
        </w:rPr>
        <w:t>根据企业会计准则的相关规定，本集团会计核算以权责发生制为基础。除某些金融工具外，本财务报表均以历史成本为 计量基础。资产如果发生减值，则按照相关规定计提相应的减值准备。</w:t>
      </w:r>
    </w:p>
    <w:p>
      <w:pPr>
        <w:pStyle w:val="Style28"/>
        <w:keepNext/>
        <w:keepLines/>
        <w:widowControl w:val="0"/>
        <w:shd w:val="clear" w:color="auto" w:fill="auto"/>
        <w:bidi w:val="0"/>
        <w:spacing w:before="0" w:after="2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、持续经营</w:t>
      </w:r>
      <w:bookmarkEnd w:id="723"/>
      <w:bookmarkEnd w:id="724"/>
      <w:bookmarkEnd w:id="726"/>
    </w:p>
    <w:p>
      <w:pPr>
        <w:pStyle w:val="Style25"/>
        <w:keepNext w:val="0"/>
        <w:keepLines w:val="0"/>
        <w:widowControl w:val="0"/>
        <w:shd w:val="clear" w:color="auto" w:fill="auto"/>
        <w:bidi w:val="0"/>
        <w:spacing w:before="0" w:after="400" w:line="313" w:lineRule="exact"/>
        <w:ind w:left="0" w:right="0"/>
        <w:jc w:val="both"/>
      </w:pPr>
      <w:r>
        <w:rPr>
          <w:color w:val="000000"/>
          <w:spacing w:val="0"/>
          <w:w w:val="100"/>
          <w:position w:val="0"/>
        </w:rPr>
        <w:t>公司评价了自</w:t>
      </w:r>
      <w:r>
        <w:rPr>
          <w:color w:val="000000"/>
          <w:spacing w:val="0"/>
          <w:w w:val="100"/>
          <w:position w:val="0"/>
          <w:sz w:val="18"/>
          <w:szCs w:val="18"/>
        </w:rPr>
        <w:t>2021</w:t>
      </w:r>
      <w:r>
        <w:rPr>
          <w:color w:val="000000"/>
          <w:spacing w:val="0"/>
          <w:w w:val="100"/>
          <w:position w:val="0"/>
        </w:rPr>
        <w:t>年末起</w:t>
      </w:r>
      <w:r>
        <w:rPr>
          <w:color w:val="000000"/>
          <w:spacing w:val="0"/>
          <w:w w:val="100"/>
          <w:position w:val="0"/>
          <w:sz w:val="18"/>
          <w:szCs w:val="18"/>
        </w:rPr>
        <w:t>12</w:t>
      </w:r>
      <w:r>
        <w:rPr>
          <w:color w:val="000000"/>
          <w:spacing w:val="0"/>
          <w:w w:val="100"/>
          <w:position w:val="0"/>
        </w:rPr>
        <w:t>个月的持续经营能力，评价结果表明未对持续经营能力产生重大怀疑，能够持续经营。</w:t>
      </w:r>
    </w:p>
    <w:p>
      <w:pPr>
        <w:pStyle w:val="Style21"/>
        <w:keepNext/>
        <w:keepLines/>
        <w:widowControl w:val="0"/>
        <w:shd w:val="clear" w:color="auto" w:fill="auto"/>
        <w:bidi w:val="0"/>
        <w:spacing w:before="0" w:after="26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五</w:t>
      </w:r>
      <w:bookmarkEnd w:id="729"/>
      <w:r>
        <w:rPr>
          <w:color w:val="000000"/>
          <w:spacing w:val="0"/>
          <w:w w:val="100"/>
          <w:position w:val="0"/>
        </w:rPr>
        <w:t>、重要会计政策及会计估计</w:t>
      </w:r>
      <w:bookmarkEnd w:id="727"/>
      <w:bookmarkEnd w:id="728"/>
      <w:bookmarkEnd w:id="730"/>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本集团根据实际生产经营特点，依据相关企业会计准则的规定，对收入确认、研究开发支出等交易和事项制定了若干项 具体会计政策和会计估计，详见本附注四、</w:t>
      </w:r>
      <w:r>
        <w:rPr>
          <w:color w:val="000000"/>
          <w:spacing w:val="0"/>
          <w:w w:val="100"/>
          <w:position w:val="0"/>
          <w:sz w:val="18"/>
          <w:szCs w:val="18"/>
        </w:rPr>
        <w:t>27“</w:t>
      </w:r>
      <w:r>
        <w:rPr>
          <w:color w:val="000000"/>
          <w:spacing w:val="0"/>
          <w:w w:val="100"/>
          <w:position w:val="0"/>
        </w:rPr>
        <w:t>收入”、附注四</w:t>
      </w:r>
      <w:r>
        <w:rPr>
          <w:color w:val="000000"/>
          <w:spacing w:val="0"/>
          <w:w w:val="100"/>
          <w:position w:val="0"/>
          <w:sz w:val="18"/>
          <w:szCs w:val="18"/>
        </w:rPr>
        <w:t>19“</w:t>
      </w:r>
      <w:r>
        <w:rPr>
          <w:color w:val="000000"/>
          <w:spacing w:val="0"/>
          <w:w w:val="100"/>
          <w:position w:val="0"/>
        </w:rPr>
        <w:t>无形资产”各项描述。关于管理层所作出的重大会计判 断和估计的说明，请参阅附注四、</w:t>
      </w:r>
      <w:r>
        <w:rPr>
          <w:color w:val="000000"/>
          <w:spacing w:val="0"/>
          <w:w w:val="100"/>
          <w:position w:val="0"/>
          <w:sz w:val="18"/>
          <w:szCs w:val="18"/>
        </w:rPr>
        <w:t xml:space="preserve">32 </w:t>
      </w:r>
      <w:r>
        <w:rPr>
          <w:color w:val="000000"/>
          <w:spacing w:val="0"/>
          <w:w w:val="100"/>
          <w:position w:val="0"/>
        </w:rPr>
        <w:t>“重大会计判断和估计”。</w:t>
      </w:r>
    </w:p>
    <w:p>
      <w:pPr>
        <w:pStyle w:val="Style25"/>
        <w:keepNext w:val="0"/>
        <w:keepLines w:val="0"/>
        <w:widowControl w:val="0"/>
        <w:shd w:val="clear" w:color="auto" w:fill="auto"/>
        <w:tabs>
          <w:tab w:pos="714" w:val="left"/>
        </w:tabs>
        <w:bidi w:val="0"/>
        <w:spacing w:before="0" w:after="0" w:line="312" w:lineRule="exact"/>
        <w:ind w:left="0" w:right="0"/>
        <w:jc w:val="both"/>
      </w:pPr>
      <w:bookmarkStart w:id="731" w:name="bookmark731"/>
      <w:r>
        <w:rPr>
          <w:color w:val="000000"/>
          <w:spacing w:val="0"/>
          <w:w w:val="100"/>
          <w:position w:val="0"/>
          <w:sz w:val="18"/>
          <w:szCs w:val="18"/>
        </w:rPr>
        <w:t>1</w:t>
      </w:r>
      <w:bookmarkEnd w:id="731"/>
      <w:r>
        <w:rPr>
          <w:color w:val="000000"/>
          <w:spacing w:val="0"/>
          <w:w w:val="100"/>
          <w:position w:val="0"/>
        </w:rPr>
        <w:t>、</w:t>
        <w:tab/>
        <w:t>遵循企业会计准则的声明</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本公司及本集团编制的财务报表符合企业会计准则的要求，真实、完整地反映了本公司及本集团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 及母公司财务状况及</w:t>
      </w:r>
      <w:r>
        <w:rPr>
          <w:color w:val="000000"/>
          <w:spacing w:val="0"/>
          <w:w w:val="100"/>
          <w:position w:val="0"/>
          <w:sz w:val="18"/>
          <w:szCs w:val="18"/>
        </w:rPr>
        <w:t>2021</w:t>
      </w:r>
      <w:r>
        <w:rPr>
          <w:color w:val="000000"/>
          <w:spacing w:val="0"/>
          <w:w w:val="100"/>
          <w:position w:val="0"/>
        </w:rPr>
        <w:t>年度的合并及母公司经营成果和合并及母公司现金流量等有关信息。此外，本公司及本集团的财务 报表在所有重大方面符合中国证券监督管理委员会</w:t>
      </w:r>
      <w:r>
        <w:rPr>
          <w:color w:val="000000"/>
          <w:spacing w:val="0"/>
          <w:w w:val="100"/>
          <w:position w:val="0"/>
          <w:sz w:val="18"/>
          <w:szCs w:val="18"/>
        </w:rPr>
        <w:t>2014</w:t>
      </w:r>
      <w:r>
        <w:rPr>
          <w:color w:val="000000"/>
          <w:spacing w:val="0"/>
          <w:w w:val="100"/>
          <w:position w:val="0"/>
        </w:rPr>
        <w:t>年修订的《公开发行证券的公司信息披露编报规则第</w:t>
      </w:r>
      <w:r>
        <w:rPr>
          <w:color w:val="000000"/>
          <w:spacing w:val="0"/>
          <w:w w:val="100"/>
          <w:position w:val="0"/>
          <w:sz w:val="18"/>
          <w:szCs w:val="18"/>
        </w:rPr>
        <w:t>15</w:t>
      </w:r>
      <w:r>
        <w:rPr>
          <w:color w:val="000000"/>
          <w:spacing w:val="0"/>
          <w:w w:val="100"/>
          <w:position w:val="0"/>
        </w:rPr>
        <w:t>号一财务报告 的一般规定》有关财务报表及其附注的披露要求。</w:t>
      </w:r>
    </w:p>
    <w:p>
      <w:pPr>
        <w:pStyle w:val="Style25"/>
        <w:keepNext w:val="0"/>
        <w:keepLines w:val="0"/>
        <w:widowControl w:val="0"/>
        <w:shd w:val="clear" w:color="auto" w:fill="auto"/>
        <w:tabs>
          <w:tab w:pos="724" w:val="left"/>
        </w:tabs>
        <w:bidi w:val="0"/>
        <w:spacing w:before="0" w:after="0" w:line="312" w:lineRule="exact"/>
        <w:ind w:left="0" w:right="0"/>
        <w:jc w:val="both"/>
      </w:pPr>
      <w:bookmarkStart w:id="732" w:name="bookmark732"/>
      <w:r>
        <w:rPr>
          <w:color w:val="000000"/>
          <w:spacing w:val="0"/>
          <w:w w:val="100"/>
          <w:position w:val="0"/>
          <w:sz w:val="18"/>
          <w:szCs w:val="18"/>
        </w:rPr>
        <w:t>2</w:t>
      </w:r>
      <w:bookmarkEnd w:id="732"/>
      <w:r>
        <w:rPr>
          <w:color w:val="000000"/>
          <w:spacing w:val="0"/>
          <w:w w:val="100"/>
          <w:position w:val="0"/>
        </w:rPr>
        <w:t>、</w:t>
        <w:tab/>
        <w:t>会计期间</w:t>
      </w:r>
    </w:p>
    <w:p>
      <w:pPr>
        <w:pStyle w:val="Style25"/>
        <w:keepNext w:val="0"/>
        <w:keepLines w:val="0"/>
        <w:widowControl w:val="0"/>
        <w:shd w:val="clear" w:color="auto" w:fill="auto"/>
        <w:bidi w:val="0"/>
        <w:spacing w:before="0" w:after="0" w:line="293" w:lineRule="exact"/>
        <w:ind w:left="0" w:right="0"/>
        <w:jc w:val="both"/>
      </w:pPr>
      <w:r>
        <w:rPr>
          <w:color w:val="000000"/>
          <w:spacing w:val="0"/>
          <w:w w:val="100"/>
          <w:position w:val="0"/>
        </w:rPr>
        <w:t>本集团的会计期间分为年度和中期，会计中期指短于一个完整的会计年度的报告期间。本集团会计年度采用公历年度， 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5"/>
        <w:keepNext w:val="0"/>
        <w:keepLines w:val="0"/>
        <w:widowControl w:val="0"/>
        <w:shd w:val="clear" w:color="auto" w:fill="auto"/>
        <w:tabs>
          <w:tab w:pos="724" w:val="left"/>
        </w:tabs>
        <w:bidi w:val="0"/>
        <w:spacing w:before="0" w:after="0" w:line="326" w:lineRule="exact"/>
        <w:ind w:left="0" w:right="0"/>
        <w:jc w:val="both"/>
      </w:pPr>
      <w:bookmarkStart w:id="733" w:name="bookmark733"/>
      <w:r>
        <w:rPr>
          <w:color w:val="000000"/>
          <w:spacing w:val="0"/>
          <w:w w:val="100"/>
          <w:position w:val="0"/>
          <w:sz w:val="18"/>
          <w:szCs w:val="18"/>
        </w:rPr>
        <w:t>3</w:t>
      </w:r>
      <w:bookmarkEnd w:id="733"/>
      <w:r>
        <w:rPr>
          <w:color w:val="000000"/>
          <w:spacing w:val="0"/>
          <w:w w:val="100"/>
          <w:position w:val="0"/>
        </w:rPr>
        <w:t>、</w:t>
        <w:tab/>
        <w:t>营业周期</w:t>
      </w:r>
    </w:p>
    <w:p>
      <w:pPr>
        <w:pStyle w:val="Style25"/>
        <w:keepNext w:val="0"/>
        <w:keepLines w:val="0"/>
        <w:widowControl w:val="0"/>
        <w:shd w:val="clear" w:color="auto" w:fill="auto"/>
        <w:bidi w:val="0"/>
        <w:spacing w:before="0" w:after="0" w:line="326" w:lineRule="exact"/>
        <w:ind w:left="0" w:right="0"/>
        <w:jc w:val="both"/>
      </w:pPr>
      <w:r>
        <w:rPr>
          <w:color w:val="000000"/>
          <w:spacing w:val="0"/>
          <w:w w:val="100"/>
          <w:position w:val="0"/>
        </w:rPr>
        <w:t>正常营业周期是指本集团从购买用于加工的资产起至实现现金或现金等价物的期间。本集团以</w:t>
      </w:r>
      <w:r>
        <w:rPr>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5"/>
        <w:keepNext w:val="0"/>
        <w:keepLines w:val="0"/>
        <w:widowControl w:val="0"/>
        <w:shd w:val="clear" w:color="auto" w:fill="auto"/>
        <w:tabs>
          <w:tab w:pos="729" w:val="left"/>
        </w:tabs>
        <w:bidi w:val="0"/>
        <w:spacing w:before="0" w:after="0" w:line="313" w:lineRule="exact"/>
        <w:ind w:left="0" w:right="0"/>
        <w:jc w:val="both"/>
      </w:pPr>
      <w:bookmarkStart w:id="734" w:name="bookmark734"/>
      <w:r>
        <w:rPr>
          <w:color w:val="000000"/>
          <w:spacing w:val="0"/>
          <w:w w:val="100"/>
          <w:position w:val="0"/>
          <w:sz w:val="18"/>
          <w:szCs w:val="18"/>
        </w:rPr>
        <w:t>4</w:t>
      </w:r>
      <w:bookmarkEnd w:id="734"/>
      <w:r>
        <w:rPr>
          <w:color w:val="000000"/>
          <w:spacing w:val="0"/>
          <w:w w:val="100"/>
          <w:position w:val="0"/>
        </w:rPr>
        <w:t>、</w:t>
        <w:tab/>
        <w:t>记账本位币</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人民币为本公司及境内子公司经营所处的主要经济环境中的货币，本公司及境内子公司以人民币为记账本位币。本集团 编制本财务报表时所采用的货币为人民币。</w:t>
      </w:r>
    </w:p>
    <w:p>
      <w:pPr>
        <w:pStyle w:val="Style25"/>
        <w:keepNext w:val="0"/>
        <w:keepLines w:val="0"/>
        <w:widowControl w:val="0"/>
        <w:shd w:val="clear" w:color="auto" w:fill="auto"/>
        <w:tabs>
          <w:tab w:pos="729" w:val="left"/>
        </w:tabs>
        <w:bidi w:val="0"/>
        <w:spacing w:before="0" w:after="0" w:line="313" w:lineRule="exact"/>
        <w:ind w:left="0" w:right="0"/>
        <w:jc w:val="both"/>
      </w:pPr>
      <w:bookmarkStart w:id="735" w:name="bookmark735"/>
      <w:r>
        <w:rPr>
          <w:color w:val="000000"/>
          <w:spacing w:val="0"/>
          <w:w w:val="100"/>
          <w:position w:val="0"/>
          <w:sz w:val="18"/>
          <w:szCs w:val="18"/>
        </w:rPr>
        <w:t>5</w:t>
      </w:r>
      <w:bookmarkEnd w:id="735"/>
      <w:r>
        <w:rPr>
          <w:color w:val="000000"/>
          <w:spacing w:val="0"/>
          <w:w w:val="100"/>
          <w:position w:val="0"/>
        </w:rPr>
        <w:t>、</w:t>
        <w:tab/>
        <w:t>同一控制下和非同一控制下企业合并的会计处理方法</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同一控制下企业合并</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合并方为进行企业合并发生的各项直接费用，于发生时计入当期损益。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非同一控制下企业合并</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w:t>
      </w:r>
      <w:r>
        <w:rPr>
          <w:color w:val="000000"/>
          <w:spacing w:val="0"/>
          <w:w w:val="100"/>
          <w:position w:val="0"/>
        </w:rPr>
        <w:t>计入当期损益。购买方作为合并对价发行的权益性证券或债务性证券的交易费用，计入权益性证券或债务性证券的初始确认 金额。所涉及的或有对价按其在购买日的公允价值计入合并成本，购买日后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 19</w:t>
      </w:r>
      <w:r>
        <w:rPr>
          <w:color w:val="000000"/>
          <w:spacing w:val="0"/>
          <w:w w:val="100"/>
          <w:position w:val="0"/>
        </w:rPr>
        <w:t>号）和《企业会计准则第</w:t>
      </w:r>
      <w:r>
        <w:rPr>
          <w:color w:val="000000"/>
          <w:spacing w:val="0"/>
          <w:w w:val="100"/>
          <w:position w:val="0"/>
          <w:sz w:val="18"/>
          <w:szCs w:val="18"/>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合并财务报表》第五十一条关于“一揽子交易”的判断标准（参见本附注四、</w:t>
      </w:r>
      <w:r>
        <w:rPr>
          <w:color w:val="000000"/>
          <w:spacing w:val="0"/>
          <w:w w:val="100"/>
          <w:position w:val="0"/>
          <w:sz w:val="18"/>
          <w:szCs w:val="18"/>
        </w:rPr>
        <w:t xml:space="preserve">5 </w:t>
      </w:r>
      <w:r>
        <w:rPr>
          <w:color w:val="000000"/>
          <w:spacing w:val="0"/>
          <w:w w:val="100"/>
          <w:position w:val="0"/>
        </w:rPr>
        <w:t>“合并 财务报表的编制方法”</w:t>
      </w:r>
      <w:r>
        <w:rPr>
          <w:color w:val="000000"/>
          <w:spacing w:val="0"/>
          <w:w w:val="100"/>
          <w:position w:val="0"/>
          <w:sz w:val="18"/>
          <w:szCs w:val="18"/>
        </w:rPr>
        <w:t>（2）</w:t>
      </w:r>
      <w:r>
        <w:rPr>
          <w:color w:val="000000"/>
          <w:spacing w:val="0"/>
          <w:w w:val="100"/>
          <w:position w:val="0"/>
        </w:rPr>
        <w:t>），判断该多次交易是否属于“一揽子交易”。属于“一揽子交易”的，参考本部分前面各段 描述及本附注四、</w:t>
      </w:r>
      <w:r>
        <w:rPr>
          <w:color w:val="000000"/>
          <w:spacing w:val="0"/>
          <w:w w:val="100"/>
          <w:position w:val="0"/>
          <w:sz w:val="18"/>
          <w:szCs w:val="18"/>
        </w:rPr>
        <w:t>14“</w:t>
      </w:r>
      <w:r>
        <w:rPr>
          <w:color w:val="000000"/>
          <w:spacing w:val="0"/>
          <w:w w:val="100"/>
          <w:position w:val="0"/>
        </w:rPr>
        <w:t>长期股权投资”进行会计处理；不属于“一揽子交易”的，区分个别财务报表和合并财务报表进行相 关会计处理：</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w:t>
      </w:r>
    </w:p>
    <w:p>
      <w:pPr>
        <w:pStyle w:val="Style25"/>
        <w:keepNext w:val="0"/>
        <w:keepLines w:val="0"/>
        <w:widowControl w:val="0"/>
        <w:shd w:val="clear" w:color="auto" w:fill="auto"/>
        <w:bidi w:val="0"/>
        <w:spacing w:before="0" w:after="400" w:line="313" w:lineRule="exact"/>
        <w:ind w:left="0" w:right="0"/>
        <w:jc w:val="left"/>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w:t>
      </w:r>
    </w:p>
    <w:p>
      <w:pPr>
        <w:pStyle w:val="Style28"/>
        <w:keepNext/>
        <w:keepLines/>
        <w:widowControl w:val="0"/>
        <w:shd w:val="clear" w:color="auto" w:fill="auto"/>
        <w:bidi w:val="0"/>
        <w:spacing w:before="0" w:after="2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6</w:t>
      </w:r>
      <w:bookmarkEnd w:id="738"/>
      <w:r>
        <w:rPr>
          <w:color w:val="000000"/>
          <w:spacing w:val="0"/>
          <w:w w:val="100"/>
          <w:position w:val="0"/>
        </w:rPr>
        <w:t>、合并财务报表的编制方法</w:t>
      </w:r>
      <w:bookmarkEnd w:id="736"/>
      <w:bookmarkEnd w:id="737"/>
      <w:bookmarkEnd w:id="739"/>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合并财务报表范围的确定原则</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合并财务报表的合并范围以控制为基础予以确定。控制是指本集团拥有对被投资方的权力，通过参与被投资方的相关活 动而享有可变回报，并且有能力运用对被投资方的权力影响该回报金额。合并范围包括本公司及全部子公司。子公司，是指 被本集团控制的主体。</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一旦相关事实和情况的变化导致上述控制定义涉及的相关要素发生了变化，本集团将进行重新评估。</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合并财务报表编制的方法</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从取得子公司的净资产和生产经营决策的实际控制权之日起，本集团开始将其纳入合并范围；从丧失实际控制权之日起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集团内所有重大往来余额、交易及未实现利润在合并财务报表编制时予以抵销。</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w:t>
      </w:r>
      <w:r>
        <w:rPr>
          <w:color w:val="000000"/>
          <w:spacing w:val="0"/>
          <w:w w:val="100"/>
          <w:position w:val="0"/>
        </w:rPr>
        <w:t>股东权益。</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color w:val="000000"/>
          <w:spacing w:val="0"/>
          <w:w w:val="100"/>
          <w:position w:val="0"/>
          <w:sz w:val="18"/>
          <w:szCs w:val="18"/>
        </w:rPr>
        <w:t>2</w:t>
      </w:r>
      <w:r>
        <w:rPr>
          <w:color w:val="000000"/>
          <w:spacing w:val="0"/>
          <w:w w:val="100"/>
          <w:position w:val="0"/>
        </w:rPr>
        <w:t>号</w:t>
      </w:r>
      <w:r>
        <w:rPr>
          <w:color w:val="000000"/>
          <w:spacing w:val="0"/>
          <w:w w:val="100"/>
          <w:position w:val="0"/>
        </w:rPr>
        <w:t xml:space="preserve">一一 </w:t>
      </w:r>
      <w:r>
        <w:rPr>
          <w:color w:val="000000"/>
          <w:spacing w:val="0"/>
          <w:w w:val="100"/>
          <w:position w:val="0"/>
        </w:rPr>
        <w:t>长期股权投资》或《企业会计准则第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金融工具确认和计量》等相关规定进行后续计量，详见本附注四、</w:t>
      </w:r>
      <w:r>
        <w:rPr>
          <w:color w:val="000000"/>
          <w:spacing w:val="0"/>
          <w:w w:val="100"/>
          <w:position w:val="0"/>
          <w:sz w:val="18"/>
          <w:szCs w:val="18"/>
        </w:rPr>
        <w:t>14“</w:t>
      </w:r>
      <w:r>
        <w:rPr>
          <w:color w:val="000000"/>
          <w:spacing w:val="0"/>
          <w:w w:val="100"/>
          <w:position w:val="0"/>
        </w:rPr>
        <w:t>长期股 权投资”或本附注四、</w:t>
      </w:r>
      <w:r>
        <w:rPr>
          <w:color w:val="000000"/>
          <w:spacing w:val="0"/>
          <w:w w:val="100"/>
          <w:position w:val="0"/>
          <w:sz w:val="18"/>
          <w:szCs w:val="18"/>
        </w:rPr>
        <w:t xml:space="preserve">9 </w:t>
      </w:r>
      <w:r>
        <w:rPr>
          <w:color w:val="000000"/>
          <w:spacing w:val="0"/>
          <w:w w:val="100"/>
          <w:position w:val="0"/>
        </w:rPr>
        <w:t>“金融工具”。</w:t>
      </w:r>
    </w:p>
    <w:p>
      <w:pPr>
        <w:pStyle w:val="Style25"/>
        <w:keepNext w:val="0"/>
        <w:keepLines w:val="0"/>
        <w:widowControl w:val="0"/>
        <w:shd w:val="clear" w:color="auto" w:fill="auto"/>
        <w:bidi w:val="0"/>
        <w:spacing w:before="0" w:after="400" w:line="311" w:lineRule="exact"/>
        <w:ind w:left="0" w:right="0"/>
        <w:jc w:val="both"/>
      </w:pPr>
      <w:r>
        <w:rPr>
          <w:color w:val="000000"/>
          <w:spacing w:val="0"/>
          <w:w w:val="100"/>
          <w:position w:val="0"/>
        </w:rPr>
        <w:t>本集团通过多次交易分步处置对子公司股权投资直至丧失控制权的，需区分处置对子公司股权投资直至丧失控制权的各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部分处置对子公司的长期股权投资”（详见本附注四、</w:t>
      </w:r>
      <w:r>
        <w:rPr>
          <w:color w:val="000000"/>
          <w:spacing w:val="0"/>
          <w:w w:val="100"/>
          <w:position w:val="0"/>
          <w:sz w:val="18"/>
          <w:szCs w:val="18"/>
        </w:rPr>
        <w:t>14“</w:t>
      </w:r>
      <w:r>
        <w:rPr>
          <w:color w:val="000000"/>
          <w:spacing w:val="0"/>
          <w:w w:val="100"/>
          <w:position w:val="0"/>
        </w:rPr>
        <w:t>长期股权投资”</w:t>
      </w:r>
      <w:r>
        <w:rPr>
          <w:color w:val="000000"/>
          <w:spacing w:val="0"/>
          <w:w w:val="100"/>
          <w:position w:val="0"/>
          <w:sz w:val="18"/>
          <w:szCs w:val="18"/>
        </w:rPr>
        <w:t>（2）</w:t>
      </w:r>
      <w:r>
        <w:rPr>
          <w:color w:val="000000"/>
          <w:spacing w:val="0"/>
          <w:w w:val="100"/>
          <w:position w:val="0"/>
        </w:rPr>
        <w:t>④）和“因处置部分股权投资或其他原因 丧失了对原有子公司的控制权”（详见前段）适用的原则进行会计处理。处置对子公司股权投资直至丧失控制权的各项交易 属于一揽子交易的，将各项交易作为一项处置子公司并丧失控制权的交易进行会计处理；但是，在丧失控制权之前每一次处 置价款与处置投资对应的享有该子公司净资产份额的差额，在合并财务报表中确认为其他综合收益，在丧失控制权时一并转 入丧失控制权当期的损益。</w:t>
      </w:r>
    </w:p>
    <w:p>
      <w:pPr>
        <w:pStyle w:val="Style28"/>
        <w:keepNext/>
        <w:keepLines/>
        <w:widowControl w:val="0"/>
        <w:shd w:val="clear" w:color="auto" w:fill="auto"/>
        <w:tabs>
          <w:tab w:pos="315" w:val="left"/>
        </w:tabs>
        <w:bidi w:val="0"/>
        <w:spacing w:before="0" w:after="2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7</w:t>
      </w:r>
      <w:bookmarkEnd w:id="742"/>
      <w:r>
        <w:rPr>
          <w:color w:val="000000"/>
          <w:spacing w:val="0"/>
          <w:w w:val="100"/>
          <w:position w:val="0"/>
        </w:rPr>
        <w:t>、</w:t>
        <w:tab/>
        <w:t>合营安排分类及共同经营会计处理方法</w:t>
      </w:r>
      <w:bookmarkEnd w:id="740"/>
      <w:bookmarkEnd w:id="741"/>
      <w:bookmarkEnd w:id="743"/>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合营安排，是指一项由两个或两个以上的参与方共同控制的安排。本集团根据在合营安排中享有的权利和承担的义务， 将合营安排分为共同经营和合营企业。共同经营，是指本集团享有该安排相关资产且承担该安排相关负债的合营安排。合营 企业，是指本集团仅对该安排的净资产享有权利的合营安排。</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本集团对合营企业的投资采用权益法核算，按照本附注四、</w:t>
      </w:r>
      <w:r>
        <w:rPr>
          <w:color w:val="000000"/>
          <w:spacing w:val="0"/>
          <w:w w:val="100"/>
          <w:position w:val="0"/>
          <w:sz w:val="18"/>
          <w:szCs w:val="18"/>
        </w:rPr>
        <w:t>14“</w:t>
      </w:r>
      <w:r>
        <w:rPr>
          <w:color w:val="000000"/>
          <w:spacing w:val="0"/>
          <w:w w:val="100"/>
          <w:position w:val="0"/>
        </w:rPr>
        <w:t>长期股权投资”</w:t>
      </w:r>
      <w:r>
        <w:rPr>
          <w:color w:val="000000"/>
          <w:spacing w:val="0"/>
          <w:w w:val="100"/>
          <w:position w:val="0"/>
          <w:sz w:val="18"/>
          <w:szCs w:val="18"/>
        </w:rPr>
        <w:t>（2）②</w:t>
      </w:r>
      <w:r>
        <w:rPr>
          <w:color w:val="000000"/>
          <w:spacing w:val="0"/>
          <w:w w:val="100"/>
          <w:position w:val="0"/>
        </w:rPr>
        <w:t>“权益法核算的长期股权投资” 中所述的会计政策处理。</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本集团作为合营方对共同经营，确认本集团单独持有的资产、单独所承担的负债，以及按本集团份额确认共同持有的资 产和共同承担的负债；确认出售本集团享有的共同经营产出份额所产生的收入；按本集团份额确认共同经营因出售产出所产 生的收入；确认本集团单独所发生的费用，以及按本集团份额确认共同经营发生的费用。</w:t>
      </w:r>
    </w:p>
    <w:p>
      <w:pPr>
        <w:pStyle w:val="Style25"/>
        <w:keepNext w:val="0"/>
        <w:keepLines w:val="0"/>
        <w:widowControl w:val="0"/>
        <w:shd w:val="clear" w:color="auto" w:fill="auto"/>
        <w:bidi w:val="0"/>
        <w:spacing w:before="0" w:after="400" w:line="313" w:lineRule="exact"/>
        <w:ind w:left="0" w:right="0"/>
        <w:jc w:val="both"/>
      </w:pPr>
      <w:r>
        <w:rPr>
          <w:color w:val="000000"/>
          <w:spacing w:val="0"/>
          <w:w w:val="100"/>
          <w:position w:val="0"/>
        </w:rPr>
        <w:t>当本集团作为合营方向共同经营投出或出售资产（该资产不构成业务，下同）、或者自共同经营购买资产时，在该等资 产出售给第三方之前，本集团仅确认因该交易产生的损益中归属于共同经营其他参与方的部分。该等资产发生符合《企业会 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资产减值》等规定的资产减值损失的，对于由本集团向共同经营投出或出售资产的情况，本集团全额确认 该损失；对于本集团自共同经营购买资产的情况，本集团按承担的份额确认该损失。</w:t>
      </w:r>
    </w:p>
    <w:p>
      <w:pPr>
        <w:pStyle w:val="Style28"/>
        <w:keepNext/>
        <w:keepLines/>
        <w:widowControl w:val="0"/>
        <w:shd w:val="clear" w:color="auto" w:fill="auto"/>
        <w:tabs>
          <w:tab w:pos="318" w:val="left"/>
        </w:tabs>
        <w:bidi w:val="0"/>
        <w:spacing w:before="0" w:after="26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8</w:t>
      </w:r>
      <w:bookmarkEnd w:id="746"/>
      <w:r>
        <w:rPr>
          <w:color w:val="000000"/>
          <w:spacing w:val="0"/>
          <w:w w:val="100"/>
          <w:position w:val="0"/>
        </w:rPr>
        <w:t>、</w:t>
        <w:tab/>
        <w:t>现金及现金等价物的确定标准</w:t>
      </w:r>
      <w:bookmarkEnd w:id="744"/>
      <w:bookmarkEnd w:id="745"/>
      <w:bookmarkEnd w:id="747"/>
    </w:p>
    <w:p>
      <w:pPr>
        <w:pStyle w:val="Style25"/>
        <w:keepNext w:val="0"/>
        <w:keepLines w:val="0"/>
        <w:widowControl w:val="0"/>
        <w:shd w:val="clear" w:color="auto" w:fill="auto"/>
        <w:bidi w:val="0"/>
        <w:spacing w:before="0" w:after="400" w:line="312" w:lineRule="exact"/>
        <w:ind w:left="0" w:right="0"/>
        <w:jc w:val="both"/>
      </w:pPr>
      <w:r>
        <w:rPr>
          <w:color w:val="000000"/>
          <w:spacing w:val="0"/>
          <w:w w:val="100"/>
          <w:position w:val="0"/>
        </w:rPr>
        <w:t>本集团现金及现金等价物包括库存现金、可以随时用于支付的存款以及本集团持有的期限短（一般为从购买日起三个月 内到期）、流动性强、易于转换为已知金额现金、价值变动风险很小的投资。</w:t>
      </w:r>
    </w:p>
    <w:p>
      <w:pPr>
        <w:pStyle w:val="Style28"/>
        <w:keepNext/>
        <w:keepLines/>
        <w:widowControl w:val="0"/>
        <w:shd w:val="clear" w:color="auto" w:fill="auto"/>
        <w:tabs>
          <w:tab w:pos="318" w:val="left"/>
        </w:tabs>
        <w:bidi w:val="0"/>
        <w:spacing w:before="0" w:after="2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9</w:t>
      </w:r>
      <w:bookmarkEnd w:id="750"/>
      <w:r>
        <w:rPr>
          <w:color w:val="000000"/>
          <w:spacing w:val="0"/>
          <w:w w:val="100"/>
          <w:position w:val="0"/>
        </w:rPr>
        <w:t>、</w:t>
        <w:tab/>
        <w:t>外币业务和外币报表折算</w:t>
      </w:r>
      <w:bookmarkEnd w:id="748"/>
      <w:bookmarkEnd w:id="749"/>
      <w:bookmarkEnd w:id="751"/>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外币交易的折算方法</w:t>
      </w:r>
    </w:p>
    <w:p>
      <w:pPr>
        <w:pStyle w:val="Style25"/>
        <w:keepNext w:val="0"/>
        <w:keepLines w:val="0"/>
        <w:widowControl w:val="0"/>
        <w:shd w:val="clear" w:color="auto" w:fill="auto"/>
        <w:bidi w:val="0"/>
        <w:spacing w:before="0" w:after="340" w:line="312" w:lineRule="exact"/>
        <w:ind w:left="0" w:right="0"/>
        <w:jc w:val="left"/>
      </w:pPr>
      <w:r>
        <w:rPr>
          <w:color w:val="000000"/>
          <w:spacing w:val="0"/>
          <w:w w:val="100"/>
          <w:position w:val="0"/>
        </w:rPr>
        <w:t>本集团发生的外币交易在初始确认时，按交易日的即期汇率（通常指中国人民银行公布的当日外汇牌价的中间价，下同） 折算为记账本位币金额，但本集团发生的外币兑换业务或涉及外币兑换的交易事项，按照实际采用的汇率折算为记账本位币 金额。</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对于外币货币性项目和外币非货币性项目的折算方法</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本化条件的资产相关的外币专门借款产生的汇兑差额按照借款费用资本化的原则处理;②以及可供出售的外币货币性项目除 摊余成本之外的其他账面余额变动产生的汇兑差额计入其他综合收益之外，均计入当期损益。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外币财务报表的折算方法</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用交易发生日的即期汇率折算。年初未分配利润为上一年折算后的期末未分配利润；期末未分配利润按折算后的利润分配各 项目计算列示；折算后资产类项目与负债类项目和股东权益类项目合计数的差额，作为外币报表折算差额，确认为其他综合 收益。处置境外经营并丧失控制权时，将资产负债表中股东权益项目下列示的、与该境外经营相关的外币报表折算差额，全 部或按处置该境外经营的比例转入处置当期损益。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外币现金流量，采用现金流量发生日的即期汇率折算。汇率变动对现金的影响额作为调节项目，在现金流量表中单独列 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年初数和上期实际数按照上期财务报表折算后的数额列示。</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在处置本集团在境外经营的全部所有者权益或因处置部分股权投资或其他原因丧失了对境外经营控制权时，将资产负债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25"/>
        <w:keepNext w:val="0"/>
        <w:keepLines w:val="0"/>
        <w:widowControl w:val="0"/>
        <w:shd w:val="clear" w:color="auto" w:fill="auto"/>
        <w:bidi w:val="0"/>
        <w:spacing w:before="0" w:after="380" w:line="313" w:lineRule="exact"/>
        <w:ind w:left="0" w:right="0"/>
        <w:jc w:val="both"/>
      </w:pPr>
      <w:r>
        <w:rPr>
          <w:color w:val="000000"/>
          <w:spacing w:val="0"/>
          <w:w w:val="100"/>
          <w:position w:val="0"/>
        </w:rPr>
        <w:t>如有实质上构成对境外经营净投资的外币货币性项目，在合并财务报表中，其因汇率变动而产生的汇兑差额，作为“外 币报表折算差额”确认为其他综合收益；处置境外经营时，计入处置当期损益。</w:t>
      </w:r>
    </w:p>
    <w:p>
      <w:pPr>
        <w:pStyle w:val="Style28"/>
        <w:keepNext/>
        <w:keepLines/>
        <w:widowControl w:val="0"/>
        <w:shd w:val="clear" w:color="auto" w:fill="auto"/>
        <w:bidi w:val="0"/>
        <w:spacing w:before="0" w:after="28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52"/>
      <w:bookmarkEnd w:id="753"/>
      <w:bookmarkEnd w:id="755"/>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在本集团成为金融工具合同的一方时确认一项金融资产或金融负债。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金融资产的分类、确认和计量</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虑重大融资成分的应收账款或应收票据，本集团按照预期有权收取的对价金额作为初始确认金额。</w:t>
      </w:r>
    </w:p>
    <w:p>
      <w:pPr>
        <w:pStyle w:val="Style25"/>
        <w:keepNext w:val="0"/>
        <w:keepLines w:val="0"/>
        <w:widowControl w:val="0"/>
        <w:numPr>
          <w:ilvl w:val="0"/>
          <w:numId w:val="9"/>
        </w:numPr>
        <w:shd w:val="clear" w:color="auto" w:fill="auto"/>
        <w:tabs>
          <w:tab w:pos="714" w:val="left"/>
        </w:tabs>
        <w:bidi w:val="0"/>
        <w:spacing w:before="0" w:after="0" w:line="312" w:lineRule="exact"/>
        <w:ind w:left="0" w:right="0"/>
        <w:jc w:val="both"/>
      </w:pPr>
      <w:bookmarkStart w:id="756" w:name="bookmark756"/>
      <w:bookmarkEnd w:id="756"/>
      <w:r>
        <w:rPr>
          <w:color w:val="000000"/>
          <w:spacing w:val="0"/>
          <w:w w:val="100"/>
          <w:position w:val="0"/>
        </w:rPr>
        <w:t>以摊余成本计量的金融资产</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与基本借贷安排相一致，即在特定日期产生的现金流量，仅为对本金和以未偿付本金金额为基础的利息的支付。本集团对于 此类金融资产，采用实际利率法，按照摊余成本进行后续计量，其摊销或减值产生的利得或损失，计入当期损益。</w:t>
      </w:r>
    </w:p>
    <w:p>
      <w:pPr>
        <w:pStyle w:val="Style25"/>
        <w:keepNext w:val="0"/>
        <w:keepLines w:val="0"/>
        <w:widowControl w:val="0"/>
        <w:numPr>
          <w:ilvl w:val="0"/>
          <w:numId w:val="9"/>
        </w:numPr>
        <w:shd w:val="clear" w:color="auto" w:fill="auto"/>
        <w:tabs>
          <w:tab w:pos="714" w:val="left"/>
        </w:tabs>
        <w:bidi w:val="0"/>
        <w:spacing w:before="0" w:after="0" w:line="312" w:lineRule="exact"/>
        <w:ind w:left="0" w:right="0"/>
        <w:jc w:val="both"/>
      </w:pPr>
      <w:bookmarkStart w:id="757" w:name="bookmark757"/>
      <w:bookmarkEnd w:id="757"/>
      <w:r>
        <w:rPr>
          <w:color w:val="000000"/>
          <w:spacing w:val="0"/>
          <w:w w:val="100"/>
          <w:position w:val="0"/>
        </w:rPr>
        <w:t>以公允价值计量且其变动计入其他综合收益的金融资产</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本集团管理此类金融资产的业务模式为既以收取合同现金流量为目标又以出售为目标，且此类金融资产的合同现金流量 特征与基本借贷安排相一致。本集团对此类金融资产按照公允价值计量且其变动计入其他综合收益，但减值损失或利得、汇 兑损益和按照实际利率法计算的利息收入计入当期损益。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此外，本集团将部分非交易性权益工具投资指定为以公允价值计量且其变动计入其他综合收益的金融资产。本集团将该 类金融资产的相关股利收入计入当期损益，公允价值变动计入其他综合收益。当该金融资产终止确认时，之前计入其他综合 </w:t>
      </w:r>
      <w:r>
        <w:rPr>
          <w:color w:val="000000"/>
          <w:spacing w:val="0"/>
          <w:w w:val="100"/>
          <w:position w:val="0"/>
        </w:rPr>
        <w:t>收益的累计利得或损失将从其他综合收益转入留存收益，不计入当期损益。</w:t>
      </w:r>
    </w:p>
    <w:p>
      <w:pPr>
        <w:pStyle w:val="Style25"/>
        <w:keepNext w:val="0"/>
        <w:keepLines w:val="0"/>
        <w:widowControl w:val="0"/>
        <w:numPr>
          <w:ilvl w:val="0"/>
          <w:numId w:val="9"/>
        </w:numPr>
        <w:shd w:val="clear" w:color="auto" w:fill="auto"/>
        <w:bidi w:val="0"/>
        <w:spacing w:before="0" w:after="0" w:line="312" w:lineRule="exact"/>
        <w:ind w:left="0" w:right="0"/>
        <w:jc w:val="both"/>
      </w:pPr>
      <w:bookmarkStart w:id="758" w:name="bookmark758"/>
      <w:bookmarkEnd w:id="758"/>
      <w:r>
        <w:rPr>
          <w:color w:val="000000"/>
          <w:spacing w:val="0"/>
          <w:w w:val="100"/>
          <w:position w:val="0"/>
        </w:rPr>
        <w:t>以公允价值计量且其变动计入当期损益的金融资产</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本集团将上述以摊余成本计量的金融资产和以公允价值计量且其变动计入其他综合收益的金融资产之外的金融资产，分 类为以公允价值计量且其变动计入当期损益的金融资产。此外，在初始确认时，本集团为了消除或显著减少会计错配，将部 分金融资产指定为以公允价值计量且其变动计入当期损益的金融资产。对于此类金融资产，本集团采用公允价值进行后续计 量，公允价值变动计入当期损益。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金融负债的分类、确认和计量</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25"/>
        <w:keepNext w:val="0"/>
        <w:keepLines w:val="0"/>
        <w:widowControl w:val="0"/>
        <w:numPr>
          <w:ilvl w:val="0"/>
          <w:numId w:val="11"/>
        </w:numPr>
        <w:shd w:val="clear" w:color="auto" w:fill="auto"/>
        <w:tabs>
          <w:tab w:pos="707" w:val="left"/>
        </w:tabs>
        <w:bidi w:val="0"/>
        <w:spacing w:before="0" w:after="0" w:line="312" w:lineRule="exact"/>
        <w:ind w:left="0" w:right="0"/>
        <w:jc w:val="both"/>
      </w:pPr>
      <w:bookmarkStart w:id="759" w:name="bookmark759"/>
      <w:bookmarkEnd w:id="759"/>
      <w:r>
        <w:rPr>
          <w:color w:val="000000"/>
          <w:spacing w:val="0"/>
          <w:w w:val="100"/>
          <w:position w:val="0"/>
        </w:rPr>
        <w:t>以公允价值计量且其变动计入当期损益的金融负债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被指定为以公允价值计量且其变动计入当期损益的金融负债，该负债由本集团自身信用风险变动引起的公允价值变动计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会计错配的，本集团将该金融负债的全部利得或损失（包括企业自身信用风险变动的影响金额）计入当期损益。</w:t>
      </w:r>
    </w:p>
    <w:p>
      <w:pPr>
        <w:pStyle w:val="Style25"/>
        <w:keepNext w:val="0"/>
        <w:keepLines w:val="0"/>
        <w:widowControl w:val="0"/>
        <w:numPr>
          <w:ilvl w:val="0"/>
          <w:numId w:val="11"/>
        </w:numPr>
        <w:shd w:val="clear" w:color="auto" w:fill="auto"/>
        <w:tabs>
          <w:tab w:pos="707" w:val="left"/>
        </w:tabs>
        <w:bidi w:val="0"/>
        <w:spacing w:before="0" w:after="0" w:line="312" w:lineRule="exact"/>
        <w:ind w:left="0" w:right="0"/>
        <w:jc w:val="both"/>
      </w:pPr>
      <w:bookmarkStart w:id="760" w:name="bookmark760"/>
      <w:bookmarkEnd w:id="760"/>
      <w:r>
        <w:rPr>
          <w:color w:val="000000"/>
          <w:spacing w:val="0"/>
          <w:w w:val="100"/>
          <w:position w:val="0"/>
        </w:rPr>
        <w:t>其他金融负债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金融资产转移的确认依据和计量方法</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金融负债的终止确认</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金融负债（或其一部分）的现时义务已经解除的，本集团终止确认该金融负债（或该部分金融负债）。本集团（借入方） 与借出方签订协议，以承担新金融负债的方式替换原金融负债，且新金融负债与原金融负债的合同条款实质上不同的，终止 确认原金融负债，同时确认一项新金融负债。本集团对原金融负债（或其一部分）的合同条款作出实质性修改的，终止确认 原金融负债，同时按照修改后的条款确认一项新金融负债。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金融负债（或其一部分）终止确认的，本集团将其账面价值与支付的对价（包括转出的非现金资产或承担的负债）之间 的差额，计入当期损益。</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金融资产和金融负债的抵销</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当本集团具有抵销已确认金额的金融资产和金融负债的法定权利，且该种法定权利是当前可执行的，同时本集团计划以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金融资产和金融负债的公允价值确定方法</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公允价值，是指市场参与者在计量日发生的有序交易中，出售一项资产所能收到或者转移一项负债所需支付的价格。金 融工具存在活跃市场的，本集团采用活跃市场中的报价确定其公允价值。活跃市场中的报价是指易于定期从交易所、经纪商、 行业协会、定价服务机构等获得的价格，且代表了在公平交易中实际发生的市场交易的价格。金融工具不存在活跃市场的， 本集团采用估值技术确定其公允价值。估值技术包括参考熟悉情况并自愿交易的各方最近进行的市场交易中使用的价格、参 照实质上相同的其他金融工具当前的公允价值、现金流量折现法和期权定价模型等。在估值时，本集团采用在当前情况下适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不可输入值。</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权益工具</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权益工具是指能证明拥有本集团在扣除所有负债后的资产中的剩余权益的合同。本集团发行（含再融资）、回购、出售 或注销权益工具作为权益的变动处理，与权益性交易相关的交易费用从权益中扣减。本集团不确认权益工具的公允价值变动。</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本集团权益工具在存续期间分派股利（含分类为权益工具的工具所产生的“利息”）的，作为利润分配处理。</w:t>
      </w:r>
    </w:p>
    <w:p>
      <w:pPr>
        <w:pStyle w:val="Style25"/>
        <w:keepNext w:val="0"/>
        <w:keepLines w:val="0"/>
        <w:widowControl w:val="0"/>
        <w:shd w:val="clear" w:color="auto" w:fill="auto"/>
        <w:bidi w:val="0"/>
        <w:spacing w:before="0" w:after="0" w:line="313" w:lineRule="exact"/>
        <w:ind w:left="0" w:right="0" w:firstLine="360"/>
        <w:jc w:val="left"/>
      </w:pPr>
      <w:r>
        <w:rPr>
          <w:color w:val="000000"/>
          <w:spacing w:val="0"/>
          <w:w w:val="100"/>
          <w:position w:val="0"/>
        </w:rPr>
        <w:t>金融资产减值</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本集团需确认减值损失的金融资产系以摊余成本计量的金融资产、以公允价值计量且其变动计入其他综合收益的债务工 具投资、租赁应收款，主要包括应收票据、应收账款、其他应收款、债权投资、其他债权投资、长期应收款等。此外，对部 分财务担保合同，也按照本部分所述会计政策计提减值准备和确认信用减值损失。</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减值准备的确认方法</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本集团以预期信用损失为基础，对上述各项目按照其适用的预期信用损失计量方法（一般方法或简化方法）计提减值准 备并确认信用减值损失。</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信用损失，是指本集团按照原实际利率折现的、根据合同应收的所有合同现金流量与预期收取的所有现金流量之间的差 额，即全部现金短缺的现值。其中，对于购买或源生的已发生信用减值的金融资产，本集团按照该金融资产经信用调整的实 际利率折现。</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预期信用损失计量的一般方法是指，本集团在每个资产负债表日评估金融资产（含其他适用项目，下同）的信用风险自 初始确认后是否已经显著增加，如果信用风险自初始确认后已显著增加，本集团按照相当于整个存续期内预期信用损失的金 额计量损失准备；如果信用风险自初始确认后未显著增加，本集团按照相当于未来</w:t>
      </w:r>
      <w:r>
        <w:rPr>
          <w:color w:val="000000"/>
          <w:spacing w:val="0"/>
          <w:w w:val="100"/>
          <w:position w:val="0"/>
          <w:sz w:val="18"/>
          <w:szCs w:val="18"/>
        </w:rPr>
        <w:t>12</w:t>
      </w:r>
      <w:r>
        <w:rPr>
          <w:color w:val="000000"/>
          <w:spacing w:val="0"/>
          <w:w w:val="100"/>
          <w:position w:val="0"/>
        </w:rPr>
        <w:t>个月内预期信用损失的金额计量损失准 备。本集团在评估预期信用损失时，考虑所有合理且有依据的信息，包括前瞻性信息。</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对于在资产负债表日具有较低信用风险的金融工具，本集团不选择简化处理方法，依据其信用风险自初始确认后是否已 显著增加，而采用未来</w:t>
      </w:r>
      <w:r>
        <w:rPr>
          <w:color w:val="000000"/>
          <w:spacing w:val="0"/>
          <w:w w:val="100"/>
          <w:position w:val="0"/>
          <w:sz w:val="18"/>
          <w:szCs w:val="18"/>
        </w:rPr>
        <w:t>12</w:t>
      </w:r>
      <w:r>
        <w:rPr>
          <w:color w:val="000000"/>
          <w:spacing w:val="0"/>
          <w:w w:val="100"/>
          <w:position w:val="0"/>
        </w:rPr>
        <w:t>月内或者整个存续期内预期信用损失金额为基础计量损失准备。</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信用风险自初始确认后是否显著增加的判断标准</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概率，则表明该项金融资产的信用风险显著增加。除特殊情况外，本集团采用未来</w:t>
      </w:r>
      <w:r>
        <w:rPr>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以组合为基础评估预期信用风险的组合方法</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本集团对信用风险显著不同的金融资产单项评价信用风险，如：与对方存在争议或涉及诉讼、仲裁的应收款项；已有明 显迹象表明债务人很可能无法履行还款义务的应收款项等。</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除了单项评估信用风险的金融资产外，本集团基于共同风险特征将金融资产划分为不同的组别，在组合的基础上评估信 用风险。</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金融资产减值的会计处理方法</w:t>
      </w:r>
    </w:p>
    <w:p>
      <w:pPr>
        <w:pStyle w:val="Style25"/>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期末，本集团计算各类金融资产的预计信用损失，如果该预计信用损失大于其当前减值准备的账面金额，将其差额确认</w:t>
        <w:br w:type="page"/>
      </w:r>
      <w:r>
        <w:rPr>
          <w:color w:val="000000"/>
          <w:spacing w:val="0"/>
          <w:w w:val="100"/>
          <w:position w:val="0"/>
        </w:rPr>
        <w:t>为减值损失；如果小于当前减值准备的账面金额，则将差额确认为减值利得。</w:t>
      </w:r>
    </w:p>
    <w:p>
      <w:pPr>
        <w:pStyle w:val="Style25"/>
        <w:keepNext w:val="0"/>
        <w:keepLines w:val="0"/>
        <w:widowControl w:val="0"/>
        <w:shd w:val="clear" w:color="auto" w:fill="auto"/>
        <w:bidi w:val="0"/>
        <w:spacing w:before="0" w:after="100" w:line="240" w:lineRule="auto"/>
        <w:ind w:left="0" w:right="0"/>
        <w:jc w:val="left"/>
      </w:pPr>
      <w:r>
        <w:rPr>
          <w:color w:val="000000"/>
          <w:spacing w:val="0"/>
          <w:w w:val="100"/>
          <w:position w:val="0"/>
        </w:rPr>
        <w:t>各类金融资产信用损失的确定方法</w:t>
      </w:r>
    </w:p>
    <w:p>
      <w:pPr>
        <w:pStyle w:val="Style25"/>
        <w:keepNext w:val="0"/>
        <w:keepLines w:val="0"/>
        <w:widowControl w:val="0"/>
        <w:numPr>
          <w:ilvl w:val="0"/>
          <w:numId w:val="13"/>
        </w:numPr>
        <w:shd w:val="clear" w:color="auto" w:fill="auto"/>
        <w:bidi w:val="0"/>
        <w:spacing w:before="0" w:after="100" w:line="240" w:lineRule="auto"/>
        <w:ind w:left="0" w:right="0"/>
        <w:jc w:val="left"/>
      </w:pPr>
      <w:bookmarkStart w:id="761" w:name="bookmark761"/>
      <w:bookmarkEnd w:id="761"/>
      <w:r>
        <w:rPr>
          <w:color w:val="000000"/>
          <w:spacing w:val="0"/>
          <w:w w:val="100"/>
          <w:position w:val="0"/>
        </w:rPr>
        <w:t>应收票据</w:t>
      </w:r>
    </w:p>
    <w:p>
      <w:pPr>
        <w:pStyle w:val="Style25"/>
        <w:keepNext w:val="0"/>
        <w:keepLines w:val="0"/>
        <w:widowControl w:val="0"/>
        <w:shd w:val="clear" w:color="auto" w:fill="auto"/>
        <w:bidi w:val="0"/>
        <w:spacing w:before="0" w:after="100" w:line="240" w:lineRule="auto"/>
        <w:ind w:left="0" w:right="0"/>
        <w:jc w:val="left"/>
      </w:pPr>
      <w:r>
        <w:rPr>
          <w:color w:val="000000"/>
          <w:spacing w:val="0"/>
          <w:w w:val="100"/>
          <w:position w:val="0"/>
        </w:rPr>
        <w:t>本集团对于应收票据按照相当于整个存续期内的预期信用损失金额计量损失准备。基于应收票据的信用风险特征，将其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划分为不同组合:</w:t>
      </w:r>
    </w:p>
    <w:tbl>
      <w:tblPr>
        <w:tblOverlap w:val="never"/>
        <w:jc w:val="center"/>
        <w:tblLayout w:type="fixed"/>
      </w:tblPr>
      <w:tblGrid>
        <w:gridCol w:w="3062"/>
        <w:gridCol w:w="6024"/>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承兑人为信用风险较小的银行</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以商业承兑汇票的账龄作为信用风险特征</w:t>
            </w: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②应收账款</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对于不含重大融资成分的应收款项，本集团按照相当于整个存续期内的预期信用损失金额计量损失准备。</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对于包含重大融资成分的应收款项和租赁应收款，本集团选择始终按照相当于存续期内预期信用损失的金额计量损失准 备。</w:t>
      </w:r>
    </w:p>
    <w:p>
      <w:pPr>
        <w:widowControl w:val="0"/>
        <w:spacing w:line="1" w:lineRule="exact"/>
      </w:pPr>
    </w:p>
    <w:p>
      <w:pPr>
        <w:pStyle w:val="Style23"/>
        <w:keepNext w:val="0"/>
        <w:keepLines w:val="0"/>
        <w:widowControl w:val="0"/>
        <w:shd w:val="clear" w:color="auto" w:fill="auto"/>
        <w:bidi w:val="0"/>
        <w:spacing w:before="0" w:after="0" w:line="240" w:lineRule="auto"/>
        <w:ind w:left="250" w:right="0" w:firstLine="0"/>
        <w:jc w:val="left"/>
      </w:pPr>
      <w:r>
        <w:rPr>
          <w:color w:val="000000"/>
          <w:spacing w:val="0"/>
          <w:w w:val="100"/>
          <w:position w:val="0"/>
        </w:rPr>
        <w:t>除了单项评估信用风险的应收账款外，基于其信用风险特征，将其划分为不同组合:</w:t>
      </w:r>
    </w:p>
    <w:tbl>
      <w:tblPr>
        <w:tblOverlap w:val="never"/>
        <w:jc w:val="center"/>
        <w:tblLayout w:type="fixed"/>
      </w:tblPr>
      <w:tblGrid>
        <w:gridCol w:w="3062"/>
        <w:gridCol w:w="6024"/>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账龄分析法组合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本组合以应收款项的账龄作为信用风险特征。</w:t>
            </w:r>
          </w:p>
        </w:tc>
      </w:tr>
    </w:tbl>
    <w:p>
      <w:pPr>
        <w:pStyle w:val="Style23"/>
        <w:keepNext w:val="0"/>
        <w:keepLines w:val="0"/>
        <w:widowControl w:val="0"/>
        <w:shd w:val="clear" w:color="auto" w:fill="auto"/>
        <w:bidi w:val="0"/>
        <w:spacing w:before="0" w:after="100" w:line="240" w:lineRule="auto"/>
        <w:ind w:left="235" w:right="0" w:firstLine="0"/>
        <w:jc w:val="left"/>
      </w:pPr>
      <w:r>
        <w:rPr>
          <w:color w:val="000000"/>
          <w:spacing w:val="0"/>
          <w:w w:val="100"/>
          <w:position w:val="0"/>
        </w:rPr>
        <w:t>③其他应收款</w:t>
      </w:r>
    </w:p>
    <w:p>
      <w:pPr>
        <w:pStyle w:val="Style23"/>
        <w:keepNext w:val="0"/>
        <w:keepLines w:val="0"/>
        <w:widowControl w:val="0"/>
        <w:shd w:val="clear" w:color="auto" w:fill="auto"/>
        <w:bidi w:val="0"/>
        <w:spacing w:before="0" w:after="0" w:line="240" w:lineRule="auto"/>
        <w:ind w:left="235" w:right="0" w:firstLine="0"/>
        <w:jc w:val="left"/>
      </w:pPr>
      <w:r>
        <w:rPr>
          <w:color w:val="000000"/>
          <w:spacing w:val="0"/>
          <w:w w:val="100"/>
          <w:position w:val="0"/>
        </w:rPr>
        <w:t>本集团依据其他应收款信用风险自初始确认后是否已经显著增加，采用相当于未来</w:t>
      </w:r>
      <w:r>
        <w:rPr>
          <w:color w:val="000000"/>
          <w:spacing w:val="0"/>
          <w:w w:val="100"/>
          <w:position w:val="0"/>
          <w:sz w:val="18"/>
          <w:szCs w:val="18"/>
        </w:rPr>
        <w:t>12</w:t>
      </w:r>
      <w:r>
        <w:rPr>
          <w:color w:val="000000"/>
          <w:spacing w:val="0"/>
          <w:w w:val="100"/>
          <w:position w:val="0"/>
        </w:rPr>
        <w:t>个月内、或整个存续期的预期信用</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损失的金额计量减值损失。除了单项评估信用风险的其他应收款外，基于其信用风险特征，将其划分为不同组合:</w:t>
      </w:r>
    </w:p>
    <w:tbl>
      <w:tblPr>
        <w:tblOverlap w:val="never"/>
        <w:jc w:val="center"/>
        <w:tblLayout w:type="fixed"/>
      </w:tblPr>
      <w:tblGrid>
        <w:gridCol w:w="3062"/>
        <w:gridCol w:w="602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应收股利组合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本组合为应收股利款项</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应收利息组合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本组合为应收利息款项</w:t>
            </w:r>
          </w:p>
        </w:tc>
      </w:tr>
    </w:tbl>
    <w:p>
      <w:pPr>
        <w:pStyle w:val="Style23"/>
        <w:keepNext w:val="0"/>
        <w:keepLines w:val="0"/>
        <w:widowControl w:val="0"/>
        <w:shd w:val="clear" w:color="auto" w:fill="auto"/>
        <w:bidi w:val="0"/>
        <w:spacing w:before="0" w:after="0" w:line="240" w:lineRule="auto"/>
        <w:ind w:left="235" w:right="0" w:firstLine="0"/>
        <w:jc w:val="left"/>
      </w:pPr>
      <w:r>
        <w:rPr>
          <w:color w:val="000000"/>
          <w:spacing w:val="0"/>
          <w:w w:val="100"/>
          <w:position w:val="0"/>
        </w:rPr>
        <w:t>④合同资产</w:t>
      </w:r>
    </w:p>
    <w:p>
      <w:pPr>
        <w:widowControl w:val="0"/>
        <w:spacing w:line="1" w:lineRule="exact"/>
      </w:pPr>
    </w:p>
    <w:p>
      <w:pPr>
        <w:pStyle w:val="Style23"/>
        <w:keepNext w:val="0"/>
        <w:keepLines w:val="0"/>
        <w:widowControl w:val="0"/>
        <w:shd w:val="clear" w:color="auto" w:fill="auto"/>
        <w:bidi w:val="0"/>
        <w:spacing w:before="0" w:after="0" w:line="307" w:lineRule="exact"/>
        <w:ind w:left="0" w:right="0" w:firstLine="0"/>
        <w:jc w:val="distribute"/>
      </w:pPr>
      <w:r>
        <w:rPr>
          <w:color w:val="000000"/>
          <w:spacing w:val="0"/>
          <w:w w:val="100"/>
          <w:position w:val="0"/>
        </w:rPr>
        <w:t>对于划分为组合的合同资产，本公司参考历史信用损失经验，结合当前状况以及对未来经济状况的预测，通过违约风险 敞口与整个存续期预期信用损失率，计算预期信用损失。除了单项评估信用风险的合同资产外，基于其信用风险特征，将其 划分为不同组合:</w:t>
      </w:r>
    </w:p>
    <w:tbl>
      <w:tblPr>
        <w:tblOverlap w:val="never"/>
        <w:jc w:val="center"/>
        <w:tblLayout w:type="fixed"/>
      </w:tblPr>
      <w:tblGrid>
        <w:gridCol w:w="3062"/>
        <w:gridCol w:w="602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已完工未结算工程组合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本组合以合同资产款项性质作为信用风险特征。</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尚未到期质保金组合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本组合以合同资产款项性质作为信用风险特征。</w:t>
            </w:r>
          </w:p>
        </w:tc>
      </w:tr>
    </w:tbl>
    <w:p>
      <w:pPr>
        <w:pStyle w:val="Style23"/>
        <w:keepNext w:val="0"/>
        <w:keepLines w:val="0"/>
        <w:widowControl w:val="0"/>
        <w:shd w:val="clear" w:color="auto" w:fill="auto"/>
        <w:bidi w:val="0"/>
        <w:spacing w:before="0" w:after="100" w:line="240" w:lineRule="auto"/>
        <w:ind w:left="235" w:right="0" w:firstLine="0"/>
        <w:jc w:val="left"/>
      </w:pPr>
      <w:r>
        <w:rPr>
          <w:color w:val="000000"/>
          <w:spacing w:val="0"/>
          <w:w w:val="100"/>
          <w:position w:val="0"/>
        </w:rPr>
        <w:t>⑤长期应收款（包含重大融资成分的应收款项和租赁应收款除外）</w:t>
      </w:r>
    </w:p>
    <w:p>
      <w:pPr>
        <w:pStyle w:val="Style23"/>
        <w:keepNext w:val="0"/>
        <w:keepLines w:val="0"/>
        <w:widowControl w:val="0"/>
        <w:shd w:val="clear" w:color="auto" w:fill="auto"/>
        <w:bidi w:val="0"/>
        <w:spacing w:before="0" w:after="0" w:line="240" w:lineRule="auto"/>
        <w:ind w:left="235" w:right="0" w:firstLine="0"/>
        <w:jc w:val="left"/>
      </w:pPr>
      <w:r>
        <w:rPr>
          <w:color w:val="000000"/>
          <w:spacing w:val="0"/>
          <w:w w:val="100"/>
          <w:position w:val="0"/>
        </w:rPr>
        <w:t>本集团依据其信用风险自初始确认后是否已经显著增加，采用相当于未来</w:t>
      </w:r>
      <w:r>
        <w:rPr>
          <w:color w:val="000000"/>
          <w:spacing w:val="0"/>
          <w:w w:val="100"/>
          <w:position w:val="0"/>
          <w:sz w:val="18"/>
          <w:szCs w:val="18"/>
        </w:rPr>
        <w:t>12</w:t>
      </w:r>
      <w:r>
        <w:rPr>
          <w:color w:val="000000"/>
          <w:spacing w:val="0"/>
          <w:w w:val="100"/>
          <w:position w:val="0"/>
        </w:rPr>
        <w:t>个月内、或整个存续期的预期信用损失的金</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额计量长期应收款减值损失。除了单项评估信用风险的长期应收款外，基于其信用风险特征，将其划分为不同组合:</w:t>
      </w:r>
    </w:p>
    <w:tbl>
      <w:tblPr>
        <w:tblOverlap w:val="never"/>
        <w:jc w:val="center"/>
        <w:tblLayout w:type="fixed"/>
      </w:tblPr>
      <w:tblGrid>
        <w:gridCol w:w="3062"/>
        <w:gridCol w:w="602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超过合同约定收款期年限组合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本组合以长期应收款超过合同约定收款年限作为信用风险特征。</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62"/>
      <w:bookmarkEnd w:id="763"/>
      <w:bookmarkEnd w:id="765"/>
    </w:p>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本集团对于应收票据按照相当于整个存续期内的预期信用损失金额计量损失准备。基于应收票据的信用风险特征，将其 划分为不同组合:</w:t>
      </w:r>
    </w:p>
    <w:tbl>
      <w:tblPr>
        <w:tblOverlap w:val="never"/>
        <w:jc w:val="center"/>
        <w:tblLayout w:type="fixed"/>
      </w:tblPr>
      <w:tblGrid>
        <w:gridCol w:w="3062"/>
        <w:gridCol w:w="6024"/>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承兑人为信用风险较小的银行</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以商业承兑汇票的账龄作为信用风险特征</w:t>
            </w:r>
          </w:p>
        </w:tc>
      </w:tr>
    </w:tbl>
    <w:p>
      <w:pPr>
        <w:pStyle w:val="Style28"/>
        <w:keepNext/>
        <w:keepLines/>
        <w:widowControl w:val="0"/>
        <w:shd w:val="clear" w:color="auto" w:fill="auto"/>
        <w:bidi w:val="0"/>
        <w:spacing w:before="0" w:after="28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66"/>
      <w:bookmarkEnd w:id="767"/>
      <w:bookmarkEnd w:id="769"/>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对于不含重大融资成分的应收款项，本集团按照相当于整个存续期内的预期信用损失金额计量损失准备。</w:t>
      </w:r>
    </w:p>
    <w:p>
      <w:pPr>
        <w:pStyle w:val="Style25"/>
        <w:keepNext w:val="0"/>
        <w:keepLines w:val="0"/>
        <w:widowControl w:val="0"/>
        <w:shd w:val="clear" w:color="auto" w:fill="auto"/>
        <w:bidi w:val="0"/>
        <w:spacing w:before="0" w:after="80" w:line="312" w:lineRule="exact"/>
        <w:ind w:left="0" w:right="0"/>
        <w:jc w:val="both"/>
      </w:pPr>
      <w:r>
        <w:rPr>
          <w:color w:val="000000"/>
          <w:spacing w:val="0"/>
          <w:w w:val="100"/>
          <w:position w:val="0"/>
        </w:rPr>
        <w:t>对于包含重大融资成分的应收款项和租赁应收款，本集团选择始终按照相当于存续期内预期信用损失的金额计量损失准 备。</w:t>
      </w:r>
    </w:p>
    <w:p>
      <w:pPr>
        <w:pStyle w:val="Style23"/>
        <w:keepNext w:val="0"/>
        <w:keepLines w:val="0"/>
        <w:widowControl w:val="0"/>
        <w:shd w:val="clear" w:color="auto" w:fill="auto"/>
        <w:bidi w:val="0"/>
        <w:spacing w:before="0" w:after="0" w:line="240" w:lineRule="auto"/>
        <w:ind w:left="250" w:right="0" w:firstLine="0"/>
        <w:jc w:val="left"/>
      </w:pPr>
      <w:r>
        <w:rPr>
          <w:color w:val="000000"/>
          <w:spacing w:val="0"/>
          <w:w w:val="100"/>
          <w:position w:val="0"/>
        </w:rPr>
        <w:t>除了单项评估信用风险的应收账款外，基于其信用风险特征，将其划分为不同组合:</w:t>
      </w:r>
    </w:p>
    <w:tbl>
      <w:tblPr>
        <w:tblOverlap w:val="never"/>
        <w:jc w:val="center"/>
        <w:tblLayout w:type="fixed"/>
      </w:tblPr>
      <w:tblGrid>
        <w:gridCol w:w="3062"/>
        <w:gridCol w:w="6024"/>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账龄分析法组合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本组合以应收款项的账龄作为信用风险特征。</w:t>
            </w:r>
          </w:p>
        </w:tc>
      </w:tr>
    </w:tbl>
    <w:p>
      <w:pPr>
        <w:widowControl w:val="0"/>
        <w:spacing w:after="319" w:line="1" w:lineRule="exact"/>
      </w:pPr>
    </w:p>
    <w:p>
      <w:pPr>
        <w:pStyle w:val="Style28"/>
        <w:keepNext/>
        <w:keepLines/>
        <w:widowControl w:val="0"/>
        <w:shd w:val="clear" w:color="auto" w:fill="auto"/>
        <w:tabs>
          <w:tab w:pos="474" w:val="left"/>
        </w:tabs>
        <w:bidi w:val="0"/>
        <w:spacing w:before="0" w:after="28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70"/>
      <w:bookmarkEnd w:id="771"/>
      <w:bookmarkEnd w:id="773"/>
    </w:p>
    <w:p>
      <w:pPr>
        <w:pStyle w:val="Style25"/>
        <w:keepNext w:val="0"/>
        <w:keepLines w:val="0"/>
        <w:widowControl w:val="0"/>
        <w:shd w:val="clear" w:color="auto" w:fill="auto"/>
        <w:bidi w:val="0"/>
        <w:spacing w:before="0" w:after="380" w:line="312" w:lineRule="exact"/>
        <w:ind w:left="0" w:right="0"/>
        <w:jc w:val="left"/>
      </w:pPr>
      <w:r>
        <w:rPr>
          <w:color w:val="000000"/>
          <w:spacing w:val="0"/>
          <w:w w:val="100"/>
          <w:position w:val="0"/>
        </w:rPr>
        <w:t>分类为以公允价值计量且其变动计入其他综合收益的应收票据和应收账款，自取得起期限在一年内（含一年）的部分， 列示为应收款项融资；自取得起期限在一年以上的，列示为其他债权投资。其相关会计政策参见本附注四、</w:t>
      </w:r>
      <w:r>
        <w:rPr>
          <w:color w:val="000000"/>
          <w:spacing w:val="0"/>
          <w:w w:val="100"/>
          <w:position w:val="0"/>
          <w:sz w:val="18"/>
          <w:szCs w:val="18"/>
        </w:rPr>
        <w:t xml:space="preserve">9 </w:t>
      </w:r>
      <w:r>
        <w:rPr>
          <w:color w:val="000000"/>
          <w:spacing w:val="0"/>
          <w:w w:val="100"/>
          <w:position w:val="0"/>
        </w:rPr>
        <w:t>“金融工具” 及附注四、</w:t>
      </w:r>
      <w:r>
        <w:rPr>
          <w:color w:val="000000"/>
          <w:spacing w:val="0"/>
          <w:w w:val="100"/>
          <w:position w:val="0"/>
          <w:sz w:val="18"/>
          <w:szCs w:val="18"/>
        </w:rPr>
        <w:t xml:space="preserve">10 </w:t>
      </w:r>
      <w:r>
        <w:rPr>
          <w:color w:val="000000"/>
          <w:spacing w:val="0"/>
          <w:w w:val="100"/>
          <w:position w:val="0"/>
        </w:rPr>
        <w:t>“金融资产减值”。</w:t>
      </w:r>
    </w:p>
    <w:p>
      <w:pPr>
        <w:pStyle w:val="Style28"/>
        <w:keepNext/>
        <w:keepLines/>
        <w:widowControl w:val="0"/>
        <w:shd w:val="clear" w:color="auto" w:fill="auto"/>
        <w:tabs>
          <w:tab w:pos="474" w:val="left"/>
        </w:tabs>
        <w:bidi w:val="0"/>
        <w:spacing w:before="0" w:after="28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74"/>
      <w:bookmarkEnd w:id="775"/>
      <w:bookmarkEnd w:id="777"/>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其他应收款的预期信用损失的确定方法及会计处理方法</w:t>
      </w:r>
    </w:p>
    <w:p>
      <w:pPr>
        <w:pStyle w:val="Style25"/>
        <w:keepNext w:val="0"/>
        <w:keepLines w:val="0"/>
        <w:widowControl w:val="0"/>
        <w:shd w:val="clear" w:color="auto" w:fill="auto"/>
        <w:bidi w:val="0"/>
        <w:spacing w:before="0" w:after="0" w:line="322" w:lineRule="exact"/>
        <w:ind w:left="0" w:right="0"/>
        <w:jc w:val="left"/>
      </w:pPr>
      <w:r>
        <w:rPr>
          <w:color w:val="000000"/>
          <w:spacing w:val="0"/>
          <w:w w:val="100"/>
          <w:position w:val="0"/>
        </w:rPr>
        <w:t>本集团依据其他应收款信用风险自初始确认后是否已经显著增加，采用相当于未来</w:t>
      </w:r>
      <w:r>
        <w:rPr>
          <w:color w:val="000000"/>
          <w:spacing w:val="0"/>
          <w:w w:val="100"/>
          <w:position w:val="0"/>
          <w:sz w:val="18"/>
          <w:szCs w:val="18"/>
        </w:rPr>
        <w:t>12</w:t>
      </w:r>
      <w:r>
        <w:rPr>
          <w:color w:val="000000"/>
          <w:spacing w:val="0"/>
          <w:w w:val="100"/>
          <w:position w:val="0"/>
        </w:rPr>
        <w:t>个月内、或整个存续期的预期信用 损失的金额计量减值损失。除了单项评估信用风险的其他应收款外，基于其信用风险特征，将其划分为不同组合：</w:t>
      </w:r>
    </w:p>
    <w:tbl>
      <w:tblPr>
        <w:tblOverlap w:val="never"/>
        <w:jc w:val="center"/>
        <w:tblLayout w:type="fixed"/>
      </w:tblPr>
      <w:tblGrid>
        <w:gridCol w:w="3062"/>
        <w:gridCol w:w="602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应收股利组合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本组合为应收股利款项</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应收利息组合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本组合为应收利息款项</w:t>
            </w:r>
          </w:p>
        </w:tc>
      </w:tr>
    </w:tbl>
    <w:p>
      <w:pPr>
        <w:widowControl w:val="0"/>
        <w:spacing w:after="319" w:line="1" w:lineRule="exact"/>
      </w:pPr>
    </w:p>
    <w:p>
      <w:pPr>
        <w:pStyle w:val="Style28"/>
        <w:keepNext/>
        <w:keepLines/>
        <w:widowControl w:val="0"/>
        <w:shd w:val="clear" w:color="auto" w:fill="auto"/>
        <w:tabs>
          <w:tab w:pos="474" w:val="left"/>
        </w:tabs>
        <w:bidi w:val="0"/>
        <w:spacing w:before="0" w:after="28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78"/>
      <w:bookmarkEnd w:id="779"/>
      <w:bookmarkEnd w:id="781"/>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存货的分类</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存货主要包括原材料、库存商品、发出商品、合同履约成本、建造合同形成的已完工未结算资产等。</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存货取得和发出的计价方法</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存货在取得时按实际成本计价，存货成本包括采购成本、加工成本和其他成本。领用和发出时按个别认定法计价。</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存货可变现净值的确认和跌价准备的计提方法</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在资产负债表日，存货按照成本与可变现净值孰低计量。当其可变现净值低于成本时，提取存货跌价准备。存货跌价准 备按单个存货项目的成本高于其可变现净值的差额提取。</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存货的盘存制度为永续盘存制。</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低值易耗品和包装物的摊销方法</w:t>
      </w:r>
    </w:p>
    <w:p>
      <w:pPr>
        <w:pStyle w:val="Style25"/>
        <w:keepNext w:val="0"/>
        <w:keepLines w:val="0"/>
        <w:widowControl w:val="0"/>
        <w:shd w:val="clear" w:color="auto" w:fill="auto"/>
        <w:bidi w:val="0"/>
        <w:spacing w:before="0" w:after="380" w:line="314" w:lineRule="exact"/>
        <w:ind w:left="0" w:right="0"/>
        <w:jc w:val="left"/>
      </w:pPr>
      <w:r>
        <w:rPr>
          <w:color w:val="000000"/>
          <w:spacing w:val="0"/>
          <w:w w:val="100"/>
          <w:position w:val="0"/>
        </w:rPr>
        <w:t>低值易耗品于领用时按一次摊销法摊销；包装物于领用时按一次摊销法摊销。</w:t>
      </w:r>
    </w:p>
    <w:p>
      <w:pPr>
        <w:pStyle w:val="Style28"/>
        <w:keepNext/>
        <w:keepLines/>
        <w:widowControl w:val="0"/>
        <w:shd w:val="clear" w:color="auto" w:fill="auto"/>
        <w:tabs>
          <w:tab w:pos="474" w:val="left"/>
        </w:tabs>
        <w:bidi w:val="0"/>
        <w:spacing w:before="0" w:after="28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82"/>
      <w:bookmarkEnd w:id="783"/>
      <w:bookmarkEnd w:id="785"/>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 xml:space="preserve">本公司将客户尚未支付合同对价，但本公司已经依据合同履行了履约义务，且不属于无条件（即仅取决于时间流逝）向 </w:t>
      </w:r>
      <w:r>
        <w:rPr>
          <w:color w:val="000000"/>
          <w:spacing w:val="0"/>
          <w:w w:val="100"/>
          <w:position w:val="0"/>
        </w:rPr>
        <w:t>客户收款的权利，在资产负债表中列示为合同资产。同一合同下的合同资产和合同负债以净额列示，不同合同下的合同资产 和合同负债不予抵销。</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合同资产预期信用损失的确定方法和会计处理方法参见附注四、</w:t>
      </w:r>
      <w:r>
        <w:rPr>
          <w:color w:val="000000"/>
          <w:spacing w:val="0"/>
          <w:w w:val="100"/>
          <w:position w:val="0"/>
          <w:sz w:val="18"/>
          <w:szCs w:val="18"/>
        </w:rPr>
        <w:t xml:space="preserve">10 </w:t>
      </w:r>
      <w:r>
        <w:rPr>
          <w:color w:val="000000"/>
          <w:spacing w:val="0"/>
          <w:w w:val="100"/>
          <w:position w:val="0"/>
        </w:rPr>
        <w:t>“金融资产减值”。</w:t>
      </w:r>
    </w:p>
    <w:p>
      <w:pPr>
        <w:pStyle w:val="Style28"/>
        <w:keepNext/>
        <w:keepLines/>
        <w:widowControl w:val="0"/>
        <w:shd w:val="clear" w:color="auto" w:fill="auto"/>
        <w:tabs>
          <w:tab w:pos="423" w:val="left"/>
        </w:tabs>
        <w:bidi w:val="0"/>
        <w:spacing w:before="0" w:after="26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86"/>
      <w:bookmarkEnd w:id="787"/>
      <w:bookmarkEnd w:id="789"/>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本集团为取得合同发生的增量成本预期能够收回的，作为合同取得成本确认为一项资产。但是，如果该资产的摊销期限 不超过一年，则在发生时计入当期损益。</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为履行合同发生的成本不属于《企业会计准则第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8"/>
          <w:szCs w:val="18"/>
        </w:rPr>
        <w:t>（2017</w:t>
      </w:r>
      <w:r>
        <w:rPr>
          <w:color w:val="000000"/>
          <w:spacing w:val="0"/>
          <w:w w:val="100"/>
          <w:position w:val="0"/>
        </w:rPr>
        <w:t>年修订）》之外的其他企业会计准则规范范围且同 时满足下列条件的，作为合同履约成本确认为一项资产：①该成本与一份当前或预期取得的合同直接相关，包括直接人工、 直接材料、制造费用（或类似费用）、明确由客户承担的成本以及仅因该合同而发生的其他成本；②该成本增加了本集团未 来用于履行履约义务的资源；③该成本预期能够收回。</w:t>
      </w:r>
    </w:p>
    <w:p>
      <w:pPr>
        <w:pStyle w:val="Style25"/>
        <w:keepNext w:val="0"/>
        <w:keepLines w:val="0"/>
        <w:widowControl w:val="0"/>
        <w:shd w:val="clear" w:color="auto" w:fill="auto"/>
        <w:bidi w:val="0"/>
        <w:spacing w:before="0" w:after="380" w:line="314" w:lineRule="exact"/>
        <w:ind w:left="0" w:right="0"/>
        <w:jc w:val="both"/>
      </w:pPr>
      <w:r>
        <w:rPr>
          <w:color w:val="000000"/>
          <w:spacing w:val="0"/>
          <w:w w:val="100"/>
          <w:position w:val="0"/>
        </w:rPr>
        <w:t>与合同成本有关的资产采用与该资产相关的商品收入确认相同的基础进行摊销，计入当期损益。</w:t>
      </w:r>
    </w:p>
    <w:p>
      <w:pPr>
        <w:pStyle w:val="Style28"/>
        <w:keepNext/>
        <w:keepLines/>
        <w:widowControl w:val="0"/>
        <w:shd w:val="clear" w:color="auto" w:fill="auto"/>
        <w:tabs>
          <w:tab w:pos="423" w:val="left"/>
        </w:tabs>
        <w:bidi w:val="0"/>
        <w:spacing w:before="0" w:after="38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790"/>
      <w:bookmarkEnd w:id="791"/>
      <w:bookmarkEnd w:id="793"/>
    </w:p>
    <w:p>
      <w:pPr>
        <w:pStyle w:val="Style28"/>
        <w:keepNext/>
        <w:keepLines/>
        <w:widowControl w:val="0"/>
        <w:shd w:val="clear" w:color="auto" w:fill="auto"/>
        <w:tabs>
          <w:tab w:pos="423" w:val="left"/>
        </w:tabs>
        <w:bidi w:val="0"/>
        <w:spacing w:before="0" w:after="38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794"/>
      <w:bookmarkEnd w:id="795"/>
      <w:bookmarkEnd w:id="797"/>
    </w:p>
    <w:p>
      <w:pPr>
        <w:pStyle w:val="Style28"/>
        <w:keepNext/>
        <w:keepLines/>
        <w:widowControl w:val="0"/>
        <w:shd w:val="clear" w:color="auto" w:fill="auto"/>
        <w:tabs>
          <w:tab w:pos="433" w:val="left"/>
        </w:tabs>
        <w:bidi w:val="0"/>
        <w:spacing w:before="0" w:after="38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2</w:t>
      </w:r>
      <w:bookmarkEnd w:id="80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798"/>
      <w:bookmarkEnd w:id="799"/>
      <w:bookmarkEnd w:id="801"/>
    </w:p>
    <w:p>
      <w:pPr>
        <w:pStyle w:val="Style28"/>
        <w:keepNext/>
        <w:keepLines/>
        <w:widowControl w:val="0"/>
        <w:shd w:val="clear" w:color="auto" w:fill="auto"/>
        <w:tabs>
          <w:tab w:pos="433" w:val="left"/>
        </w:tabs>
        <w:bidi w:val="0"/>
        <w:spacing w:before="0" w:after="38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02"/>
      <w:bookmarkEnd w:id="803"/>
      <w:bookmarkEnd w:id="805"/>
    </w:p>
    <w:p>
      <w:pPr>
        <w:pStyle w:val="Style28"/>
        <w:keepNext/>
        <w:keepLines/>
        <w:widowControl w:val="0"/>
        <w:shd w:val="clear" w:color="auto" w:fill="auto"/>
        <w:tabs>
          <w:tab w:pos="433" w:val="left"/>
        </w:tabs>
        <w:bidi w:val="0"/>
        <w:spacing w:before="0" w:after="26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2</w:t>
      </w:r>
      <w:bookmarkEnd w:id="80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06"/>
      <w:bookmarkEnd w:id="807"/>
      <w:bookmarkEnd w:id="809"/>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本部分所指的长期股权投资是指本集团对被投资单位具有控制、共同控制或重大影响的长期股权投资。本集团对被投资 单位不具有控制、共同控制或重大影响的长期股权投资，作为以公允价值计量且其变动计入当期损益的金融资产核算，其中 如果属于非交易性的，本集团在初始确认时可选择将其指定为以公允价值计量且其变动计入其他综合收益的金融资产核算， 其会计政策详见附注四、</w:t>
      </w:r>
      <w:r>
        <w:rPr>
          <w:color w:val="000000"/>
          <w:spacing w:val="0"/>
          <w:w w:val="100"/>
          <w:position w:val="0"/>
          <w:sz w:val="18"/>
          <w:szCs w:val="18"/>
        </w:rPr>
        <w:t xml:space="preserve">9 </w:t>
      </w:r>
      <w:r>
        <w:rPr>
          <w:color w:val="000000"/>
          <w:spacing w:val="0"/>
          <w:w w:val="100"/>
          <w:position w:val="0"/>
        </w:rPr>
        <w:t>“金融工具”。</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共同控制，是指本集团按照相关约定对某项安排所共有的控制，并且该安排的相关活动必须经过分享控制权的参与方一 致同意后才能决策。重大影响，是指本集团对被投资单位的财务和经营政策有参与决策的权力，但并不能够控制或者与其他 方一起共同控制这些政策的制定。</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投资成本的确定</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于“一揽子交易”进行处理：属于“一揽子交易”的，将各项交易作为一项取得控制权的交易进行会计处理。不属于“一揽 子交易”的，在合并日按照应享有被合并方所有者权益在最终控制方合并财务报表中的账面价值的份额作为长期股权投资的 初始投资成本，长期股权投资初始投资成本与达到合并前的长期股权投资账面价值加上合并日进一步取得股份新支付对价的 账面价值之和的差额，调整资本公积；资本公积不足冲减的，调整留存收益。合并日之前持有的股权投资因采用权益法核算 或作为以公允价值计量且其变动计入其他综合收益的金融资产而确认的其他综合收益，暂不进行会计处理。</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w:t>
      </w:r>
      <w:r>
        <w:rPr>
          <w:color w:val="000000"/>
          <w:spacing w:val="0"/>
          <w:w w:val="100"/>
          <w:position w:val="0"/>
        </w:rPr>
        <w:t>最终形成非同一控制下的企业合并的，应分别是否属于“一揽子交易”进行处理：属于“一揽子交易”的，将各项交易作为 一项取得控制权的交易进行会计处理。不属于“一揽子交易”的，按照原持有被购买方的股权投资账面价值加上新增投资成 本之和，作为改按成本法核算的长期股权投资的初始投资成本。原持有的股权采用权益法核算的，相关其他综合收益暂不进 行会计处理。</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别按照本集团实际支付的现金购买价款、本集团发行的权益性证券的公允价值、投资合同或协议约定的价值、非货币性资产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金融工具确认和计量》确定的原持有股权投资的公允价值加上 新增投资成本之和。</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后续计量及损益确认方法</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5"/>
        <w:keepNext w:val="0"/>
        <w:keepLines w:val="0"/>
        <w:widowControl w:val="0"/>
        <w:numPr>
          <w:ilvl w:val="0"/>
          <w:numId w:val="15"/>
        </w:numPr>
        <w:shd w:val="clear" w:color="auto" w:fill="auto"/>
        <w:tabs>
          <w:tab w:pos="693" w:val="left"/>
        </w:tabs>
        <w:bidi w:val="0"/>
        <w:spacing w:before="0" w:after="0" w:line="312" w:lineRule="exact"/>
        <w:ind w:left="0" w:right="0"/>
        <w:jc w:val="both"/>
      </w:pPr>
      <w:bookmarkStart w:id="810" w:name="bookmark810"/>
      <w:bookmarkEnd w:id="810"/>
      <w:r>
        <w:rPr>
          <w:color w:val="000000"/>
          <w:spacing w:val="0"/>
          <w:w w:val="100"/>
          <w:position w:val="0"/>
        </w:rPr>
        <w:t>成本法核算的长期股权投资</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5"/>
        <w:keepNext w:val="0"/>
        <w:keepLines w:val="0"/>
        <w:widowControl w:val="0"/>
        <w:numPr>
          <w:ilvl w:val="0"/>
          <w:numId w:val="15"/>
        </w:numPr>
        <w:shd w:val="clear" w:color="auto" w:fill="auto"/>
        <w:tabs>
          <w:tab w:pos="693" w:val="left"/>
        </w:tabs>
        <w:bidi w:val="0"/>
        <w:spacing w:before="0" w:after="0" w:line="312" w:lineRule="exact"/>
        <w:ind w:left="0" w:right="0"/>
        <w:jc w:val="both"/>
      </w:pPr>
      <w:bookmarkStart w:id="811" w:name="bookmark811"/>
      <w:bookmarkEnd w:id="811"/>
      <w:r>
        <w:rPr>
          <w:color w:val="000000"/>
          <w:spacing w:val="0"/>
          <w:w w:val="100"/>
          <w:position w:val="0"/>
        </w:rPr>
        <w:t>权益法核算的长期股权投资</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允价值为基础，对被投资单位的净利润进行调整后确认。被投资单位采用的会计政策及会计期间与本集团不一致的，按照本 集团的会计政策及会计期间对被投资单位的财务报表进行调整，并据以确认投资收益和其他综合收益。对于本集团与联营企 业及合营企业之间发生的交易，投出或出售的资产不构成业务的，未实现内部交易损益按照享有的比例计算归属于本集团的 部分予以抵销，在此基础上确认投资损益。但本集团与被投资单位发生的未实现内部交易损失，属于所转让资产减值损失的， 不予以抵销。本集团向合营企业或联营企业投出的资产构成业务的，投资方因此取得长期股权投资但未取得控制权的，以投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本集团向合营企业或联营企业出售的资产构成业务的，取得的对价与业务的账面价值之差，全额计入当期损益。本集团自联 营企业及合营企业购入的资产构成业务的，按《企业会计准则第</w:t>
      </w:r>
      <w:r>
        <w:rPr>
          <w:color w:val="000000"/>
          <w:spacing w:val="0"/>
          <w:w w:val="100"/>
          <w:position w:val="0"/>
          <w:sz w:val="18"/>
          <w:szCs w:val="18"/>
        </w:rPr>
        <w:t>20</w:t>
      </w:r>
      <w:r>
        <w:rPr>
          <w:color w:val="000000"/>
          <w:spacing w:val="0"/>
          <w:w w:val="100"/>
          <w:position w:val="0"/>
        </w:rPr>
        <w:t>号</w:t>
      </w:r>
      <w:r>
        <w:rPr>
          <w:color w:val="000000"/>
          <w:spacing w:val="0"/>
          <w:w w:val="100"/>
          <w:position w:val="0"/>
        </w:rPr>
        <w:t>一一</w:t>
      </w:r>
      <w:r>
        <w:rPr>
          <w:color w:val="000000"/>
          <w:spacing w:val="0"/>
          <w:w w:val="100"/>
          <w:position w:val="0"/>
        </w:rPr>
        <w:t>企业合并》的规定进行会计处理，全额确认与交易 相关的利得或损失。</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益减记至零为限。此外，如本集团对被投资单位负有承担额外损失的义务，则按预计承担的义务确认预计负债，计入当期投 资损失。被投资单位以后期间实现净利润的，本集团在收益分享额弥补未确认的亏损分担额后，恢复确认收益分享额。</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对于本集团首次执行新会计准则之前已经持有的对联营企业和合营企业的长期股权投资，如存在与该投资相关的股权投 资借方差额，按原剩余期限直线摊销的金额计入当期损益。</w:t>
      </w:r>
    </w:p>
    <w:p>
      <w:pPr>
        <w:pStyle w:val="Style25"/>
        <w:keepNext w:val="0"/>
        <w:keepLines w:val="0"/>
        <w:widowControl w:val="0"/>
        <w:numPr>
          <w:ilvl w:val="0"/>
          <w:numId w:val="15"/>
        </w:numPr>
        <w:shd w:val="clear" w:color="auto" w:fill="auto"/>
        <w:tabs>
          <w:tab w:pos="693" w:val="left"/>
        </w:tabs>
        <w:bidi w:val="0"/>
        <w:spacing w:before="0" w:after="0" w:line="312" w:lineRule="exact"/>
        <w:ind w:left="0" w:right="0"/>
        <w:jc w:val="both"/>
      </w:pPr>
      <w:bookmarkStart w:id="812" w:name="bookmark812"/>
      <w:bookmarkEnd w:id="812"/>
      <w:r>
        <w:rPr>
          <w:color w:val="000000"/>
          <w:spacing w:val="0"/>
          <w:w w:val="100"/>
          <w:position w:val="0"/>
        </w:rPr>
        <w:t>收购少数股权</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5"/>
        <w:keepNext w:val="0"/>
        <w:keepLines w:val="0"/>
        <w:widowControl w:val="0"/>
        <w:numPr>
          <w:ilvl w:val="0"/>
          <w:numId w:val="15"/>
        </w:numPr>
        <w:shd w:val="clear" w:color="auto" w:fill="auto"/>
        <w:bidi w:val="0"/>
        <w:spacing w:before="0" w:after="0" w:line="312" w:lineRule="exact"/>
        <w:ind w:left="0" w:right="0"/>
        <w:jc w:val="both"/>
      </w:pPr>
      <w:bookmarkStart w:id="813" w:name="bookmark813"/>
      <w:bookmarkEnd w:id="813"/>
      <w:r>
        <w:rPr>
          <w:color w:val="000000"/>
          <w:spacing w:val="0"/>
          <w:w w:val="100"/>
          <w:position w:val="0"/>
        </w:rPr>
        <w:t>处置长期股权投资</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附注四、</w:t>
      </w:r>
      <w:r>
        <w:rPr>
          <w:color w:val="000000"/>
          <w:spacing w:val="0"/>
          <w:w w:val="100"/>
          <w:position w:val="0"/>
          <w:sz w:val="18"/>
          <w:szCs w:val="18"/>
        </w:rPr>
        <w:t>5</w:t>
      </w:r>
      <w:r>
        <w:rPr>
          <w:color w:val="000000"/>
          <w:spacing w:val="0"/>
          <w:w w:val="100"/>
          <w:position w:val="0"/>
        </w:rPr>
        <w:t>、“合并财务报表编制的方法”</w:t>
      </w:r>
      <w:r>
        <w:rPr>
          <w:color w:val="000000"/>
          <w:spacing w:val="0"/>
          <w:w w:val="100"/>
          <w:position w:val="0"/>
          <w:sz w:val="18"/>
          <w:szCs w:val="18"/>
        </w:rPr>
        <w:t>（2）</w:t>
      </w:r>
      <w:r>
        <w:rPr>
          <w:color w:val="000000"/>
          <w:spacing w:val="0"/>
          <w:w w:val="100"/>
          <w:position w:val="0"/>
        </w:rPr>
        <w:t>中所述的相关会计政策处理。</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丧失控制之日的公允价值与账面价值之间的差额计入当期损益。对于本集团取得对被投资单位的控制之前，因采用权益法核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本集团通过多次交易分步处置对子公司股权投资直至丧失控制权，如果上述交易属于一揽子交易的，将各项交易作为一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8"/>
        <w:keepNext/>
        <w:keepLines/>
        <w:widowControl w:val="0"/>
        <w:shd w:val="clear" w:color="auto" w:fill="auto"/>
        <w:bidi w:val="0"/>
        <w:spacing w:before="0" w:after="280" w:line="240" w:lineRule="auto"/>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2</w:t>
      </w:r>
      <w:bookmarkEnd w:id="81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14"/>
      <w:bookmarkEnd w:id="815"/>
      <w:bookmarkEnd w:id="817"/>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本集团采用成本模式对投资性房地产进行后续计量，并按照与房屋建筑物或土地使用权一致的政策进行折旧或摊销。</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投资性房地产的减值测试方法和减值准备计提方法详见附注四、</w:t>
      </w:r>
      <w:r>
        <w:rPr>
          <w:color w:val="000000"/>
          <w:spacing w:val="0"/>
          <w:w w:val="100"/>
          <w:position w:val="0"/>
          <w:sz w:val="18"/>
          <w:szCs w:val="18"/>
        </w:rPr>
        <w:t xml:space="preserve">21 </w:t>
      </w:r>
      <w:r>
        <w:rPr>
          <w:color w:val="000000"/>
          <w:spacing w:val="0"/>
          <w:w w:val="100"/>
          <w:position w:val="0"/>
        </w:rPr>
        <w:t>“长期资产减值”。</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投资性房地产的用途改变为自用时，自改变之日起，将该投资性房地产转换为固定资产或无形资产。自用房地产的用途 </w:t>
      </w:r>
      <w:r>
        <w:rPr>
          <w:color w:val="000000"/>
          <w:spacing w:val="0"/>
          <w:w w:val="100"/>
          <w:position w:val="0"/>
        </w:rPr>
        <w:t>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25"/>
        <w:keepNext w:val="0"/>
        <w:keepLines w:val="0"/>
        <w:widowControl w:val="0"/>
        <w:shd w:val="clear" w:color="auto" w:fill="auto"/>
        <w:bidi w:val="0"/>
        <w:spacing w:before="0" w:after="380" w:line="310"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28"/>
        <w:keepNext/>
        <w:keepLines/>
        <w:widowControl w:val="0"/>
        <w:shd w:val="clear" w:color="auto" w:fill="auto"/>
        <w:bidi w:val="0"/>
        <w:spacing w:before="0" w:after="38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2</w:t>
      </w:r>
      <w:bookmarkEnd w:id="82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18"/>
      <w:bookmarkEnd w:id="819"/>
      <w:bookmarkEnd w:id="821"/>
    </w:p>
    <w:p>
      <w:pPr>
        <w:pStyle w:val="Style38"/>
        <w:keepNext/>
        <w:keepLines/>
        <w:widowControl w:val="0"/>
        <w:shd w:val="clear" w:color="auto" w:fill="auto"/>
        <w:bidi w:val="0"/>
        <w:spacing w:before="0" w:after="280" w:line="240" w:lineRule="auto"/>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22"/>
      <w:bookmarkEnd w:id="823"/>
      <w:bookmarkEnd w:id="825"/>
    </w:p>
    <w:p>
      <w:pPr>
        <w:pStyle w:val="Style25"/>
        <w:keepNext w:val="0"/>
        <w:keepLines w:val="0"/>
        <w:widowControl w:val="0"/>
        <w:shd w:val="clear" w:color="auto" w:fill="auto"/>
        <w:bidi w:val="0"/>
        <w:spacing w:before="0" w:after="380" w:line="310" w:lineRule="exact"/>
        <w:ind w:left="0" w:right="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在与其有关的经济利益很可能流入本集团，且其成本能够可靠地计量时才予以确认。固定资产按成本并考虑预计弃置费用因 素的影响进行初始计量。</w:t>
      </w:r>
    </w:p>
    <w:p>
      <w:pPr>
        <w:pStyle w:val="Style38"/>
        <w:keepNext/>
        <w:keepLines/>
        <w:widowControl w:val="0"/>
        <w:shd w:val="clear" w:color="auto" w:fill="auto"/>
        <w:bidi w:val="0"/>
        <w:spacing w:before="0" w:after="32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26"/>
      <w:bookmarkEnd w:id="827"/>
      <w:bookmarkEnd w:id="829"/>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4.75-3.17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23.75-19.00</w:t>
            </w:r>
          </w:p>
        </w:tc>
      </w:tr>
    </w:tbl>
    <w:p>
      <w:pPr>
        <w:pStyle w:val="Style23"/>
        <w:keepNext w:val="0"/>
        <w:keepLines w:val="0"/>
        <w:widowControl w:val="0"/>
        <w:shd w:val="clear" w:color="auto" w:fill="auto"/>
        <w:bidi w:val="0"/>
        <w:spacing w:before="0" w:after="0" w:line="312" w:lineRule="exact"/>
        <w:ind w:left="5" w:right="0" w:firstLine="0"/>
        <w:jc w:val="left"/>
      </w:pPr>
      <w:r>
        <w:rPr>
          <w:color w:val="000000"/>
          <w:spacing w:val="0"/>
          <w:w w:val="100"/>
          <w:position w:val="0"/>
        </w:rPr>
        <w:t>预计净残值是指假定固定资产预计使用寿命已满并处于使用寿命终了时的预期状态，本集团目前从该项资产处置中获得 的扣除预计处置费用后的金额。</w:t>
      </w:r>
    </w:p>
    <w:p>
      <w:pPr>
        <w:widowControl w:val="0"/>
        <w:spacing w:after="319" w:line="1" w:lineRule="exact"/>
      </w:pPr>
    </w:p>
    <w:p>
      <w:pPr>
        <w:pStyle w:val="Style38"/>
        <w:keepNext/>
        <w:keepLines/>
        <w:widowControl w:val="0"/>
        <w:shd w:val="clear" w:color="auto" w:fill="auto"/>
        <w:bidi w:val="0"/>
        <w:spacing w:before="0" w:after="28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30"/>
      <w:bookmarkEnd w:id="831"/>
      <w:bookmarkEnd w:id="833"/>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 命两者中较短的期间内计提折旧。</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本集团至少于年度终了对固定资产的使用寿命、预计净残值和折旧方法进行复核，如发生改变则作为会计估计变更处理。</w:t>
      </w:r>
    </w:p>
    <w:p>
      <w:pPr>
        <w:pStyle w:val="Style28"/>
        <w:keepNext/>
        <w:keepLines/>
        <w:widowControl w:val="0"/>
        <w:shd w:val="clear" w:color="auto" w:fill="auto"/>
        <w:tabs>
          <w:tab w:pos="483"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34"/>
      <w:bookmarkEnd w:id="835"/>
      <w:bookmarkEnd w:id="837"/>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在建工程成本按实际工程支出确定，包括在建期间发生的各项工程支出以及其他相关费用等。在建工程在达到预定可使 用状态后结转为固定资产。</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在建工程的减值测试方法和减值准备计提方法详见附注四、</w:t>
      </w:r>
      <w:r>
        <w:rPr>
          <w:color w:val="000000"/>
          <w:spacing w:val="0"/>
          <w:w w:val="100"/>
          <w:position w:val="0"/>
          <w:sz w:val="18"/>
          <w:szCs w:val="18"/>
        </w:rPr>
        <w:t xml:space="preserve">21 </w:t>
      </w:r>
      <w:r>
        <w:rPr>
          <w:color w:val="000000"/>
          <w:spacing w:val="0"/>
          <w:w w:val="100"/>
          <w:position w:val="0"/>
        </w:rPr>
        <w:t>“长期资产减值”。</w:t>
      </w:r>
    </w:p>
    <w:p>
      <w:pPr>
        <w:pStyle w:val="Style28"/>
        <w:keepNext/>
        <w:keepLines/>
        <w:widowControl w:val="0"/>
        <w:shd w:val="clear" w:color="auto" w:fill="auto"/>
        <w:tabs>
          <w:tab w:pos="483" w:val="left"/>
        </w:tabs>
        <w:bidi w:val="0"/>
        <w:spacing w:before="0" w:after="2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38"/>
      <w:bookmarkEnd w:id="839"/>
      <w:bookmarkEnd w:id="841"/>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借款费用包括借款利息、折价或溢价的摊销、辅助费用以及因外币借款而发生的汇兑差额等。可直接归属于符合资本化 </w:t>
      </w:r>
      <w:r>
        <w:rPr>
          <w:color w:val="000000"/>
          <w:spacing w:val="0"/>
          <w:w w:val="100"/>
          <w:position w:val="0"/>
        </w:rPr>
        <w:t>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25"/>
        <w:keepNext w:val="0"/>
        <w:keepLines w:val="0"/>
        <w:widowControl w:val="0"/>
        <w:shd w:val="clear" w:color="auto" w:fill="auto"/>
        <w:bidi w:val="0"/>
        <w:spacing w:before="0" w:after="380" w:line="314" w:lineRule="exact"/>
        <w:ind w:left="0" w:right="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28"/>
        <w:keepNext/>
        <w:keepLines/>
        <w:widowControl w:val="0"/>
        <w:shd w:val="clear" w:color="auto" w:fill="auto"/>
        <w:tabs>
          <w:tab w:pos="483" w:val="left"/>
        </w:tabs>
        <w:bidi w:val="0"/>
        <w:spacing w:before="0" w:after="38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42"/>
      <w:bookmarkEnd w:id="843"/>
      <w:bookmarkEnd w:id="845"/>
    </w:p>
    <w:p>
      <w:pPr>
        <w:pStyle w:val="Style28"/>
        <w:keepNext/>
        <w:keepLines/>
        <w:widowControl w:val="0"/>
        <w:shd w:val="clear" w:color="auto" w:fill="auto"/>
        <w:tabs>
          <w:tab w:pos="483" w:val="left"/>
        </w:tabs>
        <w:bidi w:val="0"/>
        <w:spacing w:before="0" w:after="38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46"/>
      <w:bookmarkEnd w:id="847"/>
      <w:bookmarkEnd w:id="849"/>
    </w:p>
    <w:p>
      <w:pPr>
        <w:pStyle w:val="Style28"/>
        <w:keepNext/>
        <w:keepLines/>
        <w:widowControl w:val="0"/>
        <w:shd w:val="clear" w:color="auto" w:fill="auto"/>
        <w:tabs>
          <w:tab w:pos="483" w:val="left"/>
        </w:tabs>
        <w:bidi w:val="0"/>
        <w:spacing w:before="0" w:after="38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50"/>
      <w:bookmarkEnd w:id="851"/>
      <w:bookmarkEnd w:id="853"/>
    </w:p>
    <w:p>
      <w:pPr>
        <w:pStyle w:val="Style28"/>
        <w:keepNext/>
        <w:keepLines/>
        <w:widowControl w:val="0"/>
        <w:shd w:val="clear" w:color="auto" w:fill="auto"/>
        <w:tabs>
          <w:tab w:pos="483" w:val="left"/>
        </w:tabs>
        <w:bidi w:val="0"/>
        <w:spacing w:before="0" w:after="38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3</w:t>
      </w:r>
      <w:bookmarkEnd w:id="856"/>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54"/>
      <w:bookmarkEnd w:id="855"/>
      <w:bookmarkEnd w:id="857"/>
    </w:p>
    <w:p>
      <w:pPr>
        <w:pStyle w:val="Style38"/>
        <w:keepNext/>
        <w:keepLines/>
        <w:widowControl w:val="0"/>
        <w:shd w:val="clear" w:color="auto" w:fill="auto"/>
        <w:bidi w:val="0"/>
        <w:spacing w:before="0" w:after="28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58"/>
      <w:bookmarkEnd w:id="859"/>
      <w:bookmarkEnd w:id="861"/>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无形资产是指本集团拥有或者控制的没有实物形态的可辨认非货币性资产。</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无形资产按成本进行初始计量。与无形资产有关的支出，如果相关的经济利益很可能流入本集团且其成本能可靠地计量， 则计入无形资产成本。除此以外的其他项目的支出，在发生时计入当期损益。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25"/>
        <w:keepNext w:val="0"/>
        <w:keepLines w:val="0"/>
        <w:widowControl w:val="0"/>
        <w:shd w:val="clear" w:color="auto" w:fill="auto"/>
        <w:bidi w:val="0"/>
        <w:spacing w:before="0" w:after="80" w:line="312" w:lineRule="exact"/>
        <w:ind w:left="0" w:right="0"/>
        <w:jc w:val="both"/>
      </w:pPr>
      <w:r>
        <w:rPr>
          <w:color w:val="000000"/>
          <w:spacing w:val="0"/>
          <w:w w:val="100"/>
          <w:position w:val="0"/>
        </w:rPr>
        <w:t>使用寿命有限的无形资产自可供使用时起，对其原值在其预计使用寿命内采用直线法分期平均摊销。使用寿命不确定的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无形资产不予摊销。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其中，知识产权类无形资产项目的使用寿命及摊销方法如下:</w:t>
      </w:r>
    </w:p>
    <w:tbl>
      <w:tblPr>
        <w:tblOverlap w:val="never"/>
        <w:jc w:val="center"/>
        <w:tblLayout w:type="fixed"/>
      </w:tblPr>
      <w:tblGrid>
        <w:gridCol w:w="2558"/>
        <w:gridCol w:w="1704"/>
        <w:gridCol w:w="4968"/>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使用寿命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摊销方法</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计算机软件著作权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参考能为公司带来经济利益的期限确定使用寿命</w:t>
            </w:r>
          </w:p>
        </w:tc>
      </w:tr>
    </w:tbl>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25"/>
        <w:keepNext w:val="0"/>
        <w:keepLines w:val="0"/>
        <w:widowControl w:val="0"/>
        <w:shd w:val="clear" w:color="auto" w:fill="auto"/>
        <w:bidi w:val="0"/>
        <w:spacing w:before="0" w:after="0" w:line="312" w:lineRule="exact"/>
        <w:ind w:left="0" w:right="0" w:firstLine="640"/>
        <w:jc w:val="left"/>
      </w:pPr>
      <w:r>
        <w:rPr>
          <w:color w:val="000000"/>
          <w:spacing w:val="0"/>
          <w:w w:val="100"/>
          <w:position w:val="0"/>
        </w:rPr>
        <w:t>无形资产的减值测试方法及减值准备计提方法</w:t>
      </w:r>
    </w:p>
    <w:p>
      <w:pPr>
        <w:pStyle w:val="Style25"/>
        <w:keepNext w:val="0"/>
        <w:keepLines w:val="0"/>
        <w:widowControl w:val="0"/>
        <w:shd w:val="clear" w:color="auto" w:fill="auto"/>
        <w:bidi w:val="0"/>
        <w:spacing w:before="0" w:after="380" w:line="312" w:lineRule="exact"/>
        <w:ind w:left="0" w:right="0"/>
        <w:jc w:val="left"/>
      </w:pPr>
      <w:r>
        <w:rPr>
          <w:color w:val="000000"/>
          <w:spacing w:val="0"/>
          <w:w w:val="100"/>
          <w:position w:val="0"/>
        </w:rPr>
        <w:t>无形资产的减值测试方法和减值准备计提方法详见附注四、</w:t>
      </w:r>
      <w:r>
        <w:rPr>
          <w:color w:val="000000"/>
          <w:spacing w:val="0"/>
          <w:w w:val="100"/>
          <w:position w:val="0"/>
          <w:sz w:val="18"/>
          <w:szCs w:val="18"/>
        </w:rPr>
        <w:t xml:space="preserve">21 </w:t>
      </w:r>
      <w:r>
        <w:rPr>
          <w:color w:val="000000"/>
          <w:spacing w:val="0"/>
          <w:w w:val="100"/>
          <w:position w:val="0"/>
        </w:rPr>
        <w:t>“长期资产减值”。</w:t>
      </w:r>
    </w:p>
    <w:p>
      <w:pPr>
        <w:pStyle w:val="Style38"/>
        <w:keepNext/>
        <w:keepLines/>
        <w:widowControl w:val="0"/>
        <w:shd w:val="clear" w:color="auto" w:fill="auto"/>
        <w:bidi w:val="0"/>
        <w:spacing w:before="0" w:after="280" w:line="240" w:lineRule="auto"/>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62"/>
      <w:bookmarkEnd w:id="863"/>
      <w:bookmarkEnd w:id="865"/>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本集团内部研究开发项目的支出分为研究阶段支出与开发阶段支出。</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研究阶段的支出，于发生时计入当期损益。</w:t>
      </w:r>
    </w:p>
    <w:p>
      <w:pPr>
        <w:pStyle w:val="Style25"/>
        <w:keepNext w:val="0"/>
        <w:keepLines w:val="0"/>
        <w:widowControl w:val="0"/>
        <w:shd w:val="clear" w:color="auto" w:fill="auto"/>
        <w:bidi w:val="0"/>
        <w:spacing w:before="0" w:after="380" w:line="312" w:lineRule="exact"/>
        <w:ind w:left="0" w:right="0"/>
        <w:jc w:val="left"/>
      </w:pPr>
      <w:r>
        <w:rPr>
          <w:color w:val="000000"/>
          <w:spacing w:val="0"/>
          <w:w w:val="100"/>
          <w:position w:val="0"/>
        </w:rPr>
        <w:t>开发阶段的支出同时满足下列条件的，确认为无形资产，不能满足下述条件的开发阶段的支出计入当期损益：</w:t>
      </w:r>
    </w:p>
    <w:p>
      <w:pPr>
        <w:pStyle w:val="Style25"/>
        <w:keepNext w:val="0"/>
        <w:keepLines w:val="0"/>
        <w:widowControl w:val="0"/>
        <w:numPr>
          <w:ilvl w:val="0"/>
          <w:numId w:val="17"/>
        </w:numPr>
        <w:shd w:val="clear" w:color="auto" w:fill="auto"/>
        <w:tabs>
          <w:tab w:pos="737" w:val="left"/>
        </w:tabs>
        <w:bidi w:val="0"/>
        <w:spacing w:before="0" w:after="0" w:line="312" w:lineRule="exact"/>
        <w:ind w:left="0" w:right="0"/>
        <w:jc w:val="left"/>
      </w:pPr>
      <w:bookmarkStart w:id="866" w:name="bookmark866"/>
      <w:bookmarkEnd w:id="866"/>
      <w:r>
        <w:rPr>
          <w:color w:val="000000"/>
          <w:spacing w:val="0"/>
          <w:w w:val="100"/>
          <w:position w:val="0"/>
        </w:rPr>
        <w:t>完成该无形资产以使其能够使用或出售在技术上具有可行性；</w:t>
      </w:r>
    </w:p>
    <w:p>
      <w:pPr>
        <w:pStyle w:val="Style25"/>
        <w:keepNext w:val="0"/>
        <w:keepLines w:val="0"/>
        <w:widowControl w:val="0"/>
        <w:numPr>
          <w:ilvl w:val="0"/>
          <w:numId w:val="17"/>
        </w:numPr>
        <w:shd w:val="clear" w:color="auto" w:fill="auto"/>
        <w:tabs>
          <w:tab w:pos="737" w:val="left"/>
        </w:tabs>
        <w:bidi w:val="0"/>
        <w:spacing w:before="0" w:after="0" w:line="312" w:lineRule="exact"/>
        <w:ind w:left="0" w:right="0"/>
        <w:jc w:val="left"/>
      </w:pPr>
      <w:bookmarkStart w:id="867" w:name="bookmark867"/>
      <w:bookmarkEnd w:id="867"/>
      <w:r>
        <w:rPr>
          <w:color w:val="000000"/>
          <w:spacing w:val="0"/>
          <w:w w:val="100"/>
          <w:position w:val="0"/>
        </w:rPr>
        <w:t>具有完成该无形资产并使用或出售的意图；</w:t>
      </w:r>
    </w:p>
    <w:p>
      <w:pPr>
        <w:pStyle w:val="Style25"/>
        <w:keepNext w:val="0"/>
        <w:keepLines w:val="0"/>
        <w:widowControl w:val="0"/>
        <w:numPr>
          <w:ilvl w:val="0"/>
          <w:numId w:val="17"/>
        </w:numPr>
        <w:shd w:val="clear" w:color="auto" w:fill="auto"/>
        <w:tabs>
          <w:tab w:pos="707" w:val="left"/>
        </w:tabs>
        <w:bidi w:val="0"/>
        <w:spacing w:before="0" w:after="0" w:line="312" w:lineRule="exact"/>
        <w:ind w:left="0" w:right="0"/>
        <w:jc w:val="both"/>
      </w:pPr>
      <w:bookmarkStart w:id="868" w:name="bookmark868"/>
      <w:bookmarkEnd w:id="868"/>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5"/>
        <w:keepNext w:val="0"/>
        <w:keepLines w:val="0"/>
        <w:widowControl w:val="0"/>
        <w:numPr>
          <w:ilvl w:val="0"/>
          <w:numId w:val="17"/>
        </w:numPr>
        <w:shd w:val="clear" w:color="auto" w:fill="auto"/>
        <w:tabs>
          <w:tab w:pos="737" w:val="left"/>
        </w:tabs>
        <w:bidi w:val="0"/>
        <w:spacing w:before="0" w:after="0" w:line="312" w:lineRule="exact"/>
        <w:ind w:left="0" w:right="0"/>
        <w:jc w:val="left"/>
      </w:pPr>
      <w:bookmarkStart w:id="869" w:name="bookmark869"/>
      <w:bookmarkEnd w:id="869"/>
      <w:r>
        <w:rPr>
          <w:color w:val="000000"/>
          <w:spacing w:val="0"/>
          <w:w w:val="100"/>
          <w:position w:val="0"/>
        </w:rPr>
        <w:t>有足够的技术、财务资源和其他资源支持，以完成该无形资产的开发，并有能力使用或出售该无形资产；</w:t>
      </w:r>
    </w:p>
    <w:p>
      <w:pPr>
        <w:pStyle w:val="Style25"/>
        <w:keepNext w:val="0"/>
        <w:keepLines w:val="0"/>
        <w:widowControl w:val="0"/>
        <w:numPr>
          <w:ilvl w:val="0"/>
          <w:numId w:val="17"/>
        </w:numPr>
        <w:shd w:val="clear" w:color="auto" w:fill="auto"/>
        <w:tabs>
          <w:tab w:pos="737" w:val="left"/>
        </w:tabs>
        <w:bidi w:val="0"/>
        <w:spacing w:before="0" w:after="0" w:line="312" w:lineRule="exact"/>
        <w:ind w:left="0" w:right="0"/>
        <w:jc w:val="left"/>
      </w:pPr>
      <w:bookmarkStart w:id="870" w:name="bookmark870"/>
      <w:bookmarkEnd w:id="870"/>
      <w:r>
        <w:rPr>
          <w:color w:val="000000"/>
          <w:spacing w:val="0"/>
          <w:w w:val="100"/>
          <w:position w:val="0"/>
        </w:rPr>
        <w:t>归属于该无形资产开发阶段的支出能够可靠地计量。</w:t>
      </w:r>
    </w:p>
    <w:p>
      <w:pPr>
        <w:pStyle w:val="Style25"/>
        <w:keepNext w:val="0"/>
        <w:keepLines w:val="0"/>
        <w:widowControl w:val="0"/>
        <w:shd w:val="clear" w:color="auto" w:fill="auto"/>
        <w:bidi w:val="0"/>
        <w:spacing w:before="0" w:after="380" w:line="312" w:lineRule="exact"/>
        <w:ind w:left="0" w:right="0"/>
        <w:jc w:val="left"/>
      </w:pPr>
      <w:r>
        <w:rPr>
          <w:color w:val="000000"/>
          <w:spacing w:val="0"/>
          <w:w w:val="100"/>
          <w:position w:val="0"/>
        </w:rPr>
        <w:t>无法区分研究阶段支出和开发阶段支出的，将发生的研发支出全部计入当期损益。</w:t>
      </w:r>
    </w:p>
    <w:p>
      <w:pPr>
        <w:pStyle w:val="Style28"/>
        <w:keepNext/>
        <w:keepLines/>
        <w:widowControl w:val="0"/>
        <w:shd w:val="clear" w:color="auto" w:fill="auto"/>
        <w:tabs>
          <w:tab w:pos="467" w:val="left"/>
        </w:tabs>
        <w:bidi w:val="0"/>
        <w:spacing w:before="0" w:after="26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3</w:t>
      </w:r>
      <w:bookmarkEnd w:id="873"/>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71"/>
      <w:bookmarkEnd w:id="872"/>
      <w:bookmarkEnd w:id="874"/>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对于固定资产、在建工程、使用寿命有限的无形资产、使用权资产、以成本模式计量的投资性房地产及对子公司、合营 企业、联营企业的长期股权投资等非流动非金融资产，本集团于资产负债表日判断是否存在减值迹象。如存在减值迹象的， 则估计其可收回金额，进行减值测试。商誉、使用寿命不确定的无形资产和尚未达到可使用状态的无形资产，无论是否存在 减值迹象，每年均进行减值测试。</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5"/>
        <w:keepNext w:val="0"/>
        <w:keepLines w:val="0"/>
        <w:widowControl w:val="0"/>
        <w:shd w:val="clear" w:color="auto" w:fill="auto"/>
        <w:bidi w:val="0"/>
        <w:spacing w:before="0" w:after="380" w:line="311" w:lineRule="exact"/>
        <w:ind w:left="0" w:right="0"/>
        <w:jc w:val="left"/>
      </w:pPr>
      <w:r>
        <w:rPr>
          <w:color w:val="000000"/>
          <w:spacing w:val="0"/>
          <w:w w:val="100"/>
          <w:position w:val="0"/>
        </w:rPr>
        <w:t>上述资产减值损失一经确认，以后期间不予转回价值得以恢复的部分。</w:t>
      </w:r>
    </w:p>
    <w:p>
      <w:pPr>
        <w:pStyle w:val="Style28"/>
        <w:keepNext/>
        <w:keepLines/>
        <w:widowControl w:val="0"/>
        <w:shd w:val="clear" w:color="auto" w:fill="auto"/>
        <w:tabs>
          <w:tab w:pos="467" w:val="left"/>
        </w:tabs>
        <w:bidi w:val="0"/>
        <w:spacing w:before="0" w:after="26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3</w:t>
      </w:r>
      <w:bookmarkEnd w:id="877"/>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75"/>
      <w:bookmarkEnd w:id="876"/>
      <w:bookmarkEnd w:id="878"/>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长期待摊费用为已经发生但应由报告期和以后各期负担的分摊期限在一年以上的各项费用。本公司的长期待摊费用主要 包括装修费等。长期待摊费用在预计受益期间按直线法摊销。</w:t>
      </w:r>
    </w:p>
    <w:p>
      <w:pPr>
        <w:pStyle w:val="Style28"/>
        <w:keepNext/>
        <w:keepLines/>
        <w:widowControl w:val="0"/>
        <w:shd w:val="clear" w:color="auto" w:fill="auto"/>
        <w:tabs>
          <w:tab w:pos="467" w:val="left"/>
        </w:tabs>
        <w:bidi w:val="0"/>
        <w:spacing w:before="0" w:after="26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3</w:t>
      </w:r>
      <w:bookmarkEnd w:id="881"/>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79"/>
      <w:bookmarkEnd w:id="880"/>
      <w:bookmarkEnd w:id="882"/>
    </w:p>
    <w:p>
      <w:pPr>
        <w:pStyle w:val="Style25"/>
        <w:keepNext w:val="0"/>
        <w:keepLines w:val="0"/>
        <w:widowControl w:val="0"/>
        <w:shd w:val="clear" w:color="auto" w:fill="auto"/>
        <w:bidi w:val="0"/>
        <w:spacing w:before="0" w:after="380" w:line="314" w:lineRule="exact"/>
        <w:ind w:left="0" w:right="0"/>
        <w:jc w:val="both"/>
      </w:pPr>
      <w:r>
        <w:rPr>
          <w:color w:val="000000"/>
          <w:spacing w:val="0"/>
          <w:w w:val="100"/>
          <w:position w:val="0"/>
        </w:rPr>
        <w:t>合同负债，是指本公司已收或应收客户对价而应向客户转让商品的义务。如果在本公司向客户转让商品之前，客户已经 支付了合同对价或本公司已经取得了无条件收款权，本公司在客户实际支付款项和到期应支付款项孰早时点，将该已收或应 收款项列示为合同负债。同一合同下的合同资产和合同负债以净额列示，不同合同下的合同资产和合同负债不予抵销。</w:t>
      </w:r>
    </w:p>
    <w:p>
      <w:pPr>
        <w:pStyle w:val="Style28"/>
        <w:keepNext/>
        <w:keepLines/>
        <w:widowControl w:val="0"/>
        <w:shd w:val="clear" w:color="auto" w:fill="auto"/>
        <w:tabs>
          <w:tab w:pos="467" w:val="left"/>
        </w:tabs>
        <w:bidi w:val="0"/>
        <w:spacing w:before="0" w:after="3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3</w:t>
      </w:r>
      <w:bookmarkEnd w:id="88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83"/>
      <w:bookmarkEnd w:id="884"/>
      <w:bookmarkEnd w:id="886"/>
    </w:p>
    <w:p>
      <w:pPr>
        <w:pStyle w:val="Style38"/>
        <w:keepNext/>
        <w:keepLines/>
        <w:widowControl w:val="0"/>
        <w:shd w:val="clear" w:color="auto" w:fill="auto"/>
        <w:bidi w:val="0"/>
        <w:spacing w:before="0" w:after="260" w:line="240" w:lineRule="auto"/>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87"/>
      <w:bookmarkEnd w:id="888"/>
      <w:bookmarkEnd w:id="890"/>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本集团职工薪酬主要包括短期职工薪酬、离职后福利、辞退福利。其中：</w:t>
      </w:r>
    </w:p>
    <w:p>
      <w:pPr>
        <w:pStyle w:val="Style25"/>
        <w:keepNext w:val="0"/>
        <w:keepLines w:val="0"/>
        <w:widowControl w:val="0"/>
        <w:shd w:val="clear" w:color="auto" w:fill="auto"/>
        <w:bidi w:val="0"/>
        <w:spacing w:before="0" w:after="380" w:line="311" w:lineRule="exact"/>
        <w:ind w:left="0" w:right="0"/>
        <w:jc w:val="both"/>
      </w:pPr>
      <w:r>
        <w:rPr>
          <w:color w:val="000000"/>
          <w:spacing w:val="0"/>
          <w:w w:val="100"/>
          <w:position w:val="0"/>
        </w:rPr>
        <w:t xml:space="preserve">短期薪酬主要包括工资、奖金、津贴和补贴、职工福利费、医疗保险费、生育保险费、工伤保险费、住房公积金、工会 </w:t>
      </w:r>
      <w:r>
        <w:rPr>
          <w:color w:val="000000"/>
          <w:spacing w:val="0"/>
          <w:w w:val="100"/>
          <w:position w:val="0"/>
        </w:rPr>
        <w:t>经费和职工教育经费、非货币性福利等。本集团在职工为本集团提供服务的会计期间将实际发生的短期职工薪酬确认为负债， 并计入当期损益或相关资产成本。其中非货币性福利按公允价值计量。</w:t>
      </w:r>
    </w:p>
    <w:p>
      <w:pPr>
        <w:pStyle w:val="Style38"/>
        <w:keepNext/>
        <w:keepLines/>
        <w:widowControl w:val="0"/>
        <w:shd w:val="clear" w:color="auto" w:fill="auto"/>
        <w:tabs>
          <w:tab w:pos="493" w:val="left"/>
        </w:tabs>
        <w:bidi w:val="0"/>
        <w:spacing w:before="0" w:after="280" w:line="240" w:lineRule="auto"/>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91"/>
      <w:bookmarkEnd w:id="892"/>
      <w:bookmarkEnd w:id="894"/>
    </w:p>
    <w:p>
      <w:pPr>
        <w:pStyle w:val="Style25"/>
        <w:keepNext w:val="0"/>
        <w:keepLines w:val="0"/>
        <w:widowControl w:val="0"/>
        <w:shd w:val="clear" w:color="auto" w:fill="auto"/>
        <w:bidi w:val="0"/>
        <w:spacing w:before="0" w:after="380" w:line="317" w:lineRule="exact"/>
        <w:ind w:left="0" w:right="0"/>
        <w:jc w:val="both"/>
      </w:pPr>
      <w:r>
        <w:rPr>
          <w:color w:val="000000"/>
          <w:spacing w:val="0"/>
          <w:w w:val="100"/>
          <w:position w:val="0"/>
        </w:rPr>
        <w:t>离职后福利主要包括基本养老保险、失业保险。离职后福利计划包括设定提存计划。采用设定提存计划的，相应的应缴 存金额于发生时计入相关资产成本或当期损益。</w:t>
      </w:r>
    </w:p>
    <w:p>
      <w:pPr>
        <w:pStyle w:val="Style38"/>
        <w:keepNext/>
        <w:keepLines/>
        <w:widowControl w:val="0"/>
        <w:shd w:val="clear" w:color="auto" w:fill="auto"/>
        <w:tabs>
          <w:tab w:pos="493" w:val="left"/>
        </w:tabs>
        <w:bidi w:val="0"/>
        <w:spacing w:before="0" w:after="28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5"/>
      <w:bookmarkEnd w:id="896"/>
      <w:bookmarkEnd w:id="898"/>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在职工劳动合同到期之前解除与职工的劳动关系，或为鼓励职工自愿接受裁减而提出给予补偿的建议，在本集团不能单 方面撤回因解除劳动关系计划或裁减建议所提供的辞退福利时，和本集团确认与涉及支付辞退福利的重组相关的成本两者孰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25"/>
        <w:keepNext w:val="0"/>
        <w:keepLines w:val="0"/>
        <w:widowControl w:val="0"/>
        <w:shd w:val="clear" w:color="auto" w:fill="auto"/>
        <w:bidi w:val="0"/>
        <w:spacing w:before="0" w:after="380" w:line="312" w:lineRule="exact"/>
        <w:ind w:left="0" w:right="0"/>
        <w:jc w:val="left"/>
      </w:pPr>
      <w:r>
        <w:rPr>
          <w:color w:val="000000"/>
          <w:spacing w:val="0"/>
          <w:w w:val="100"/>
          <w:position w:val="0"/>
        </w:rPr>
        <w:t>职工内部退休计划采用与上述辞退福利相同的原则处理。本集团将自职工停止提供服务日至正常退休日的期间拟支付的 内退人员工资和缴纳的社会保险费等，在符合预计负债确认条件时，计入当期损益（辞退福利）。</w:t>
      </w:r>
    </w:p>
    <w:p>
      <w:pPr>
        <w:pStyle w:val="Style38"/>
        <w:keepNext/>
        <w:keepLines/>
        <w:widowControl w:val="0"/>
        <w:shd w:val="clear" w:color="auto" w:fill="auto"/>
        <w:tabs>
          <w:tab w:pos="493" w:val="left"/>
        </w:tabs>
        <w:bidi w:val="0"/>
        <w:spacing w:before="0" w:after="28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9"/>
      <w:bookmarkEnd w:id="900"/>
      <w:bookmarkEnd w:id="902"/>
    </w:p>
    <w:p>
      <w:pPr>
        <w:pStyle w:val="Style25"/>
        <w:keepNext w:val="0"/>
        <w:keepLines w:val="0"/>
        <w:widowControl w:val="0"/>
        <w:shd w:val="clear" w:color="auto" w:fill="auto"/>
        <w:bidi w:val="0"/>
        <w:spacing w:before="0" w:after="380" w:line="317" w:lineRule="exact"/>
        <w:ind w:left="0" w:right="0"/>
        <w:jc w:val="both"/>
      </w:pPr>
      <w:r>
        <w:rPr>
          <w:color w:val="000000"/>
          <w:spacing w:val="0"/>
          <w:w w:val="100"/>
          <w:position w:val="0"/>
        </w:rPr>
        <w:t>本集团向职工提供的其他长期职工福利，符合设定提存计划的，按照设定提存计划进行会计处理，除此之外按照设定受 益计划进行会计处理。</w:t>
      </w:r>
    </w:p>
    <w:p>
      <w:pPr>
        <w:pStyle w:val="Style28"/>
        <w:keepNext/>
        <w:keepLines/>
        <w:widowControl w:val="0"/>
        <w:shd w:val="clear" w:color="auto" w:fill="auto"/>
        <w:tabs>
          <w:tab w:pos="483" w:val="left"/>
        </w:tabs>
        <w:bidi w:val="0"/>
        <w:spacing w:before="0" w:after="38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3</w:t>
      </w:r>
      <w:bookmarkEnd w:id="905"/>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03"/>
      <w:bookmarkEnd w:id="904"/>
      <w:bookmarkEnd w:id="906"/>
    </w:p>
    <w:p>
      <w:pPr>
        <w:pStyle w:val="Style28"/>
        <w:keepNext/>
        <w:keepLines/>
        <w:widowControl w:val="0"/>
        <w:shd w:val="clear" w:color="auto" w:fill="auto"/>
        <w:tabs>
          <w:tab w:pos="483" w:val="left"/>
        </w:tabs>
        <w:bidi w:val="0"/>
        <w:spacing w:before="0" w:after="2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3</w:t>
      </w:r>
      <w:bookmarkEnd w:id="90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07"/>
      <w:bookmarkEnd w:id="908"/>
      <w:bookmarkEnd w:id="910"/>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当与或有事项相关的义务同时符合以下条件，确认为预计负债：</w:t>
      </w:r>
      <w:r>
        <w:rPr>
          <w:color w:val="000000"/>
          <w:spacing w:val="0"/>
          <w:w w:val="100"/>
          <w:position w:val="0"/>
          <w:sz w:val="18"/>
          <w:szCs w:val="18"/>
        </w:rPr>
        <w:t>（1）</w:t>
      </w:r>
      <w:r>
        <w:rPr>
          <w:color w:val="000000"/>
          <w:spacing w:val="0"/>
          <w:w w:val="100"/>
          <w:position w:val="0"/>
        </w:rPr>
        <w:t>该义务是本集团承担的现时义务；</w:t>
      </w:r>
      <w:r>
        <w:rPr>
          <w:color w:val="000000"/>
          <w:spacing w:val="0"/>
          <w:w w:val="100"/>
          <w:position w:val="0"/>
          <w:sz w:val="18"/>
          <w:szCs w:val="18"/>
        </w:rPr>
        <w:t>（2）</w:t>
      </w:r>
      <w:r>
        <w:rPr>
          <w:color w:val="000000"/>
          <w:spacing w:val="0"/>
          <w:w w:val="100"/>
          <w:position w:val="0"/>
        </w:rPr>
        <w:t>履行该义 务很可能导致经济利益流出；</w:t>
      </w:r>
      <w:r>
        <w:rPr>
          <w:color w:val="000000"/>
          <w:spacing w:val="0"/>
          <w:w w:val="100"/>
          <w:position w:val="0"/>
          <w:sz w:val="18"/>
          <w:szCs w:val="18"/>
        </w:rPr>
        <w:t>（3）</w:t>
      </w:r>
      <w:r>
        <w:rPr>
          <w:color w:val="000000"/>
          <w:spacing w:val="0"/>
          <w:w w:val="100"/>
          <w:position w:val="0"/>
        </w:rPr>
        <w:t>该义务的金额能够可靠地计量。</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5"/>
        <w:keepNext w:val="0"/>
        <w:keepLines w:val="0"/>
        <w:widowControl w:val="0"/>
        <w:shd w:val="clear" w:color="auto" w:fill="auto"/>
        <w:tabs>
          <w:tab w:pos="825" w:val="left"/>
        </w:tabs>
        <w:bidi w:val="0"/>
        <w:spacing w:before="0" w:after="0" w:line="311" w:lineRule="exact"/>
        <w:ind w:left="0" w:right="0"/>
        <w:jc w:val="both"/>
      </w:pPr>
      <w:bookmarkStart w:id="911" w:name="bookmark911"/>
      <w:r>
        <w:rPr>
          <w:color w:val="000000"/>
          <w:spacing w:val="0"/>
          <w:w w:val="100"/>
          <w:position w:val="0"/>
          <w:sz w:val="18"/>
          <w:szCs w:val="18"/>
        </w:rPr>
        <w:t>（</w:t>
      </w:r>
      <w:bookmarkEnd w:id="911"/>
      <w:r>
        <w:rPr>
          <w:color w:val="000000"/>
          <w:spacing w:val="0"/>
          <w:w w:val="100"/>
          <w:position w:val="0"/>
          <w:sz w:val="18"/>
          <w:szCs w:val="18"/>
        </w:rPr>
        <w:t>1）</w:t>
        <w:tab/>
      </w:r>
      <w:r>
        <w:rPr>
          <w:color w:val="000000"/>
          <w:spacing w:val="0"/>
          <w:w w:val="100"/>
          <w:position w:val="0"/>
        </w:rPr>
        <w:t>亏损合同</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25"/>
        <w:keepNext w:val="0"/>
        <w:keepLines w:val="0"/>
        <w:widowControl w:val="0"/>
        <w:shd w:val="clear" w:color="auto" w:fill="auto"/>
        <w:tabs>
          <w:tab w:pos="825" w:val="left"/>
        </w:tabs>
        <w:bidi w:val="0"/>
        <w:spacing w:before="0" w:after="0" w:line="317" w:lineRule="exact"/>
        <w:ind w:left="0" w:right="0"/>
        <w:jc w:val="both"/>
      </w:pPr>
      <w:bookmarkStart w:id="912" w:name="bookmark912"/>
      <w:r>
        <w:rPr>
          <w:color w:val="000000"/>
          <w:spacing w:val="0"/>
          <w:w w:val="100"/>
          <w:position w:val="0"/>
          <w:sz w:val="18"/>
          <w:szCs w:val="18"/>
        </w:rPr>
        <w:t>（</w:t>
      </w:r>
      <w:bookmarkEnd w:id="912"/>
      <w:r>
        <w:rPr>
          <w:color w:val="000000"/>
          <w:spacing w:val="0"/>
          <w:w w:val="100"/>
          <w:position w:val="0"/>
          <w:sz w:val="18"/>
          <w:szCs w:val="18"/>
        </w:rPr>
        <w:t>2）</w:t>
        <w:tab/>
      </w:r>
      <w:r>
        <w:rPr>
          <w:color w:val="000000"/>
          <w:spacing w:val="0"/>
          <w:w w:val="100"/>
          <w:position w:val="0"/>
        </w:rPr>
        <w:t>重组义务</w:t>
      </w:r>
    </w:p>
    <w:p>
      <w:pPr>
        <w:pStyle w:val="Style25"/>
        <w:keepNext w:val="0"/>
        <w:keepLines w:val="0"/>
        <w:widowControl w:val="0"/>
        <w:shd w:val="clear" w:color="auto" w:fill="auto"/>
        <w:bidi w:val="0"/>
        <w:spacing w:before="0" w:after="380" w:line="317" w:lineRule="exact"/>
        <w:ind w:left="0" w:right="0"/>
        <w:jc w:val="both"/>
      </w:pPr>
      <w:r>
        <w:rPr>
          <w:color w:val="000000"/>
          <w:spacing w:val="0"/>
          <w:w w:val="100"/>
          <w:position w:val="0"/>
        </w:rPr>
        <w:t>对于有详细、正式并且已经对外公告的重组计划，在满足前述预计负债的确认条件的情况下，按照与重组有关的直接支 出确定预计负债金额。</w:t>
      </w:r>
    </w:p>
    <w:p>
      <w:pPr>
        <w:pStyle w:val="Style28"/>
        <w:keepNext/>
        <w:keepLines/>
        <w:widowControl w:val="0"/>
        <w:shd w:val="clear" w:color="auto" w:fill="auto"/>
        <w:tabs>
          <w:tab w:pos="483" w:val="left"/>
        </w:tabs>
        <w:bidi w:val="0"/>
        <w:spacing w:before="0" w:after="2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3</w:t>
      </w:r>
      <w:bookmarkEnd w:id="915"/>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13"/>
      <w:bookmarkEnd w:id="914"/>
      <w:bookmarkEnd w:id="916"/>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股份支付的会计处理方法</w:t>
      </w:r>
    </w:p>
    <w:p>
      <w:pPr>
        <w:pStyle w:val="Style25"/>
        <w:keepNext w:val="0"/>
        <w:keepLines w:val="0"/>
        <w:widowControl w:val="0"/>
        <w:shd w:val="clear" w:color="auto" w:fill="auto"/>
        <w:bidi w:val="0"/>
        <w:spacing w:before="0" w:after="280" w:line="312" w:lineRule="exact"/>
        <w:ind w:left="0" w:right="0"/>
        <w:jc w:val="both"/>
      </w:pPr>
      <w:r>
        <w:rPr>
          <w:color w:val="000000"/>
          <w:spacing w:val="0"/>
          <w:w w:val="100"/>
          <w:position w:val="0"/>
        </w:rPr>
        <w:t xml:space="preserve">股份支付是为了获取职工或其他方提供服务而授予权益工具或者承担以权益工具为基础确定的负债的交易。股份支付分 </w:t>
      </w:r>
      <w:r>
        <w:rPr>
          <w:color w:val="000000"/>
          <w:spacing w:val="0"/>
          <w:w w:val="100"/>
          <w:position w:val="0"/>
        </w:rPr>
        <w:t>为以权益结算的股份支付和以现金结算的股份支付。</w:t>
      </w:r>
    </w:p>
    <w:p>
      <w:pPr>
        <w:pStyle w:val="Style25"/>
        <w:keepNext w:val="0"/>
        <w:keepLines w:val="0"/>
        <w:widowControl w:val="0"/>
        <w:numPr>
          <w:ilvl w:val="0"/>
          <w:numId w:val="19"/>
        </w:numPr>
        <w:shd w:val="clear" w:color="auto" w:fill="auto"/>
        <w:tabs>
          <w:tab w:pos="695" w:val="left"/>
        </w:tabs>
        <w:bidi w:val="0"/>
        <w:spacing w:before="0" w:after="0" w:line="313" w:lineRule="exact"/>
        <w:ind w:left="0" w:right="0"/>
        <w:jc w:val="both"/>
      </w:pPr>
      <w:bookmarkStart w:id="917" w:name="bookmark917"/>
      <w:bookmarkEnd w:id="917"/>
      <w:r>
        <w:rPr>
          <w:color w:val="000000"/>
          <w:spacing w:val="0"/>
          <w:w w:val="100"/>
          <w:position w:val="0"/>
        </w:rPr>
        <w:t>以权益结算的股份支付</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线法计算计入相关成本或费用/在授予后立即可行权时，在授予日计入相关成本或费用，相应增加资本公积。</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在等待期内每个资产负债表日，本集团根据最新取得的可行权职工人数变动等后续信息做出最佳估计，修正预计可行权 的权益工具数量。上述估计的影响计入当期相关成本或费用，并相应调整资本公积。</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25"/>
        <w:keepNext w:val="0"/>
        <w:keepLines w:val="0"/>
        <w:widowControl w:val="0"/>
        <w:numPr>
          <w:ilvl w:val="0"/>
          <w:numId w:val="19"/>
        </w:numPr>
        <w:shd w:val="clear" w:color="auto" w:fill="auto"/>
        <w:tabs>
          <w:tab w:pos="695" w:val="left"/>
        </w:tabs>
        <w:bidi w:val="0"/>
        <w:spacing w:before="0" w:after="0" w:line="313" w:lineRule="exact"/>
        <w:ind w:left="0" w:right="0"/>
        <w:jc w:val="both"/>
      </w:pPr>
      <w:bookmarkStart w:id="918" w:name="bookmark918"/>
      <w:bookmarkEnd w:id="918"/>
      <w:r>
        <w:rPr>
          <w:color w:val="000000"/>
          <w:spacing w:val="0"/>
          <w:w w:val="100"/>
          <w:position w:val="0"/>
        </w:rPr>
        <w:t>以现金结算的股份支付</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以现金结算的股份支付，按照本集团承担的以股份或其他权益工具为基础确定的负债的公允价值计量。如授予后立即可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期的每个资产负债表日，以对可行权情况的最佳估计为基础，按照本集团承担负债的公允价值金额，将当期取得的服务计入 成本或费用，相应增加负债。</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在相关负债结算前的每个资产负债表日以及结算日，对负债的公允价值重新计量，其变动计入当期损益。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修改、终止股份支付计划的相关会计处理</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本集团对股份支付计划进行修改时，若修改增加了所授予权益工具的公允价值，按照权益工具公允价值的增加相应确认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付公允价值总额或采用了其他不利于职工的方式，则仍继续对取得的服务进行会计处理，视同该变更从未发生，除非本集团 取消了部分或全部已授予的权益工具。</w:t>
      </w:r>
    </w:p>
    <w:p>
      <w:pPr>
        <w:pStyle w:val="Style25"/>
        <w:keepNext w:val="0"/>
        <w:keepLines w:val="0"/>
        <w:widowControl w:val="0"/>
        <w:shd w:val="clear" w:color="auto" w:fill="auto"/>
        <w:bidi w:val="0"/>
        <w:spacing w:before="0" w:after="380" w:line="313" w:lineRule="exact"/>
        <w:ind w:left="0" w:right="0"/>
        <w:jc w:val="both"/>
      </w:pPr>
      <w:r>
        <w:rPr>
          <w:color w:val="000000"/>
          <w:spacing w:val="0"/>
          <w:w w:val="100"/>
          <w:position w:val="0"/>
        </w:rPr>
        <w:t>在等待期内，如果取消了授予的权益工具，本集团对取消所授予的权益性工具作为加速行权处理，将剩余等待期内应确 认的金额立即计入当期损益，同时确认资本公积。职工或其他方能够选择满足非可行权条件但在等待期内未满足的，本集团 将其作为授予权益工具的取消处理。</w:t>
      </w:r>
    </w:p>
    <w:p>
      <w:pPr>
        <w:pStyle w:val="Style28"/>
        <w:keepNext/>
        <w:keepLines/>
        <w:widowControl w:val="0"/>
        <w:shd w:val="clear" w:color="auto" w:fill="auto"/>
        <w:tabs>
          <w:tab w:pos="425" w:val="left"/>
        </w:tabs>
        <w:bidi w:val="0"/>
        <w:spacing w:before="0" w:after="38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3</w:t>
      </w:r>
      <w:bookmarkEnd w:id="92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19"/>
      <w:bookmarkEnd w:id="920"/>
      <w:bookmarkEnd w:id="922"/>
    </w:p>
    <w:p>
      <w:pPr>
        <w:pStyle w:val="Style28"/>
        <w:keepNext/>
        <w:keepLines/>
        <w:widowControl w:val="0"/>
        <w:shd w:val="clear" w:color="auto" w:fill="auto"/>
        <w:tabs>
          <w:tab w:pos="425" w:val="left"/>
        </w:tabs>
        <w:bidi w:val="0"/>
        <w:spacing w:before="0" w:after="2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3</w:t>
      </w:r>
      <w:bookmarkEnd w:id="92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23"/>
      <w:bookmarkEnd w:id="924"/>
      <w:bookmarkEnd w:id="926"/>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收入确认和计量所采用的会计政策</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本公司与客户之间的合同同时满足下列条件时，在客户取得相关商品控制权时确认收入：合同各方已批准该合同并承诺 将履行各自义务；合同明确了合同各方与所转让商品或提供劳务相关的权利和义务；合同有明确的与所转让商品相关的支付 条款；合同具有商业实质，即履行该合同将改变本公司未来现金流量的风险、时间分布或金额；本公司因向客户转让商品而 有权取得的对价很可能收回。</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在合同开始日，本公司识别合同中存在的各单项履约义务，并将交易价格按照各单项履约义务所承诺商品的单独售价的 相对比例分摊至各单项履约义务。在确定交易价格时考虑了可变对价、合同中存在的重大融资成分、非现金对价、应付客户 对价等因素的影响。</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对于合同中的每个单项履约义务，如果满足下列条件之一的，本公司在相关履约时段内按照履约进度将分摊至该单项履 约义务的交易价格确认为收入：客户在本公司履约的同时即取得并消耗本公司履约所带来的经济利益；客户能够控制本公司 履约过程中在建的商品；本公司履约过程中所产出的商品具有不可替代用途，且本公司在整个合同期间内有权就累计至今已 完成的履约部分收取款项。履约进度根据所转让商品的性质采用投入法或产出法确定，当履约进度不能合理确定时，本公司 已经发生的成本预计能够得到补偿的，按照已经发生的成本金额确认收入，直到履约进度能够合理确定为止。</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如果不满足上述条件之一，则本公司在客户取得相关商品控制权的时点将分摊至该单项履约义务的交易价格确认收入。 在判断客户是否已取得商品控制权时，本公司考虑下列迹象：企业就该商品享有现时收款权利，即客户就该商品负有现时付 款义务；企业已将该商品的法定所有权转移给客户，即客户已拥有该商品的法定所有权；企业已将该商品实物转移给客户， </w:t>
      </w:r>
      <w:r>
        <w:rPr>
          <w:color w:val="000000"/>
          <w:spacing w:val="0"/>
          <w:w w:val="100"/>
          <w:position w:val="0"/>
        </w:rPr>
        <w:t>即客户已实物占有该商品；企业已将该商品所有权上的主要风险和报酬转移给客户，即客户已取得该商品所有权上的主要风 险和报酬；客户已接受该商品；其他表明客户已取得商品控制权的迹象。</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商品销售收入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本公司与客户之间的销售商品合同属于在某一时点履行履约义务。</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公司系统集成类产品的销售包括为客户提供方案设计、设备安装、调试及系统试运行等配套服务，经验收合格后确认销 售收入。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其他一般销售商品收入，于发货经客户签收时确认收入。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提供劳务收入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本公司与客户之间的提供劳务收入合同属于在某一时段履行履约义务。</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在提供劳务交易的结果能够可靠估计的情况下，于资产负债表日按照投入法确认提供的劳务收入。劳务交易的履约进度 按照累计实际发生的合同成本占合同预计总成本的比例确定。</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将已发生的劳务成本作为当期费用。已经发生的劳务成本如预计不能得到补偿的，则不确认收入，已发生的劳务成本计入当 期损益。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建造合同收入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本公司与客户之间的建造合同收入合同属于在某一时段履行履约义务。</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在建造合同的结果能够可靠估计的情况下，于资产负债表日按照投入法确认合同收入和合同费用。合同履约进度按累计 实际发生的合同成本占合同预计总成本的比例确定。</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如建造合同的结果不能可靠地估计，但合同成本能够收回的，合同收入根据能够收回的实际合同成本予以确认，合同成 本在其发生的当期确认为合同费用；合同成本不可能收回的，在发生时立即确认为合同费用，不确认合同收入。使建造合同 的结果不能可靠估计的不确定因素不复存在的，按照投入法确定与建造合同有关的收入和费用。合同预计总成本超过合同总 收入的，将预计损失确认为当期费用。在建合同累计已发生的成本和累计已确认的毛利（亏损）与已结算的价款在资产负债表 中以抵销后的净额列示。在建合同累计已发生的成本和累计已确认的毛利（亏损）之和超过已结算价款的部分作为存货列示； 在建合同已结算的价款超过累计已发生的成本与累计已确认的毛利（亏损）之和的部分作为预收款项列示。</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w:t>
      </w:r>
      <w:r>
        <w:rPr>
          <w:color w:val="000000"/>
          <w:spacing w:val="0"/>
          <w:w w:val="100"/>
          <w:position w:val="0"/>
          <w:sz w:val="18"/>
          <w:szCs w:val="18"/>
        </w:rPr>
        <w:t>BT</w:t>
      </w:r>
      <w:r>
        <w:rPr>
          <w:color w:val="000000"/>
          <w:spacing w:val="0"/>
          <w:w w:val="100"/>
          <w:position w:val="0"/>
        </w:rPr>
        <w:t>业务的按照《企业会计准则第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收入》确认相关的收入和成本，建造合同收入按应收取对价的公允价值计 量，同时确认长期应收款。长期应收款采用摊余成本计量并按期确认利息收入，实际利率在长期应收款存续期间内一般保持 不变。</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BT</w:t>
      </w:r>
      <w:r>
        <w:rPr>
          <w:color w:val="000000"/>
          <w:spacing w:val="0"/>
          <w:w w:val="100"/>
          <w:position w:val="0"/>
        </w:rPr>
        <w:t>项目涉及的长期应收款项未超过合同约定的收款时点的，暂不计提坏账准备。对超过长期应收款项对应合同约定的 收款时点尚未收回款项的坏账准备计提方法详见本附注四、</w:t>
      </w:r>
      <w:r>
        <w:rPr>
          <w:color w:val="000000"/>
          <w:spacing w:val="0"/>
          <w:w w:val="100"/>
          <w:position w:val="0"/>
          <w:sz w:val="18"/>
          <w:szCs w:val="18"/>
        </w:rPr>
        <w:t xml:space="preserve">10 </w:t>
      </w:r>
      <w:r>
        <w:rPr>
          <w:color w:val="000000"/>
          <w:spacing w:val="0"/>
          <w:w w:val="100"/>
          <w:position w:val="0"/>
        </w:rPr>
        <w:t>“金融资产减值”</w:t>
      </w:r>
      <w:r>
        <w:rPr>
          <w:color w:val="000000"/>
          <w:spacing w:val="0"/>
          <w:w w:val="100"/>
          <w:position w:val="0"/>
          <w:sz w:val="18"/>
          <w:szCs w:val="18"/>
        </w:rPr>
        <w:t>（5）</w:t>
      </w:r>
      <w:r>
        <w:rPr>
          <w:color w:val="000000"/>
          <w:spacing w:val="0"/>
          <w:w w:val="100"/>
          <w:position w:val="0"/>
        </w:rPr>
        <w:t>④所示。</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使用费收入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根据有关合同或协议，按权责发生制确认收入。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利息收入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按照他人使用本集团货币资金的时间和实际利率计算确定。</w:t>
      </w:r>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同类业务采用不同经营模式导致收入确认会计政策存在差异的情况</w:t>
      </w:r>
    </w:p>
    <w:p>
      <w:pPr>
        <w:pStyle w:val="Style28"/>
        <w:keepNext/>
        <w:keepLines/>
        <w:widowControl w:val="0"/>
        <w:shd w:val="clear" w:color="auto" w:fill="auto"/>
        <w:bidi w:val="0"/>
        <w:spacing w:before="0" w:after="2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4</w:t>
      </w:r>
      <w:bookmarkEnd w:id="929"/>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27"/>
      <w:bookmarkEnd w:id="928"/>
      <w:bookmarkEnd w:id="930"/>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政府补助是指本集团从政府无偿取得货币性资产和非货币性资产，不包括政府以投资者身份并享有相应所有者权益而投 入的资本。政府补助分为与资产相关的政府补助和与收益相关的政府补助。本集团将所取得的用于购建或以其他方式形成长 期资产的政府补助界定为与资产相关的政府补助；其余政府补助界定为与收益相关的政府补助。若政府文件未明确规定补助 对象，则采用以下方式将补助款划分为与收益相关的政府补助和与资产相关的政府补助：</w:t>
      </w:r>
      <w:r>
        <w:rPr>
          <w:color w:val="000000"/>
          <w:spacing w:val="0"/>
          <w:w w:val="100"/>
          <w:position w:val="0"/>
          <w:sz w:val="18"/>
          <w:szCs w:val="18"/>
        </w:rPr>
        <w:t>（1）</w:t>
      </w:r>
      <w:r>
        <w:rPr>
          <w:color w:val="000000"/>
          <w:spacing w:val="0"/>
          <w:w w:val="100"/>
          <w:position w:val="0"/>
        </w:rPr>
        <w:t xml:space="preserve">政府文件明确了补助所针对 </w:t>
      </w:r>
      <w:r>
        <w:rPr>
          <w:color w:val="000000"/>
          <w:spacing w:val="0"/>
          <w:w w:val="100"/>
          <w:position w:val="0"/>
        </w:rPr>
        <w:t>的特定项目的，根据该特定项目的预算中将形成资产的支出金额和计入费用的支出金额的相对比例进行划分，对该划分比例 需在每个资产负债表日进行复核，必要时进行变更；</w:t>
      </w:r>
      <w:r>
        <w:rPr>
          <w:color w:val="000000"/>
          <w:spacing w:val="0"/>
          <w:w w:val="100"/>
          <w:position w:val="0"/>
          <w:sz w:val="18"/>
          <w:szCs w:val="18"/>
        </w:rPr>
        <w:t>（2）</w:t>
      </w:r>
      <w:r>
        <w:rPr>
          <w:color w:val="000000"/>
          <w:spacing w:val="0"/>
          <w:w w:val="100"/>
          <w:position w:val="0"/>
        </w:rPr>
        <w:t>政府文件中对用途仅作一般性表述，没有指明特定项目的，作为 与收益相关的政府补助。政府补助为货币性资产的，按照收到或应收的金额计量。政府补助为非货币性资产的，按照公允价 值计量；公允价值不能够可靠取得的，按照名义金额计量。按照名义金额计量的政府补助，直接计入当期损益。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FFFFFF"/>
        </w:rPr>
        <w:t>本集团对于政府补助通常在实际收到时，按照实收金额予以确认和计量。但对于期末有确凿证据表明能够符合财政扶持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w:t>
      </w:r>
    </w:p>
    <w:p>
      <w:pPr>
        <w:pStyle w:val="Style25"/>
        <w:keepNext w:val="0"/>
        <w:keepLines w:val="0"/>
        <w:widowControl w:val="0"/>
        <w:shd w:val="clear" w:color="auto" w:fill="auto"/>
        <w:bidi w:val="0"/>
        <w:spacing w:before="0" w:after="0" w:line="312" w:lineRule="exact"/>
        <w:ind w:left="0" w:right="0" w:firstLine="0"/>
        <w:jc w:val="left"/>
      </w:pPr>
      <w:bookmarkStart w:id="931" w:name="bookmark931"/>
      <w:r>
        <w:rPr>
          <w:color w:val="000000"/>
          <w:spacing w:val="0"/>
          <w:w w:val="100"/>
          <w:position w:val="0"/>
        </w:rPr>
        <w:t>（</w:t>
      </w:r>
      <w:bookmarkEnd w:id="931"/>
      <w:r>
        <w:rPr>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color w:val="000000"/>
          <w:spacing w:val="0"/>
          <w:w w:val="100"/>
          <w:position w:val="0"/>
          <w:sz w:val="18"/>
          <w:szCs w:val="18"/>
        </w:rPr>
        <w:t>（2）</w:t>
      </w:r>
      <w:r>
        <w:rPr>
          <w:color w:val="000000"/>
          <w:spacing w:val="0"/>
          <w:w w:val="100"/>
          <w:position w:val="0"/>
        </w:rPr>
        <w:t>所依据的是当地财政部门正式发布并按照《政府信息公开条例》的规定予以主动 公开的财政扶持项目及其财政资金管理办法，且该管理办法应当是普惠性的（任何符合规定条件的企业均可申请），而不是 专门针对特定企业制定的；</w:t>
      </w:r>
      <w:r>
        <w:rPr>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 的，因而可以合理保证其可在规定期限内收到；</w:t>
      </w:r>
      <w:r>
        <w:rPr>
          <w:color w:val="000000"/>
          <w:spacing w:val="0"/>
          <w:w w:val="100"/>
          <w:position w:val="0"/>
          <w:sz w:val="18"/>
          <w:szCs w:val="18"/>
        </w:rPr>
        <w:t>（4）</w:t>
      </w:r>
      <w:r>
        <w:rPr>
          <w:color w:val="000000"/>
          <w:spacing w:val="0"/>
          <w:w w:val="100"/>
          <w:position w:val="0"/>
        </w:rPr>
        <w:t>根据本集团和该补助事项的具体情况，应满足的其他相关条件（如有）。</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与资产相关的政府补助，确认为递延收益，并在相关资产的使用寿命内按照合理、系统的方法分期计入当期损益。与收 益相关的政府补助，用于补偿以后期间的相关成本费用或损失的，确认为递延收益，并在确认相关成本费用或损失的期间计 入当期损益；用于补偿已经发生的相关成本费用或损失的，直接计入当期损益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与本集团日常活动相关的政府补助，按照经济业务的实质，计入其他收益或冲减相关成本费用；与日常活动无关的政府 补助，计入营业外收支。</w:t>
      </w:r>
    </w:p>
    <w:p>
      <w:pPr>
        <w:pStyle w:val="Style25"/>
        <w:keepNext w:val="0"/>
        <w:keepLines w:val="0"/>
        <w:widowControl w:val="0"/>
        <w:shd w:val="clear" w:color="auto" w:fill="auto"/>
        <w:bidi w:val="0"/>
        <w:spacing w:before="0" w:after="400" w:line="312" w:lineRule="exact"/>
        <w:ind w:left="0" w:right="0"/>
        <w:jc w:val="both"/>
      </w:pPr>
      <w:r>
        <w:rPr>
          <w:color w:val="000000"/>
          <w:spacing w:val="0"/>
          <w:w w:val="100"/>
          <w:position w:val="0"/>
        </w:rPr>
        <w:t>已确认的政府补助需要退回时，存在相关递延收益余额的，冲减相关递延收益账面余额，超出部分计入当期损益；属于 其他情况的，直接计入当期损益。</w:t>
      </w:r>
    </w:p>
    <w:p>
      <w:pPr>
        <w:pStyle w:val="Style28"/>
        <w:keepNext/>
        <w:keepLines/>
        <w:widowControl w:val="0"/>
        <w:shd w:val="clear" w:color="auto" w:fill="auto"/>
        <w:bidi w:val="0"/>
        <w:spacing w:before="0" w:after="260" w:line="24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4</w:t>
      </w:r>
      <w:bookmarkEnd w:id="934"/>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2"/>
      <w:bookmarkEnd w:id="933"/>
      <w:bookmarkEnd w:id="935"/>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当期所得税</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递延所得税资产及递延所得税负债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合营企业投资相关的应纳税暂时性差异，如果本集团能够控制暂时性差异转回的时间，而且该暂时性差异在可预见的未来很 可能不会转回，也不予确认有关的递延所得税负债。除上述例外情况，本集团确认其他所有应纳税暂时性差异产生的递延所 得税负债。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所得额，不予确认有关的递延所得税资产。除上述例外情况，本集团以很可能取得用来抵扣可抵扣暂时性差异的应纳税所得 额为限，确认其他可抵扣暂时性差异产生的递延所得税资产。</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资产负债表日，对于递延所得税资产和递延所得税负债，根据税法规定，按照预期收回相关资产或清偿相关负债期间的 </w:t>
      </w:r>
      <w:r>
        <w:rPr>
          <w:color w:val="000000"/>
          <w:spacing w:val="0"/>
          <w:w w:val="100"/>
          <w:position w:val="0"/>
        </w:rPr>
        <w:t>适用税率计量。</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所得税费用</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所得税费用包括当期所得税和递延所得税。</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所得税的抵销</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当拥有以净额结算的法定权利，且意图以净额结算或取得资产、清偿负债同时进行时，本集团当期所得税资产及当期所 得税负债以抵销后的净额列报。</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转回的期间内，涉及的纳税主体意图以净额结算当期所得税资产和负债或是同时取得资产、清偿负债时，本集团递延所得税 资产及递延所得税负债以抵销后的净额列报。</w:t>
      </w:r>
    </w:p>
    <w:p>
      <w:pPr>
        <w:pStyle w:val="Style28"/>
        <w:keepNext/>
        <w:keepLines/>
        <w:widowControl w:val="0"/>
        <w:shd w:val="clear" w:color="auto" w:fill="auto"/>
        <w:bidi w:val="0"/>
        <w:spacing w:before="0" w:after="380" w:line="240" w:lineRule="auto"/>
        <w:ind w:left="0" w:right="0" w:firstLine="0"/>
        <w:jc w:val="left"/>
      </w:pPr>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936"/>
      <w:bookmarkEnd w:id="937"/>
      <w:bookmarkEnd w:id="938"/>
    </w:p>
    <w:p>
      <w:pPr>
        <w:pStyle w:val="Style38"/>
        <w:keepNext/>
        <w:keepLines/>
        <w:widowControl w:val="0"/>
        <w:shd w:val="clear" w:color="auto" w:fill="auto"/>
        <w:bidi w:val="0"/>
        <w:spacing w:before="0" w:after="26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39"/>
      <w:bookmarkEnd w:id="940"/>
      <w:bookmarkEnd w:id="942"/>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以下租赁会计政策适用于</w:t>
      </w:r>
      <w:r>
        <w:rPr>
          <w:color w:val="000000"/>
          <w:spacing w:val="0"/>
          <w:w w:val="100"/>
          <w:position w:val="0"/>
          <w:sz w:val="18"/>
          <w:szCs w:val="18"/>
        </w:rPr>
        <w:t>2021</w:t>
      </w:r>
      <w:r>
        <w:rPr>
          <w:color w:val="000000"/>
          <w:spacing w:val="0"/>
          <w:w w:val="100"/>
          <w:position w:val="0"/>
        </w:rPr>
        <w:t>年度及以后：</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租赁是指本公司让渡或取得了在一定期间内控制一项或多项已识别资产使用的权利以换取或支付对价的合同。在一项合 同开始日，本公司评估合同是否为租赁或包含租赁。</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sz w:val="18"/>
          <w:szCs w:val="18"/>
        </w:rPr>
        <w:t>（1）</w:t>
      </w:r>
      <w:r>
        <w:rPr>
          <w:color w:val="000000"/>
          <w:spacing w:val="0"/>
          <w:w w:val="100"/>
          <w:position w:val="0"/>
        </w:rPr>
        <w:t>本公司作为承租人</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本公司租赁资产的类别主要为房屋建筑物。</w:t>
      </w:r>
    </w:p>
    <w:p>
      <w:pPr>
        <w:pStyle w:val="Style25"/>
        <w:keepNext w:val="0"/>
        <w:keepLines w:val="0"/>
        <w:widowControl w:val="0"/>
        <w:numPr>
          <w:ilvl w:val="0"/>
          <w:numId w:val="21"/>
        </w:numPr>
        <w:shd w:val="clear" w:color="auto" w:fill="auto"/>
        <w:tabs>
          <w:tab w:pos="753" w:val="left"/>
        </w:tabs>
        <w:bidi w:val="0"/>
        <w:spacing w:before="0" w:after="0" w:line="307" w:lineRule="exact"/>
        <w:ind w:left="0" w:right="0"/>
        <w:jc w:val="both"/>
      </w:pPr>
      <w:bookmarkStart w:id="943" w:name="bookmark943"/>
      <w:bookmarkEnd w:id="943"/>
      <w:r>
        <w:rPr>
          <w:color w:val="000000"/>
          <w:spacing w:val="0"/>
          <w:w w:val="100"/>
          <w:position w:val="0"/>
        </w:rPr>
        <w:t>初始计量</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在租赁期开始日，本公司将可在租赁期内使用租赁资产的权利确认为使用权资产，将尚未支付的租赁付款额的现值确认 为租赁负债，短期租赁和低价值资产租赁除外。在计算租赁付款额的现值时，本公司采用租赁内含利率作为折现率；无法确 定租赁内含利率的，采用承租人增量借款利率作为折现率。</w:t>
      </w:r>
    </w:p>
    <w:p>
      <w:pPr>
        <w:pStyle w:val="Style25"/>
        <w:keepNext w:val="0"/>
        <w:keepLines w:val="0"/>
        <w:widowControl w:val="0"/>
        <w:numPr>
          <w:ilvl w:val="0"/>
          <w:numId w:val="21"/>
        </w:numPr>
        <w:shd w:val="clear" w:color="auto" w:fill="auto"/>
        <w:tabs>
          <w:tab w:pos="753" w:val="left"/>
        </w:tabs>
        <w:bidi w:val="0"/>
        <w:spacing w:before="0" w:after="0" w:line="307" w:lineRule="exact"/>
        <w:ind w:left="0" w:right="0"/>
        <w:jc w:val="both"/>
      </w:pPr>
      <w:bookmarkStart w:id="944" w:name="bookmark944"/>
      <w:bookmarkEnd w:id="944"/>
      <w:r>
        <w:rPr>
          <w:color w:val="000000"/>
          <w:spacing w:val="0"/>
          <w:w w:val="100"/>
          <w:position w:val="0"/>
        </w:rPr>
        <w:t>后续计量</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本公司自租赁期开始的当月对使用权资产计提折旧，能够合理确定租赁期届满时取得租赁资产所有权的，本公司在租赁 资产剩余使用寿命内计提折旧。无法合理确定租赁期届满时能够取得租赁资产所有权的，本公司在租赁期与租赁资产剩余使 用寿命两者孰短的期间内计提折旧。</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对于租赁负债，本公司按照固定的周期性利率计算其在租赁期内各期间的利息费用，计入当期损益或计入相关资产成本。 未纳入租赁负债计量的可变租赁付款额在实际发生时计入当期损益或相关资产成本。</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发生变动、购买选择权、续租选择权或终止选择权的评估结果或实际行权情况发生变化时，本公司按照变动后的租赁付款额 的现值重新计量租赁负债，并相应调整使用权资产的账面价值。使用权资产账面价值已调减至零，但租赁负债仍需进一步调 减的，本公司将剩余金额计入当期损益。</w:t>
      </w:r>
    </w:p>
    <w:p>
      <w:pPr>
        <w:pStyle w:val="Style25"/>
        <w:keepNext w:val="0"/>
        <w:keepLines w:val="0"/>
        <w:widowControl w:val="0"/>
        <w:numPr>
          <w:ilvl w:val="0"/>
          <w:numId w:val="21"/>
        </w:numPr>
        <w:shd w:val="clear" w:color="auto" w:fill="auto"/>
        <w:tabs>
          <w:tab w:pos="753" w:val="left"/>
        </w:tabs>
        <w:bidi w:val="0"/>
        <w:spacing w:before="0" w:after="0" w:line="322" w:lineRule="exact"/>
        <w:ind w:left="0" w:right="0"/>
        <w:jc w:val="both"/>
      </w:pPr>
      <w:bookmarkStart w:id="945" w:name="bookmark945"/>
      <w:bookmarkEnd w:id="945"/>
      <w:r>
        <w:rPr>
          <w:color w:val="000000"/>
          <w:spacing w:val="0"/>
          <w:w w:val="100"/>
          <w:position w:val="0"/>
        </w:rPr>
        <w:t>短期租赁和低价值资产租赁</w:t>
      </w:r>
    </w:p>
    <w:p>
      <w:pPr>
        <w:pStyle w:val="Style25"/>
        <w:keepNext w:val="0"/>
        <w:keepLines w:val="0"/>
        <w:widowControl w:val="0"/>
        <w:shd w:val="clear" w:color="auto" w:fill="auto"/>
        <w:bidi w:val="0"/>
        <w:spacing w:before="0" w:after="0" w:line="322" w:lineRule="exact"/>
        <w:ind w:left="0" w:right="0"/>
        <w:jc w:val="both"/>
      </w:pPr>
      <w:r>
        <w:rPr>
          <w:color w:val="000000"/>
          <w:spacing w:val="0"/>
          <w:w w:val="100"/>
          <w:position w:val="0"/>
        </w:rPr>
        <w:t>对于短期租赁（在租赁开始日租赁期不超过</w:t>
      </w:r>
      <w:r>
        <w:rPr>
          <w:color w:val="000000"/>
          <w:spacing w:val="0"/>
          <w:w w:val="100"/>
          <w:position w:val="0"/>
          <w:sz w:val="18"/>
          <w:szCs w:val="18"/>
        </w:rPr>
        <w:t>12</w:t>
      </w:r>
      <w:r>
        <w:rPr>
          <w:color w:val="000000"/>
          <w:spacing w:val="0"/>
          <w:w w:val="100"/>
          <w:position w:val="0"/>
        </w:rPr>
        <w:t>个月的租赁）和低价值资产租赁，本公司采取简化处理方法，不确认使用 权资产和租赁负债，而在租赁期内各个期间按照直线法或其他系统合理的方法将租赁付款额计入相关资产成本或当期损益。</w:t>
      </w:r>
    </w:p>
    <w:p>
      <w:pPr>
        <w:pStyle w:val="Style25"/>
        <w:keepNext w:val="0"/>
        <w:keepLines w:val="0"/>
        <w:widowControl w:val="0"/>
        <w:numPr>
          <w:ilvl w:val="0"/>
          <w:numId w:val="21"/>
        </w:numPr>
        <w:shd w:val="clear" w:color="auto" w:fill="auto"/>
        <w:tabs>
          <w:tab w:pos="753" w:val="left"/>
        </w:tabs>
        <w:bidi w:val="0"/>
        <w:spacing w:before="0" w:after="0" w:line="322" w:lineRule="exact"/>
        <w:ind w:left="0" w:right="0"/>
        <w:jc w:val="both"/>
      </w:pPr>
      <w:bookmarkStart w:id="946" w:name="bookmark946"/>
      <w:bookmarkEnd w:id="946"/>
      <w:r>
        <w:rPr>
          <w:color w:val="000000"/>
          <w:spacing w:val="0"/>
          <w:w w:val="100"/>
          <w:position w:val="0"/>
        </w:rPr>
        <w:t>租赁变更</w:t>
      </w:r>
    </w:p>
    <w:p>
      <w:pPr>
        <w:pStyle w:val="Style25"/>
        <w:keepNext w:val="0"/>
        <w:keepLines w:val="0"/>
        <w:widowControl w:val="0"/>
        <w:shd w:val="clear" w:color="auto" w:fill="auto"/>
        <w:bidi w:val="0"/>
        <w:spacing w:before="0" w:after="0" w:line="322" w:lineRule="exact"/>
        <w:ind w:left="0" w:right="0"/>
        <w:jc w:val="both"/>
      </w:pPr>
      <w:r>
        <w:rPr>
          <w:color w:val="000000"/>
          <w:spacing w:val="0"/>
          <w:w w:val="100"/>
          <w:position w:val="0"/>
        </w:rPr>
        <w:t>租赁发生变更且同时符合下列条件的，本公司将该租赁变更作为一项单独租赁进行会计处理：</w:t>
      </w:r>
    </w:p>
    <w:p>
      <w:pPr>
        <w:pStyle w:val="Style25"/>
        <w:keepNext w:val="0"/>
        <w:keepLines w:val="0"/>
        <w:widowControl w:val="0"/>
        <w:shd w:val="clear" w:color="auto" w:fill="auto"/>
        <w:bidi w:val="0"/>
        <w:spacing w:before="0" w:after="0" w:line="310" w:lineRule="exact"/>
        <w:ind w:left="0" w:right="0"/>
        <w:jc w:val="both"/>
      </w:pPr>
      <w:bookmarkStart w:id="947" w:name="bookmark947"/>
      <w:r>
        <w:rPr>
          <w:color w:val="000000"/>
          <w:spacing w:val="0"/>
          <w:w w:val="100"/>
          <w:position w:val="0"/>
          <w:sz w:val="18"/>
          <w:szCs w:val="18"/>
        </w:rPr>
        <w:t>A</w:t>
      </w:r>
      <w:bookmarkEnd w:id="947"/>
      <w:r>
        <w:rPr>
          <w:color w:val="000000"/>
          <w:spacing w:val="0"/>
          <w:w w:val="100"/>
          <w:position w:val="0"/>
        </w:rPr>
        <w:t>、</w:t>
      </w:r>
      <w:r>
        <w:rPr>
          <w:color w:val="000000"/>
          <w:spacing w:val="0"/>
          <w:w w:val="100"/>
          <w:position w:val="0"/>
        </w:rPr>
        <w:t>该租赁变更通过增加一项或多项租赁资产的使用权而扩大了租赁范围；</w:t>
      </w:r>
    </w:p>
    <w:p>
      <w:pPr>
        <w:pStyle w:val="Style25"/>
        <w:keepNext w:val="0"/>
        <w:keepLines w:val="0"/>
        <w:widowControl w:val="0"/>
        <w:shd w:val="clear" w:color="auto" w:fill="auto"/>
        <w:bidi w:val="0"/>
        <w:spacing w:before="0" w:after="0" w:line="314" w:lineRule="exact"/>
        <w:ind w:left="0" w:right="0"/>
        <w:jc w:val="both"/>
      </w:pPr>
      <w:bookmarkStart w:id="948" w:name="bookmark948"/>
      <w:r>
        <w:rPr>
          <w:color w:val="000000"/>
          <w:spacing w:val="0"/>
          <w:w w:val="100"/>
          <w:position w:val="0"/>
          <w:sz w:val="18"/>
          <w:szCs w:val="18"/>
        </w:rPr>
        <w:t>B</w:t>
      </w:r>
      <w:bookmarkEnd w:id="948"/>
      <w:r>
        <w:rPr>
          <w:color w:val="000000"/>
          <w:spacing w:val="0"/>
          <w:w w:val="100"/>
          <w:position w:val="0"/>
        </w:rPr>
        <w:t>、</w:t>
      </w:r>
      <w:r>
        <w:rPr>
          <w:color w:val="000000"/>
          <w:spacing w:val="0"/>
          <w:w w:val="100"/>
          <w:position w:val="0"/>
        </w:rPr>
        <w:t>增加的对价与租赁范围扩大部分的单独价格按该合同情况调整后的金额相当。</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租赁变更未作为一项单独租赁进行会计处理的，（除新冠肺炎疫情直接引发的合同变更采用简化方法外，）在租赁变更 生效日，本公司重新分摊变更后合同的对价，重新确定租赁期，并按照变更后租赁付款额和修订后的折现率计算的现值重新 计量租赁负债。</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租赁变更导致租赁范围缩小或租赁期缩短的，本公司相应调减使用权资产的账面价值，并将部分终止或完全终止租赁的 相关利得或损失计入当期损益。其他租赁变更导致租赁负债重新计量的，本公司相应调整使用权资产的账面价值。</w:t>
      </w:r>
    </w:p>
    <w:p>
      <w:pPr>
        <w:pStyle w:val="Style25"/>
        <w:keepNext w:val="0"/>
        <w:keepLines w:val="0"/>
        <w:widowControl w:val="0"/>
        <w:shd w:val="clear" w:color="auto" w:fill="auto"/>
        <w:tabs>
          <w:tab w:pos="805" w:val="left"/>
        </w:tabs>
        <w:bidi w:val="0"/>
        <w:spacing w:before="0" w:after="0" w:line="314" w:lineRule="exact"/>
        <w:ind w:left="0" w:right="0"/>
        <w:jc w:val="both"/>
      </w:pPr>
      <w:bookmarkStart w:id="949" w:name="bookmark949"/>
      <w:r>
        <w:rPr>
          <w:color w:val="000000"/>
          <w:spacing w:val="0"/>
          <w:w w:val="100"/>
          <w:position w:val="0"/>
          <w:sz w:val="18"/>
          <w:szCs w:val="18"/>
        </w:rPr>
        <w:t>（</w:t>
      </w:r>
      <w:bookmarkEnd w:id="949"/>
      <w:r>
        <w:rPr>
          <w:color w:val="000000"/>
          <w:spacing w:val="0"/>
          <w:w w:val="100"/>
          <w:position w:val="0"/>
          <w:sz w:val="18"/>
          <w:szCs w:val="18"/>
        </w:rPr>
        <w:t>2）</w:t>
        <w:tab/>
      </w:r>
      <w:r>
        <w:rPr>
          <w:color w:val="000000"/>
          <w:spacing w:val="0"/>
          <w:w w:val="100"/>
          <w:position w:val="0"/>
        </w:rPr>
        <w:t>本公司作为出租人</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本公司在租赁开始日，基于交易的实质，将租赁分为融资租赁和经营租赁。融资租赁是指实质上转移了与租赁资产所有 权有关的几乎全部风险和报酬的租赁。经营租赁是指除融资租赁以外的其他租赁。</w:t>
      </w:r>
    </w:p>
    <w:p>
      <w:pPr>
        <w:pStyle w:val="Style25"/>
        <w:keepNext w:val="0"/>
        <w:keepLines w:val="0"/>
        <w:widowControl w:val="0"/>
        <w:numPr>
          <w:ilvl w:val="0"/>
          <w:numId w:val="23"/>
        </w:numPr>
        <w:shd w:val="clear" w:color="auto" w:fill="auto"/>
        <w:tabs>
          <w:tab w:pos="750" w:val="left"/>
        </w:tabs>
        <w:bidi w:val="0"/>
        <w:spacing w:before="0" w:after="0" w:line="314" w:lineRule="exact"/>
        <w:ind w:left="0" w:right="0"/>
        <w:jc w:val="both"/>
      </w:pPr>
      <w:bookmarkStart w:id="950" w:name="bookmark950"/>
      <w:bookmarkEnd w:id="950"/>
      <w:r>
        <w:rPr>
          <w:color w:val="000000"/>
          <w:spacing w:val="0"/>
          <w:w w:val="100"/>
          <w:position w:val="0"/>
        </w:rPr>
        <w:t>经营租赁</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本公司采用直线法将经营租赁的租赁收款额确认为租赁期内各期间的租金收入。与经营租赁有关的未计入租赁收款额的 可变租赁付款额，于实际发生时计入当期损益。</w:t>
      </w:r>
    </w:p>
    <w:p>
      <w:pPr>
        <w:pStyle w:val="Style25"/>
        <w:keepNext w:val="0"/>
        <w:keepLines w:val="0"/>
        <w:widowControl w:val="0"/>
        <w:numPr>
          <w:ilvl w:val="0"/>
          <w:numId w:val="23"/>
        </w:numPr>
        <w:shd w:val="clear" w:color="auto" w:fill="auto"/>
        <w:tabs>
          <w:tab w:pos="750" w:val="left"/>
        </w:tabs>
        <w:bidi w:val="0"/>
        <w:spacing w:before="0" w:after="0" w:line="314" w:lineRule="exact"/>
        <w:ind w:left="0" w:right="0"/>
        <w:jc w:val="both"/>
      </w:pPr>
      <w:bookmarkStart w:id="951" w:name="bookmark951"/>
      <w:bookmarkEnd w:id="951"/>
      <w:r>
        <w:rPr>
          <w:color w:val="000000"/>
          <w:spacing w:val="0"/>
          <w:w w:val="100"/>
          <w:position w:val="0"/>
        </w:rPr>
        <w:t>融资租赁</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于租赁期开始日，本公司确认应收融资租赁款，并终止确认融资租赁资产。应收融资租赁款以租赁投资净额（未担保余 值和租赁期开始日尚未收到的租赁收款额按照租赁内含利率折现的现值之和）进行初始计量，并按照固定的周期性利率计算 确认租赁期内的利息收入。本公司取得的未纳入租赁投资净额计量的可变租赁付款额在实际发生时计入当期损益。</w:t>
      </w:r>
    </w:p>
    <w:p>
      <w:pPr>
        <w:pStyle w:val="Style25"/>
        <w:keepNext w:val="0"/>
        <w:keepLines w:val="0"/>
        <w:widowControl w:val="0"/>
        <w:numPr>
          <w:ilvl w:val="0"/>
          <w:numId w:val="23"/>
        </w:numPr>
        <w:shd w:val="clear" w:color="auto" w:fill="auto"/>
        <w:tabs>
          <w:tab w:pos="750" w:val="left"/>
        </w:tabs>
        <w:bidi w:val="0"/>
        <w:spacing w:before="0" w:after="0" w:line="314" w:lineRule="exact"/>
        <w:ind w:left="0" w:right="0"/>
        <w:jc w:val="both"/>
      </w:pPr>
      <w:bookmarkStart w:id="952" w:name="bookmark952"/>
      <w:bookmarkEnd w:id="952"/>
      <w:r>
        <w:rPr>
          <w:color w:val="000000"/>
          <w:spacing w:val="0"/>
          <w:w w:val="100"/>
          <w:position w:val="0"/>
        </w:rPr>
        <w:t>租赁变更</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经营租赁发生变更的，本公司自变更生效日起将其作为一项新租赁进行会计处理，与变更前租赁有关的预收或应收租赁 收款额视为新租赁的收款额。</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融资租赁发生变更且同时符合下列条件的，本公司将该变更作为一项单独租赁进行会计处理：</w:t>
      </w:r>
    </w:p>
    <w:p>
      <w:pPr>
        <w:pStyle w:val="Style25"/>
        <w:keepNext w:val="0"/>
        <w:keepLines w:val="0"/>
        <w:widowControl w:val="0"/>
        <w:shd w:val="clear" w:color="auto" w:fill="auto"/>
        <w:tabs>
          <w:tab w:pos="805" w:val="left"/>
        </w:tabs>
        <w:bidi w:val="0"/>
        <w:spacing w:before="0" w:after="0" w:line="314" w:lineRule="exact"/>
        <w:ind w:left="0" w:right="0"/>
        <w:jc w:val="both"/>
      </w:pPr>
      <w:bookmarkStart w:id="953" w:name="bookmark953"/>
      <w:r>
        <w:rPr>
          <w:color w:val="000000"/>
          <w:spacing w:val="0"/>
          <w:w w:val="100"/>
          <w:position w:val="0"/>
          <w:sz w:val="18"/>
          <w:szCs w:val="18"/>
        </w:rPr>
        <w:t>A</w:t>
      </w:r>
      <w:bookmarkEnd w:id="953"/>
      <w:r>
        <w:rPr>
          <w:color w:val="000000"/>
          <w:spacing w:val="0"/>
          <w:w w:val="100"/>
          <w:position w:val="0"/>
        </w:rPr>
        <w:t>、</w:t>
        <w:tab/>
        <w:t>该变更通过增加一项或多项租赁资产的使用权而扩大了租赁范围；</w:t>
      </w:r>
    </w:p>
    <w:p>
      <w:pPr>
        <w:pStyle w:val="Style25"/>
        <w:keepNext w:val="0"/>
        <w:keepLines w:val="0"/>
        <w:widowControl w:val="0"/>
        <w:shd w:val="clear" w:color="auto" w:fill="auto"/>
        <w:tabs>
          <w:tab w:pos="805" w:val="left"/>
        </w:tabs>
        <w:bidi w:val="0"/>
        <w:spacing w:before="0" w:after="0" w:line="314" w:lineRule="exact"/>
        <w:ind w:left="0" w:right="0"/>
        <w:jc w:val="both"/>
      </w:pPr>
      <w:bookmarkStart w:id="954" w:name="bookmark954"/>
      <w:r>
        <w:rPr>
          <w:color w:val="000000"/>
          <w:spacing w:val="0"/>
          <w:w w:val="100"/>
          <w:position w:val="0"/>
          <w:sz w:val="18"/>
          <w:szCs w:val="18"/>
        </w:rPr>
        <w:t>B</w:t>
      </w:r>
      <w:bookmarkEnd w:id="954"/>
      <w:r>
        <w:rPr>
          <w:color w:val="000000"/>
          <w:spacing w:val="0"/>
          <w:w w:val="100"/>
          <w:position w:val="0"/>
        </w:rPr>
        <w:t>、</w:t>
        <w:tab/>
      </w:r>
      <w:r>
        <w:rPr>
          <w:color w:val="000000"/>
          <w:spacing w:val="0"/>
          <w:w w:val="100"/>
          <w:position w:val="0"/>
        </w:rPr>
        <w:t>增加的对价与租赁范围扩大部分的单独价格按该合同情况调整后的金额相当。</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融资租赁的变更未作为一项单独租赁进行会计处理的，本公司分下列情形对变更后的租赁进行处理：</w:t>
      </w:r>
    </w:p>
    <w:p>
      <w:pPr>
        <w:pStyle w:val="Style25"/>
        <w:keepNext w:val="0"/>
        <w:keepLines w:val="0"/>
        <w:widowControl w:val="0"/>
        <w:shd w:val="clear" w:color="auto" w:fill="auto"/>
        <w:tabs>
          <w:tab w:pos="679" w:val="left"/>
        </w:tabs>
        <w:bidi w:val="0"/>
        <w:spacing w:before="0" w:after="0" w:line="314" w:lineRule="exact"/>
        <w:ind w:left="0" w:right="0"/>
        <w:jc w:val="both"/>
      </w:pPr>
      <w:bookmarkStart w:id="955" w:name="bookmark955"/>
      <w:r>
        <w:rPr>
          <w:color w:val="000000"/>
          <w:spacing w:val="0"/>
          <w:w w:val="100"/>
          <w:position w:val="0"/>
          <w:sz w:val="18"/>
          <w:szCs w:val="18"/>
        </w:rPr>
        <w:t>A</w:t>
      </w:r>
      <w:bookmarkEnd w:id="955"/>
      <w:r>
        <w:rPr>
          <w:color w:val="000000"/>
          <w:spacing w:val="0"/>
          <w:w w:val="100"/>
          <w:position w:val="0"/>
        </w:rPr>
        <w:t>、</w:t>
        <w:tab/>
      </w:r>
      <w:r>
        <w:rPr>
          <w:color w:val="000000"/>
          <w:spacing w:val="0"/>
          <w:w w:val="100"/>
          <w:position w:val="0"/>
        </w:rPr>
        <w:t>假如变更在租赁开始日生效，该租赁会被分类为经营租赁的，本公司自租赁变更生效日开始将其作为一项新租赁进 行会计处理，并以租赁变更生效日前的租赁投资净额作为租赁资产的账面价值；</w:t>
      </w:r>
    </w:p>
    <w:p>
      <w:pPr>
        <w:pStyle w:val="Style25"/>
        <w:keepNext w:val="0"/>
        <w:keepLines w:val="0"/>
        <w:widowControl w:val="0"/>
        <w:shd w:val="clear" w:color="auto" w:fill="auto"/>
        <w:tabs>
          <w:tab w:pos="684" w:val="left"/>
        </w:tabs>
        <w:bidi w:val="0"/>
        <w:spacing w:before="0" w:after="0" w:line="314" w:lineRule="exact"/>
        <w:ind w:left="0" w:right="0"/>
        <w:jc w:val="both"/>
      </w:pPr>
      <w:bookmarkStart w:id="956" w:name="bookmark956"/>
      <w:r>
        <w:rPr>
          <w:color w:val="000000"/>
          <w:spacing w:val="0"/>
          <w:w w:val="100"/>
          <w:position w:val="0"/>
          <w:sz w:val="18"/>
          <w:szCs w:val="18"/>
        </w:rPr>
        <w:t>B</w:t>
      </w:r>
      <w:bookmarkEnd w:id="956"/>
      <w:r>
        <w:rPr>
          <w:color w:val="000000"/>
          <w:spacing w:val="0"/>
          <w:w w:val="100"/>
          <w:position w:val="0"/>
        </w:rPr>
        <w:t>、</w:t>
        <w:tab/>
      </w:r>
      <w:r>
        <w:rPr>
          <w:color w:val="000000"/>
          <w:spacing w:val="0"/>
          <w:w w:val="100"/>
          <w:position w:val="0"/>
        </w:rPr>
        <w:t>假如变更在租赁开始日生效，该租赁会被分类为融资租赁的，本公司按照《企业会计准则第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 和计量》关于修改或重新议定合同的规定进行会计处理。</w:t>
      </w:r>
    </w:p>
    <w:p>
      <w:pPr>
        <w:pStyle w:val="Style25"/>
        <w:keepNext w:val="0"/>
        <w:keepLines w:val="0"/>
        <w:widowControl w:val="0"/>
        <w:shd w:val="clear" w:color="auto" w:fill="auto"/>
        <w:tabs>
          <w:tab w:pos="805" w:val="left"/>
        </w:tabs>
        <w:bidi w:val="0"/>
        <w:spacing w:before="0" w:after="0" w:line="314" w:lineRule="exact"/>
        <w:ind w:left="0" w:right="0"/>
        <w:jc w:val="both"/>
      </w:pPr>
      <w:bookmarkStart w:id="957" w:name="bookmark957"/>
      <w:r>
        <w:rPr>
          <w:color w:val="000000"/>
          <w:spacing w:val="0"/>
          <w:w w:val="100"/>
          <w:position w:val="0"/>
          <w:sz w:val="18"/>
          <w:szCs w:val="18"/>
        </w:rPr>
        <w:t>（</w:t>
      </w:r>
      <w:bookmarkEnd w:id="957"/>
      <w:r>
        <w:rPr>
          <w:color w:val="000000"/>
          <w:spacing w:val="0"/>
          <w:w w:val="100"/>
          <w:position w:val="0"/>
          <w:sz w:val="18"/>
          <w:szCs w:val="18"/>
        </w:rPr>
        <w:t>3）</w:t>
        <w:tab/>
      </w:r>
      <w:r>
        <w:rPr>
          <w:color w:val="000000"/>
          <w:spacing w:val="0"/>
          <w:w w:val="100"/>
          <w:position w:val="0"/>
        </w:rPr>
        <w:t>新冠肺炎疫情相关租金减让会计处理</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本公司的全部租赁合同，只要符合《新冠肺炎疫情相关租金减让会计处理规定》（财会</w:t>
      </w:r>
      <w:r>
        <w:rPr>
          <w:color w:val="000000"/>
          <w:spacing w:val="0"/>
          <w:w w:val="100"/>
          <w:position w:val="0"/>
          <w:sz w:val="18"/>
          <w:szCs w:val="18"/>
        </w:rPr>
        <w:t>[2020]10</w:t>
      </w:r>
      <w:r>
        <w:rPr>
          <w:color w:val="000000"/>
          <w:spacing w:val="0"/>
          <w:w w:val="100"/>
          <w:position w:val="0"/>
        </w:rPr>
        <w:t>号）和《关于调整〈新 冠肺炎疫情相关租金减让会计处理规定〉适用范围的通知》（财会〔</w:t>
      </w:r>
      <w:r>
        <w:rPr>
          <w:color w:val="000000"/>
          <w:spacing w:val="0"/>
          <w:w w:val="100"/>
          <w:position w:val="0"/>
          <w:sz w:val="18"/>
          <w:szCs w:val="18"/>
        </w:rPr>
        <w:t>2021</w:t>
      </w:r>
      <w:r>
        <w:rPr>
          <w:color w:val="000000"/>
          <w:spacing w:val="0"/>
          <w:w w:val="100"/>
          <w:position w:val="0"/>
        </w:rPr>
        <w:t>〕</w:t>
      </w:r>
      <w:r>
        <w:rPr>
          <w:color w:val="000000"/>
          <w:spacing w:val="0"/>
          <w:w w:val="100"/>
          <w:position w:val="0"/>
          <w:sz w:val="18"/>
          <w:szCs w:val="18"/>
        </w:rPr>
        <w:t>9</w:t>
      </w:r>
      <w:r>
        <w:rPr>
          <w:color w:val="000000"/>
          <w:spacing w:val="0"/>
          <w:w w:val="100"/>
          <w:position w:val="0"/>
        </w:rPr>
        <w:t>号）适用范围和条件的（即，减让后的租赁对价 较减让前减少或基本不变；减让仅针对</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日前的应付租赁付款额；综合考虑定性和定量因素后认定租赁的其他条 款和条件无重大变化），其租金减免、延期支付等租金减让，自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日起均采用如下简化方法处理：</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本公司作为承租人：</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继续按照与减让前一致的折现率计算租赁负债的利息费用并计入当期损益，继续按照与减让前一致的方法对使用权资产 进行计提折旧等后续计量。本公司将减免的租金作为可变租赁付款额，在达成减让协议等解除原租金支付义务时，按未折现 金额冲减相关资产成本或费用，同时相应调整租赁负债；延期支付租金的，在实际支付时冲减前期确认的租赁负债。对于采 用简化处理的短期租赁和低价值资产租赁，本公司继续按照与减让前一致的方法将原合同租金计入相关资产成本或费用，将 减免的租金作为可变租赁付款额，在减免期间冲减相关资产成本或费用；延期支付租金的，在原支付期间将应支付的租金确 认为应付款项，在实际支付时冲减前期确认的应付款项。</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本公司作为出租人：</w:t>
      </w:r>
    </w:p>
    <w:p>
      <w:pPr>
        <w:pStyle w:val="Style25"/>
        <w:keepNext w:val="0"/>
        <w:keepLines w:val="0"/>
        <w:widowControl w:val="0"/>
        <w:numPr>
          <w:ilvl w:val="0"/>
          <w:numId w:val="25"/>
        </w:numPr>
        <w:shd w:val="clear" w:color="auto" w:fill="auto"/>
        <w:tabs>
          <w:tab w:pos="708" w:val="left"/>
        </w:tabs>
        <w:bidi w:val="0"/>
        <w:spacing w:before="0" w:after="0" w:line="314" w:lineRule="exact"/>
        <w:ind w:left="0" w:right="0"/>
        <w:jc w:val="both"/>
      </w:pPr>
      <w:bookmarkStart w:id="958" w:name="bookmark958"/>
      <w:bookmarkEnd w:id="958"/>
      <w:r>
        <w:rPr>
          <w:color w:val="000000"/>
          <w:spacing w:val="0"/>
          <w:w w:val="100"/>
          <w:position w:val="0"/>
        </w:rPr>
        <w:t>如果租赁为经营租赁，本公司继续按照与减让前一致的方法将原合同租金确认为租赁收入。将减免的租金作为可变租 赁付款额，在减免期间冲减租赁收入；延期收取租金的，在原收取期间将应收取的租金确认为应收款项，并在实际收到时冲 减前期确认的应收款项。</w:t>
      </w:r>
    </w:p>
    <w:p>
      <w:pPr>
        <w:pStyle w:val="Style25"/>
        <w:keepNext w:val="0"/>
        <w:keepLines w:val="0"/>
        <w:widowControl w:val="0"/>
        <w:numPr>
          <w:ilvl w:val="0"/>
          <w:numId w:val="25"/>
        </w:numPr>
        <w:shd w:val="clear" w:color="auto" w:fill="auto"/>
        <w:tabs>
          <w:tab w:pos="353" w:val="left"/>
        </w:tabs>
        <w:bidi w:val="0"/>
        <w:spacing w:before="0" w:after="0" w:line="314" w:lineRule="exact"/>
        <w:ind w:left="0" w:right="0"/>
        <w:jc w:val="both"/>
      </w:pPr>
      <w:bookmarkStart w:id="959" w:name="bookmark959"/>
      <w:bookmarkEnd w:id="959"/>
      <w:r>
        <w:rPr>
          <w:color w:val="000000"/>
          <w:spacing w:val="0"/>
          <w:w w:val="100"/>
          <w:position w:val="0"/>
        </w:rPr>
        <w:t xml:space="preserve">如果租赁为融资租赁，本公司继续按照与减让前一致的折现率计算利息并确认为租赁收入。本公司将减免的租金作为 </w:t>
      </w:r>
      <w:r>
        <w:rPr>
          <w:color w:val="000000"/>
          <w:spacing w:val="0"/>
          <w:w w:val="100"/>
          <w:position w:val="0"/>
        </w:rPr>
        <w:t>可变租赁付款额，在达成减让协议等放弃原租金收取权利时，按未折现金额冲减原确认的租赁收入，不足冲减的部分计入投 资收益，同时相应调整应收融资租赁款；延期收取租金的，在实际收到时冲减前期确认的应收融资租赁款。</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以下租赁会计政策适用于</w:t>
      </w:r>
      <w:r>
        <w:rPr>
          <w:color w:val="000000"/>
          <w:spacing w:val="0"/>
          <w:w w:val="100"/>
          <w:position w:val="0"/>
          <w:sz w:val="18"/>
          <w:szCs w:val="18"/>
        </w:rPr>
        <w:t>2020</w:t>
      </w:r>
      <w:r>
        <w:rPr>
          <w:color w:val="000000"/>
          <w:spacing w:val="0"/>
          <w:w w:val="100"/>
          <w:position w:val="0"/>
        </w:rPr>
        <w:t>年度：</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融资租赁为实质上转移了与资产所有权有关的全部风险和报酬的租赁，其所有权最终可能转移，也可能不转移。融资租 赁以外的其他租赁为经营租赁。</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本集团作为承租人记录经营租赁业务</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本集团作为出租人记录经营租赁业务</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本集团作为承租人记录融资租赁业务</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未确认融资费用在租赁期内采用实际利率法计算确认当期的融资费用。或有租金于实际发生时计入当期损益。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本集团作为出租人记录融资租赁业务</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未实现融资收益在租赁期内采用实际利率法计算确认当期的融资收入。或有租金于实际发生时计入当期损益。</w:t>
      </w:r>
    </w:p>
    <w:p>
      <w:pPr>
        <w:pStyle w:val="Style38"/>
        <w:keepNext/>
        <w:keepLines/>
        <w:widowControl w:val="0"/>
        <w:shd w:val="clear" w:color="auto" w:fill="auto"/>
        <w:bidi w:val="0"/>
        <w:spacing w:before="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60"/>
      <w:bookmarkEnd w:id="961"/>
      <w:bookmarkEnd w:id="963"/>
    </w:p>
    <w:p>
      <w:pPr>
        <w:pStyle w:val="Style28"/>
        <w:keepNext/>
        <w:keepLines/>
        <w:widowControl w:val="0"/>
        <w:shd w:val="clear" w:color="auto" w:fill="auto"/>
        <w:bidi w:val="0"/>
        <w:spacing w:before="0" w:after="260" w:line="240" w:lineRule="auto"/>
        <w:ind w:left="0" w:right="0" w:firstLine="0"/>
        <w:jc w:val="left"/>
      </w:pPr>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964"/>
      <w:bookmarkEnd w:id="965"/>
      <w:bookmarkEnd w:id="966"/>
    </w:p>
    <w:p>
      <w:pPr>
        <w:pStyle w:val="Style25"/>
        <w:keepNext w:val="0"/>
        <w:keepLines w:val="0"/>
        <w:widowControl w:val="0"/>
        <w:shd w:val="clear" w:color="auto" w:fill="auto"/>
        <w:bidi w:val="0"/>
        <w:spacing w:before="0" w:after="0" w:line="310" w:lineRule="exact"/>
        <w:ind w:left="0" w:right="0"/>
        <w:jc w:val="left"/>
      </w:pPr>
      <w:r>
        <w:rPr>
          <w:color w:val="000000"/>
          <w:spacing w:val="0"/>
          <w:w w:val="100"/>
          <w:position w:val="0"/>
        </w:rPr>
        <w:t>本集团在运用会计政策过程中，由于经营活动内在的不确定性，需要对无法准确计量的报表项目的账面价值进行判断、 估计和假设。这些判断、估计和假设是基于本集团管理层过去的历史经验，并在考虑其他相关因素的基础上做出的。这些判 断、估计和假设会影响收入、费用、资产和负债的报告金额以及资产负债表日或有负债的披露。然而，这些估计的不确定性 所导致的实际结果可能与本集团管理层当前的估计存在差异，进而造成对未来受影响的资产或负债的账面金额进行重大调 整。</w:t>
      </w:r>
    </w:p>
    <w:p>
      <w:pPr>
        <w:pStyle w:val="Style25"/>
        <w:keepNext w:val="0"/>
        <w:keepLines w:val="0"/>
        <w:widowControl w:val="0"/>
        <w:shd w:val="clear" w:color="auto" w:fill="auto"/>
        <w:bidi w:val="0"/>
        <w:spacing w:before="0" w:after="0" w:line="310" w:lineRule="exact"/>
        <w:ind w:left="0" w:right="0"/>
        <w:jc w:val="left"/>
      </w:pPr>
      <w:r>
        <w:rPr>
          <w:color w:val="000000"/>
          <w:spacing w:val="0"/>
          <w:w w:val="100"/>
          <w:position w:val="0"/>
        </w:rPr>
        <w:t>本集团对前述判断、估计和假设在持续经营的基础上进行定期复核，会计估计的变更仅影响变更当期的，其影响数在变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5"/>
        <w:keepNext w:val="0"/>
        <w:keepLines w:val="0"/>
        <w:widowControl w:val="0"/>
        <w:shd w:val="clear" w:color="auto" w:fill="auto"/>
        <w:bidi w:val="0"/>
        <w:spacing w:before="0" w:after="0" w:line="310" w:lineRule="exact"/>
        <w:ind w:left="0" w:right="0"/>
        <w:jc w:val="left"/>
      </w:pPr>
      <w:r>
        <w:rPr>
          <w:color w:val="000000"/>
          <w:spacing w:val="0"/>
          <w:w w:val="100"/>
          <w:position w:val="0"/>
        </w:rPr>
        <w:t>于资产负债表日，本集团需对财务报表项目金额进行判断、估计和假设的重要领域如下：</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收入确认</w:t>
      </w:r>
      <w:r>
        <w:rPr>
          <w:color w:val="000000"/>
          <w:spacing w:val="0"/>
          <w:w w:val="100"/>
          <w:position w:val="0"/>
        </w:rPr>
        <w:t>一一</w:t>
      </w:r>
      <w:r>
        <w:rPr>
          <w:color w:val="000000"/>
          <w:spacing w:val="0"/>
          <w:w w:val="100"/>
          <w:position w:val="0"/>
        </w:rPr>
        <w:t>建造合同</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在建造合同结果可以可靠估计时，本集团采用投入法在资产负债表日确认合同收入。合同的履约进度是依照本附注四、 </w:t>
      </w:r>
      <w:r>
        <w:rPr>
          <w:color w:val="000000"/>
          <w:spacing w:val="0"/>
          <w:w w:val="100"/>
          <w:position w:val="0"/>
          <w:sz w:val="18"/>
          <w:szCs w:val="18"/>
        </w:rPr>
        <w:t>27</w:t>
      </w:r>
      <w:r>
        <w:rPr>
          <w:color w:val="000000"/>
          <w:spacing w:val="0"/>
          <w:w w:val="100"/>
          <w:position w:val="0"/>
        </w:rPr>
        <w:t>、“收入”所述方法进行确认的，在执行各该建造合同的各会计年度内累积计算。</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在确定合同履约进度、已发生的合同成本、预计合同总收入和总成本，以及合同可回收性时，需要作出重大判断。项目 管理层主要依靠过去的经验和工作作出判断。预计合同总收入和总成本，以及合同执行结果的估计变更都可能对变更当期或 以后期间的营业收入、营业成本，以及期间损益产生影响，且可能构成重大影响。</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租赁的分类</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以下与租赁相关的重大会计判断和估计适用于</w:t>
      </w:r>
      <w:r>
        <w:rPr>
          <w:color w:val="000000"/>
          <w:spacing w:val="0"/>
          <w:w w:val="100"/>
          <w:position w:val="0"/>
          <w:sz w:val="18"/>
          <w:szCs w:val="18"/>
        </w:rPr>
        <w:t>2021</w:t>
      </w:r>
      <w:r>
        <w:rPr>
          <w:color w:val="000000"/>
          <w:spacing w:val="0"/>
          <w:w w:val="100"/>
          <w:position w:val="0"/>
        </w:rPr>
        <w:t>年度。</w:t>
      </w:r>
    </w:p>
    <w:p>
      <w:pPr>
        <w:pStyle w:val="Style25"/>
        <w:keepNext w:val="0"/>
        <w:keepLines w:val="0"/>
        <w:widowControl w:val="0"/>
        <w:numPr>
          <w:ilvl w:val="0"/>
          <w:numId w:val="27"/>
        </w:numPr>
        <w:shd w:val="clear" w:color="auto" w:fill="auto"/>
        <w:tabs>
          <w:tab w:pos="707" w:val="left"/>
        </w:tabs>
        <w:bidi w:val="0"/>
        <w:spacing w:before="0" w:after="0" w:line="312" w:lineRule="exact"/>
        <w:ind w:left="0" w:right="0"/>
        <w:jc w:val="both"/>
      </w:pPr>
      <w:bookmarkStart w:id="967" w:name="bookmark967"/>
      <w:bookmarkEnd w:id="967"/>
      <w:r>
        <w:rPr>
          <w:color w:val="000000"/>
          <w:spacing w:val="0"/>
          <w:w w:val="100"/>
          <w:position w:val="0"/>
        </w:rPr>
        <w:t>租赁的识别</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本集团在识别一项合同是否为租赁或包含租赁时，需要评估是否存在一项已识别资产，且客户控制了该资产在一定期间 内的使用权。在评估时，需要考虑资产的性质、实质性替换权、以及客户是否有权获得因在该期间使用该资产所产生的几乎 全部经济利益，并能够主导该资产的使用。</w:t>
      </w:r>
    </w:p>
    <w:p>
      <w:pPr>
        <w:pStyle w:val="Style25"/>
        <w:keepNext w:val="0"/>
        <w:keepLines w:val="0"/>
        <w:widowControl w:val="0"/>
        <w:numPr>
          <w:ilvl w:val="0"/>
          <w:numId w:val="27"/>
        </w:numPr>
        <w:shd w:val="clear" w:color="auto" w:fill="auto"/>
        <w:tabs>
          <w:tab w:pos="707" w:val="left"/>
        </w:tabs>
        <w:bidi w:val="0"/>
        <w:spacing w:before="0" w:after="0" w:line="312" w:lineRule="exact"/>
        <w:ind w:left="0" w:right="0"/>
        <w:jc w:val="both"/>
      </w:pPr>
      <w:bookmarkStart w:id="968" w:name="bookmark968"/>
      <w:bookmarkEnd w:id="968"/>
      <w:r>
        <w:rPr>
          <w:color w:val="000000"/>
          <w:spacing w:val="0"/>
          <w:w w:val="100"/>
          <w:position w:val="0"/>
        </w:rPr>
        <w:t>租赁的分类</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本集团作为出租人时，将租赁分类为经营租赁和融资租赁。在进行分类时，管理层需要对是否已将与租出资产所有权有 关的全部风险和报酬实质上转移给承租人作出分析和判断。</w:t>
      </w:r>
    </w:p>
    <w:p>
      <w:pPr>
        <w:pStyle w:val="Style25"/>
        <w:keepNext w:val="0"/>
        <w:keepLines w:val="0"/>
        <w:widowControl w:val="0"/>
        <w:numPr>
          <w:ilvl w:val="0"/>
          <w:numId w:val="27"/>
        </w:numPr>
        <w:shd w:val="clear" w:color="auto" w:fill="auto"/>
        <w:tabs>
          <w:tab w:pos="707" w:val="left"/>
        </w:tabs>
        <w:bidi w:val="0"/>
        <w:spacing w:before="0" w:after="0" w:line="312" w:lineRule="exact"/>
        <w:ind w:left="0" w:right="0"/>
        <w:jc w:val="both"/>
      </w:pPr>
      <w:bookmarkStart w:id="969" w:name="bookmark969"/>
      <w:bookmarkEnd w:id="969"/>
      <w:r>
        <w:rPr>
          <w:color w:val="000000"/>
          <w:spacing w:val="0"/>
          <w:w w:val="100"/>
          <w:position w:val="0"/>
        </w:rPr>
        <w:t>租赁负债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本集团作为承租人时，租赁负债按照租赁期开始日尚未支付的租赁付款额的现值进行初始计量。在计量租赁付款额的现 值时，本集团对使用的折现率以及存在续租选择权或终止选择权的租赁合同的租赁期进行估计。在评估租赁期时，本集团综 合考虑与本集团行使选择权带来经济利益的所有相关事实和情况，包括自租赁期开始日至选择权行使日之间的事实和情况的 预期变化等。不同的判断及估计可能会影响租赁负债和使用权资产的确认，并将影响后续期间的损益。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以下与租赁相关的重大会计判断和估计适用于</w:t>
      </w:r>
      <w:r>
        <w:rPr>
          <w:color w:val="000000"/>
          <w:spacing w:val="0"/>
          <w:w w:val="100"/>
          <w:position w:val="0"/>
          <w:sz w:val="18"/>
          <w:szCs w:val="18"/>
        </w:rPr>
        <w:t>2020</w:t>
      </w:r>
      <w:r>
        <w:rPr>
          <w:color w:val="000000"/>
          <w:spacing w:val="0"/>
          <w:w w:val="100"/>
          <w:position w:val="0"/>
        </w:rPr>
        <w:t>年度。</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本集团根据《企业会计准则第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租赁》的规定，将租赁归类为经营租赁和融资租赁，在进行归类时，管理层需要 对是否已将与租出资产所有权有关的全部风险和报酬实质上转移给承租人，或者本集团是否已经实质上承担与租入资产所有 权有关的全部风险和报酬，作出分析和判断。</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金融资产减值</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本集团采用预期信用损失模型对金融工具的减值进行评估，应用预期信用损失模型需要做出重大判断和估计，需考虑所 有合理且有依据的信息，包括前瞻性信息。在做出该等判断和估计时，本集团根据历史数据结合经济政策、宏观经济指标、 行业风险、外部市场环境、技术环境、客户情况的变化等因素推断债务人信用风险的预期变动。</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存货跌价准备</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金融工具公允价值</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对不存在活跃交易市场的金融工具，本集团通过各种估值方法确定其公允价值。这些估值方法包括贴现现金流模型分析 等。估值时本集团需对未来现金流量、信用风险、市场波动率和相关性等方面进行估计，并选择适当的折现率。这些相关假 设具有不确定性，其变化会对金融工具的公允价值产生影响。权益工具投资或合同有公开报价的，本集团不将成本作为其公 允价值的最佳估计。</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长期资产减值准备</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在预计未来现金流量现值时，需要对该资产（或资产组）的产量、售价、相关经营成本以及计算现值时使用的折现率等 作出重大判断。本集团在估计可收回金额时会采用所有能够获得的相关资料，包括根据合理和可支持的假设所作出有关产量、 售价和相关经营成本的预测。</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本集团至少每年测试商誉是否发生减值。这要求对分配了商誉的资产组或者资产组组合的未来现金流量的现值进行预 计。对未来现金流量的现值进行预计时，本集团需要预计未来资产组或者资产组组合产生的现金流量，同时选择恰当的折现 率确定未来现金流量的现值。</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折旧和摊销</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本集团对投资性房地产、固定资产、使用权资产和无形资产在考虑其残值后，在使用寿命内按直线法计提折旧和摊销。 本集团定期复核使用寿命，以决定将计入每个报告期的折旧和摊销费用数额。使用寿命是本集团根据对同类资产的以往经验 并结合预期的技术更新而确定的。如果以前的估计发生重大变化，则会在未来期间对折旧和摊销费用进行调整。</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开发支出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确定资本化的金额时，本集团管理层需要作出有关资产的预计未来现金流量、适用的折现率以及预计受益期间的假设。</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日本集团自行开发的计算机软件著作权无形资产在资产负债表中的余额为人民币</w:t>
      </w:r>
      <w:r>
        <w:rPr>
          <w:color w:val="000000"/>
          <w:spacing w:val="0"/>
          <w:w w:val="100"/>
          <w:position w:val="0"/>
          <w:sz w:val="18"/>
          <w:szCs w:val="18"/>
        </w:rPr>
        <w:t xml:space="preserve">118, 959, </w:t>
      </w:r>
      <w:r>
        <w:rPr>
          <w:color w:val="000000"/>
          <w:spacing w:val="0"/>
          <w:w w:val="100"/>
          <w:position w:val="0"/>
          <w:sz w:val="18"/>
          <w:szCs w:val="18"/>
        </w:rPr>
        <w:t xml:space="preserve">366. </w:t>
      </w:r>
      <w:r>
        <w:rPr>
          <w:color w:val="000000"/>
          <w:spacing w:val="0"/>
          <w:w w:val="100"/>
          <w:position w:val="0"/>
          <w:sz w:val="18"/>
          <w:szCs w:val="18"/>
        </w:rPr>
        <w:t>06</w:t>
      </w:r>
      <w:r>
        <w:rPr>
          <w:color w:val="000000"/>
          <w:spacing w:val="0"/>
          <w:w w:val="100"/>
          <w:position w:val="0"/>
        </w:rPr>
        <w:t>元。本集 团管理层认为该业务的前景和目前的发展良好，市场对以该无形资产生产的产品的反应也证实了管理层之前对这一项目预期 收入的估计。但是日益增加的竞争也使得管理层重新考虑对市场份额和有关产品的预计毛利等方面的假设。经过全面的检视 后，本集团管理层认为即使在产品回报率出现下调的情况下，仍可以全额收回计算机软件著作权无形资产账面价值。本集团 将继续密切检视有关情况，一旦有迹象表明需要调整相关会计估计的假设，本集团将在有关迹象发生的期间作出调整。</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递延所得税资产</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在很有可能有足够的应纳税利润来抵扣亏损的限度内，本集团就所有未利用的税务亏损确认递延所得税资产。这需要本 集团管理层运用大量的判断来估计未来应纳税利润发生的时间和金额，结合纳税筹划策略，以决定应确认的递延所得税资产 的金额。</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所得税</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预计负债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本集团根据合约条款、现有知识及历史经验，对产品质量保证、预计合同亏损、延迟交货违约金等估计并计提相应准备。 在该等或有事项已经形成一项现时义务，且履行该等现时义务很可能导致经济利益流出本集团的情况下，本集团对或有事项 按履行相关现时义务所需支出的最佳估计数确认为预计负债。预计负债的确认和计量在很大程度上依赖于管理层的判断。在 进行判断过程中本集团需评估该等或有事项相关的风险、不确定性及货币时间价值等因素。</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其中，本集团会就出售、维修及改造所售商品向客户提供的售后质量维修承诺预计负债。预计负债时已考虑本集团近期 的维修经验数据，但近期的维修经验可能无法反映将来的维修情况。这项准备的任何增加或减少，均可能影响未来年度的损 益。</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公允价值计量</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本集团的某些资产和负债在财务报表中按公允价值计量。本集团的董事会已成立估价委员会（该估价委员会由本集团的 首席财务官领导），以便为公允价值计量确定适当的估值技术和输入值。在对某项资产或负债的公允价值作出估计时，本集 团采用可获得的可观察市场数据。如果无法获得第一层次输入值，本集团会聘用第三方有资质的评估师来执行估价。估价委 员会与有资质的外部估价师紧密合作，以确定适当的估值技术和相关模型的输入值。首席财务官每季度向本集团董事会呈报 估价委员会的发现，以说明导致相关资产和负债的公允价值发生波动的原因。在确定各类资产和负债的公允价值的过程中所 采用的估值技术和输入值的相关信息在附注十中披露。</w:t>
      </w:r>
    </w:p>
    <w:p>
      <w:pPr>
        <w:pStyle w:val="Style28"/>
        <w:keepNext/>
        <w:keepLines/>
        <w:widowControl w:val="0"/>
        <w:shd w:val="clear" w:color="auto" w:fill="auto"/>
        <w:bidi w:val="0"/>
        <w:spacing w:before="0" w:after="380" w:line="240" w:lineRule="auto"/>
        <w:ind w:left="0" w:right="0" w:firstLine="0"/>
        <w:jc w:val="left"/>
      </w:pPr>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970"/>
      <w:bookmarkEnd w:id="971"/>
      <w:bookmarkEnd w:id="972"/>
    </w:p>
    <w:p>
      <w:pPr>
        <w:pStyle w:val="Style38"/>
        <w:keepNext/>
        <w:keepLines/>
        <w:widowControl w:val="0"/>
        <w:shd w:val="clear" w:color="auto" w:fill="auto"/>
        <w:bidi w:val="0"/>
        <w:spacing w:before="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73"/>
      <w:bookmarkEnd w:id="974"/>
      <w:bookmarkEnd w:id="976"/>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日发布了《企业会计准则第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8"/>
          <w:szCs w:val="18"/>
        </w:rPr>
        <w:t>（2018</w:t>
      </w:r>
      <w:r>
        <w:rPr>
          <w:color w:val="000000"/>
          <w:spacing w:val="0"/>
          <w:w w:val="100"/>
          <w:position w:val="0"/>
        </w:rPr>
        <w:t>年修订）》（财会</w:t>
      </w:r>
      <w:r>
        <w:rPr>
          <w:color w:val="000000"/>
          <w:spacing w:val="0"/>
          <w:w w:val="100"/>
          <w:position w:val="0"/>
          <w:sz w:val="18"/>
          <w:szCs w:val="18"/>
        </w:rPr>
        <w:t>[2018]35</w:t>
      </w:r>
      <w:r>
        <w:rPr>
          <w:color w:val="000000"/>
          <w:spacing w:val="0"/>
          <w:w w:val="100"/>
          <w:position w:val="0"/>
        </w:rPr>
        <w:t>号</w:t>
      </w:r>
      <w:r>
        <w:rPr>
          <w:color w:val="000000"/>
          <w:spacing w:val="0"/>
          <w:w w:val="100"/>
          <w:position w:val="0"/>
          <w:sz w:val="18"/>
          <w:szCs w:val="18"/>
        </w:rPr>
        <w:t>）（</w:t>
      </w:r>
      <w:r>
        <w:rPr>
          <w:color w:val="000000"/>
          <w:spacing w:val="0"/>
          <w:w w:val="100"/>
          <w:position w:val="0"/>
        </w:rPr>
        <w:t>以下简称“新 租赁准则”）。本公司于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日起执行前述新租赁准则，并依据新租赁准则的规定对相关会计政策进行变更。</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根据新租赁准则的规定，对于首次执行日前已存在的合同，本公司选择不重新评估其是否为租赁或者包含租赁。</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本公司选择仅对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日尚未完成的租赁合同的累计影响数进行调整。首次执行的累积影响金额调整首次执行当期 期初（即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日）的留存收益及财务报表其他相关项目金额，对可比期间信息不予调整。</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于新租赁准则首次执行日（即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日），本公司的具体衔接处理及其影响如下：</w:t>
      </w:r>
    </w:p>
    <w:p>
      <w:pPr>
        <w:pStyle w:val="Style25"/>
        <w:keepNext w:val="0"/>
        <w:keepLines w:val="0"/>
        <w:widowControl w:val="0"/>
        <w:shd w:val="clear" w:color="auto" w:fill="auto"/>
        <w:tabs>
          <w:tab w:pos="714" w:val="left"/>
        </w:tabs>
        <w:bidi w:val="0"/>
        <w:spacing w:before="0" w:after="0" w:line="313" w:lineRule="exact"/>
        <w:ind w:left="0" w:right="0" w:firstLine="360"/>
        <w:jc w:val="both"/>
      </w:pPr>
      <w:bookmarkStart w:id="977" w:name="bookmark977"/>
      <w:r>
        <w:rPr>
          <w:color w:val="000000"/>
          <w:spacing w:val="0"/>
          <w:w w:val="100"/>
          <w:position w:val="0"/>
          <w:sz w:val="18"/>
          <w:szCs w:val="18"/>
        </w:rPr>
        <w:t>A</w:t>
      </w:r>
      <w:bookmarkEnd w:id="977"/>
      <w:r>
        <w:rPr>
          <w:color w:val="000000"/>
          <w:spacing w:val="0"/>
          <w:w w:val="100"/>
          <w:position w:val="0"/>
        </w:rPr>
        <w:t>、</w:t>
        <w:tab/>
      </w:r>
      <w:r>
        <w:rPr>
          <w:color w:val="000000"/>
          <w:spacing w:val="0"/>
          <w:w w:val="100"/>
          <w:position w:val="0"/>
        </w:rPr>
        <w:t>本公司作为承租人</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对首次执行日的融资租赁，本公司作为承租人按照融资租入资产和应付融资租赁款的原账面价值，分别计量使用权资产 和租赁负债；对首次执行日的经营租赁，作为承租人根据剩余租赁付款额按首次执行日的增量借款利率折现的现值计量租赁 负债；原租赁准则下按照权责发生制计提的应付未付租金，纳入剩余租赁付款额中。</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对首次执行日前的经营租赁，本公司按照与租赁负债相等的金额，并根据预付租金进行必要调整计量使用权资产。本公 司于首次执行日对使用权资产进行减值测试，不调整使用权资产的账面价值。</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本公司对于首次执行日前的租赁资产属于低价值资产的经营租赁，不确认使用权资产和租赁负债。对于首次执行日除低 价值租赁之外的经营租赁，本公司根据每项租赁采用下列一项或多项简化处理：</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将于首次执行日后</w:t>
      </w:r>
      <w:r>
        <w:rPr>
          <w:color w:val="000000"/>
          <w:spacing w:val="0"/>
          <w:w w:val="100"/>
          <w:position w:val="0"/>
          <w:sz w:val="18"/>
          <w:szCs w:val="18"/>
        </w:rPr>
        <w:t>12</w:t>
      </w:r>
      <w:r>
        <w:rPr>
          <w:color w:val="000000"/>
          <w:spacing w:val="0"/>
          <w:w w:val="100"/>
          <w:position w:val="0"/>
        </w:rPr>
        <w:t>个月内完成的租赁，作为短期租赁处理；</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计量租赁负债时，具有相似特征的租赁采用同一折现率；</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使用权资产的计量不包含初始直接费用；</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存在续约选择权或终止租赁选择权的，本公司根据首次执行日前选择权的实际行使及其他最新情况确定租赁期；</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作为使用权资产减值测试的替代，本公司根据《企业会计准则第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或有事项》评估包含租赁的合同在首次执行日 前是否为亏损合同，并根据首次执行日前计入资产负债表的亏损准备金额调整使用权资产；</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首次执行日之前发生租赁变更的，本公司根据租赁变更的最终安排进行会计处理。</w:t>
      </w:r>
    </w:p>
    <w:p>
      <w:pPr>
        <w:pStyle w:val="Style25"/>
        <w:keepNext w:val="0"/>
        <w:keepLines w:val="0"/>
        <w:widowControl w:val="0"/>
        <w:shd w:val="clear" w:color="auto" w:fill="auto"/>
        <w:tabs>
          <w:tab w:pos="714" w:val="left"/>
        </w:tabs>
        <w:bidi w:val="0"/>
        <w:spacing w:before="0" w:after="0" w:line="313" w:lineRule="exact"/>
        <w:ind w:left="0" w:right="0" w:firstLine="360"/>
        <w:jc w:val="both"/>
      </w:pPr>
      <w:bookmarkStart w:id="978" w:name="bookmark978"/>
      <w:r>
        <w:rPr>
          <w:color w:val="000000"/>
          <w:spacing w:val="0"/>
          <w:w w:val="100"/>
          <w:position w:val="0"/>
          <w:sz w:val="18"/>
          <w:szCs w:val="18"/>
        </w:rPr>
        <w:t>B</w:t>
      </w:r>
      <w:bookmarkEnd w:id="978"/>
      <w:r>
        <w:rPr>
          <w:color w:val="000000"/>
          <w:spacing w:val="0"/>
          <w:w w:val="100"/>
          <w:position w:val="0"/>
        </w:rPr>
        <w:t>、</w:t>
        <w:tab/>
      </w:r>
      <w:r>
        <w:rPr>
          <w:color w:val="000000"/>
          <w:spacing w:val="0"/>
          <w:w w:val="100"/>
          <w:position w:val="0"/>
        </w:rPr>
        <w:t>本公司作为出租人</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对于首次执行日前划分为经营租赁且在首次执行日后仍存续的转租赁，本公司作为转租出租人在首次执行日基于原租赁 和转租赁的剩余合同期限和条款进行重新评估和分类。重分类为融资租赁的，将其作为一项新的融资租赁进行会计处理。</w:t>
      </w:r>
    </w:p>
    <w:p>
      <w:pPr>
        <w:pStyle w:val="Style25"/>
        <w:keepNext w:val="0"/>
        <w:keepLines w:val="0"/>
        <w:widowControl w:val="0"/>
        <w:shd w:val="clear" w:color="auto" w:fill="auto"/>
        <w:tabs>
          <w:tab w:pos="714" w:val="left"/>
        </w:tabs>
        <w:bidi w:val="0"/>
        <w:spacing w:before="0" w:after="400" w:line="313" w:lineRule="exact"/>
        <w:ind w:left="0" w:right="0" w:firstLine="360"/>
        <w:jc w:val="both"/>
      </w:pPr>
      <w:bookmarkStart w:id="979" w:name="bookmark979"/>
      <w:r>
        <w:rPr>
          <w:color w:val="000000"/>
          <w:spacing w:val="0"/>
          <w:w w:val="100"/>
          <w:position w:val="0"/>
          <w:sz w:val="18"/>
          <w:szCs w:val="18"/>
        </w:rPr>
        <w:t>C</w:t>
      </w:r>
      <w:bookmarkEnd w:id="979"/>
      <w:r>
        <w:rPr>
          <w:color w:val="000000"/>
          <w:spacing w:val="0"/>
          <w:w w:val="100"/>
          <w:position w:val="0"/>
        </w:rPr>
        <w:t>、</w:t>
        <w:tab/>
      </w:r>
      <w:r>
        <w:rPr>
          <w:color w:val="000000"/>
          <w:spacing w:val="0"/>
          <w:w w:val="100"/>
          <w:position w:val="0"/>
        </w:rPr>
        <w:t>执行新租赁准则会计政策变更对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日财务报表无影响。</w:t>
      </w:r>
    </w:p>
    <w:p>
      <w:pPr>
        <w:pStyle w:val="Style38"/>
        <w:keepNext/>
        <w:keepLines/>
        <w:widowControl w:val="0"/>
        <w:shd w:val="clear" w:color="auto" w:fill="auto"/>
        <w:tabs>
          <w:tab w:pos="493" w:val="left"/>
        </w:tabs>
        <w:bidi w:val="0"/>
        <w:spacing w:before="0" w:after="400" w:line="240" w:lineRule="auto"/>
        <w:ind w:left="0" w:right="0" w:firstLine="0"/>
        <w:jc w:val="both"/>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80"/>
      <w:bookmarkEnd w:id="981"/>
      <w:bookmarkEnd w:id="983"/>
    </w:p>
    <w:p>
      <w:pPr>
        <w:pStyle w:val="Style25"/>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400" w:line="240" w:lineRule="auto"/>
        <w:ind w:left="0" w:right="0" w:firstLine="0"/>
        <w:jc w:val="both"/>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984"/>
      <w:bookmarkEnd w:id="985"/>
      <w:bookmarkEnd w:id="987"/>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不需要调整年初资产负债表科目的原因说明</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日发布了《企业会计准则第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8"/>
          <w:szCs w:val="18"/>
        </w:rPr>
        <w:t>（2018</w:t>
      </w:r>
      <w:r>
        <w:rPr>
          <w:color w:val="000000"/>
          <w:spacing w:val="0"/>
          <w:w w:val="100"/>
          <w:position w:val="0"/>
        </w:rPr>
        <w:t>年修订）》（财会</w:t>
      </w:r>
      <w:r>
        <w:rPr>
          <w:color w:val="000000"/>
          <w:spacing w:val="0"/>
          <w:w w:val="100"/>
          <w:position w:val="0"/>
          <w:sz w:val="18"/>
          <w:szCs w:val="18"/>
        </w:rPr>
        <w:t>[2018]35</w:t>
      </w:r>
      <w:r>
        <w:rPr>
          <w:color w:val="000000"/>
          <w:spacing w:val="0"/>
          <w:w w:val="100"/>
          <w:position w:val="0"/>
        </w:rPr>
        <w:t>号</w:t>
      </w:r>
      <w:r>
        <w:rPr>
          <w:color w:val="000000"/>
          <w:spacing w:val="0"/>
          <w:w w:val="100"/>
          <w:position w:val="0"/>
          <w:sz w:val="18"/>
          <w:szCs w:val="18"/>
        </w:rPr>
        <w:t>）（</w:t>
      </w:r>
      <w:r>
        <w:rPr>
          <w:color w:val="000000"/>
          <w:spacing w:val="0"/>
          <w:w w:val="100"/>
          <w:position w:val="0"/>
        </w:rPr>
        <w:t>以下简称“新 租赁准则”）。本公司于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日起执行前述新租赁准则，并依据新租赁准则的规定对相关会计政策进行变更。</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根据新租赁准则的规定，对于首次执行日前已存在的合同，本公司选择不重新评估其是否为租赁或者包含租赁。</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本公司选择仅对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日尚未完成的租赁合同的累计影响数进行调整。首次执行的累积影响金额调整首次执行当期 期初（即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日）的留存收益及财务报表其他相关项目金额，对可比期间信息不予调整。</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于新租赁准则首次执行日（即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日），本公司的具体衔接处理及其影响如下：</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8"/>
          <w:szCs w:val="18"/>
        </w:rPr>
        <w:t>A</w:t>
      </w:r>
      <w:r>
        <w:rPr>
          <w:color w:val="000000"/>
          <w:spacing w:val="0"/>
          <w:w w:val="100"/>
          <w:position w:val="0"/>
        </w:rPr>
        <w:t>、</w:t>
      </w:r>
      <w:r>
        <w:rPr>
          <w:color w:val="000000"/>
          <w:spacing w:val="0"/>
          <w:w w:val="100"/>
          <w:position w:val="0"/>
        </w:rPr>
        <w:t>本公司作为承租人</w:t>
      </w:r>
    </w:p>
    <w:p>
      <w:pPr>
        <w:pStyle w:val="Style25"/>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对首次执行日的融资租赁，本公司作为承租人按照融资租入资产和应付融资租赁款的原账面价值，分别计量使用权资产 和租赁负债；对首次执行日的经营租赁，作为承租人根据剩余租赁付款额按首次执行日的增量借款利率折现的现值计量租赁 负债；原租赁准则下按照权责发生制计提的应付未付租金，纳入剩余租赁付款额中。</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对首次执行日前的经营租赁，本公司按照与租赁负债相等的金额，并根据预付租金进行必要调整计量使用权资产。本公 司于首次执行日对使用权资产进行减值测试，不调整使用权资产的账面价值。</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本公司对于首次执行日前的租赁资产属于低价值资产的经营租赁，不确认使用权资产和租赁负债。对于首次执行日除低 价值租赁之外的经营租赁，本公司根据每项租赁采用下列一项或多项简化处理：</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将于首次执行日后</w:t>
      </w:r>
      <w:r>
        <w:rPr>
          <w:color w:val="000000"/>
          <w:spacing w:val="0"/>
          <w:w w:val="100"/>
          <w:position w:val="0"/>
          <w:sz w:val="18"/>
          <w:szCs w:val="18"/>
        </w:rPr>
        <w:t>12</w:t>
      </w:r>
      <w:r>
        <w:rPr>
          <w:color w:val="000000"/>
          <w:spacing w:val="0"/>
          <w:w w:val="100"/>
          <w:position w:val="0"/>
        </w:rPr>
        <w:t>个月内完成的租赁，作为短期租赁处理；</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计量租赁负债时，具有相似特征的租赁采用同一折现率；</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使用权资产的计量不包含初始直接费用；</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存在续约选择权或终止租赁选择权的，本公司根据首次执行日前选择权的实际行使及其他最新情况确定租赁期；</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作为使用权资产减值测试的替代，本公司根据《企业会计准则第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或有事项》评估包含租赁的合同在首次执行日 前是否为亏损合同，并根据首次执行日前计入资产负债表的亏损准备金额调整使用权资产；</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首次执行日之前发生租赁变更的，本公司根据租赁变更的最终安排进行会计处理。</w:t>
      </w:r>
    </w:p>
    <w:p>
      <w:pPr>
        <w:pStyle w:val="Style25"/>
        <w:keepNext w:val="0"/>
        <w:keepLines w:val="0"/>
        <w:widowControl w:val="0"/>
        <w:shd w:val="clear" w:color="auto" w:fill="auto"/>
        <w:tabs>
          <w:tab w:pos="734" w:val="left"/>
        </w:tabs>
        <w:bidi w:val="0"/>
        <w:spacing w:before="0" w:after="0" w:line="312" w:lineRule="exact"/>
        <w:ind w:left="0" w:right="0"/>
        <w:jc w:val="both"/>
      </w:pPr>
      <w:bookmarkStart w:id="988" w:name="bookmark988"/>
      <w:r>
        <w:rPr>
          <w:color w:val="000000"/>
          <w:spacing w:val="0"/>
          <w:w w:val="100"/>
          <w:position w:val="0"/>
          <w:sz w:val="18"/>
          <w:szCs w:val="18"/>
        </w:rPr>
        <w:t>B</w:t>
      </w:r>
      <w:bookmarkEnd w:id="988"/>
      <w:r>
        <w:rPr>
          <w:color w:val="000000"/>
          <w:spacing w:val="0"/>
          <w:w w:val="100"/>
          <w:position w:val="0"/>
        </w:rPr>
        <w:t>、</w:t>
        <w:tab/>
      </w:r>
      <w:r>
        <w:rPr>
          <w:color w:val="000000"/>
          <w:spacing w:val="0"/>
          <w:w w:val="100"/>
          <w:position w:val="0"/>
        </w:rPr>
        <w:t>本公司作为出租人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对于首次执行日前划分为经营租赁且在首次执行日后仍存续的转租赁，本公司作为转租出租人在首次执行日基于原租赁 和转租赁的剩余合同期限和条款进行重新评估和分类。重分类为融资租赁的，将其作为一项新的融资租赁进行会计处理。</w:t>
      </w:r>
    </w:p>
    <w:p>
      <w:pPr>
        <w:pStyle w:val="Style25"/>
        <w:keepNext w:val="0"/>
        <w:keepLines w:val="0"/>
        <w:widowControl w:val="0"/>
        <w:shd w:val="clear" w:color="auto" w:fill="auto"/>
        <w:tabs>
          <w:tab w:pos="734" w:val="left"/>
        </w:tabs>
        <w:bidi w:val="0"/>
        <w:spacing w:before="0" w:after="380" w:line="312" w:lineRule="exact"/>
        <w:ind w:left="0" w:right="0"/>
        <w:jc w:val="both"/>
      </w:pPr>
      <w:bookmarkStart w:id="989" w:name="bookmark989"/>
      <w:r>
        <w:rPr>
          <w:color w:val="000000"/>
          <w:spacing w:val="0"/>
          <w:w w:val="100"/>
          <w:position w:val="0"/>
          <w:sz w:val="18"/>
          <w:szCs w:val="18"/>
        </w:rPr>
        <w:t>C</w:t>
      </w:r>
      <w:bookmarkEnd w:id="989"/>
      <w:r>
        <w:rPr>
          <w:color w:val="000000"/>
          <w:spacing w:val="0"/>
          <w:w w:val="100"/>
          <w:position w:val="0"/>
        </w:rPr>
        <w:t>、</w:t>
        <w:tab/>
      </w:r>
      <w:r>
        <w:rPr>
          <w:color w:val="000000"/>
          <w:spacing w:val="0"/>
          <w:w w:val="100"/>
          <w:position w:val="0"/>
        </w:rPr>
        <w:t>执行新租赁准则会计政策变更对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日财务报表无影响。</w:t>
      </w:r>
    </w:p>
    <w:p>
      <w:pPr>
        <w:pStyle w:val="Style38"/>
        <w:keepNext/>
        <w:keepLines/>
        <w:widowControl w:val="0"/>
        <w:shd w:val="clear" w:color="auto" w:fill="auto"/>
        <w:bidi w:val="0"/>
        <w:spacing w:before="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90"/>
      <w:bookmarkEnd w:id="991"/>
      <w:bookmarkEnd w:id="993"/>
    </w:p>
    <w:p>
      <w:pPr>
        <w:pStyle w:val="Style25"/>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994"/>
      <w:bookmarkEnd w:id="995"/>
      <w:bookmarkEnd w:id="996"/>
    </w:p>
    <w:p>
      <w:pPr>
        <w:pStyle w:val="Style21"/>
        <w:keepNext/>
        <w:keepLines/>
        <w:widowControl w:val="0"/>
        <w:shd w:val="clear" w:color="auto" w:fill="auto"/>
        <w:bidi w:val="0"/>
        <w:spacing w:before="0" w:after="38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六</w:t>
      </w:r>
      <w:bookmarkEnd w:id="999"/>
      <w:r>
        <w:rPr>
          <w:color w:val="000000"/>
          <w:spacing w:val="0"/>
          <w:w w:val="100"/>
          <w:position w:val="0"/>
        </w:rPr>
        <w:t>、税项</w:t>
      </w:r>
      <w:bookmarkEnd w:id="1000"/>
      <w:bookmarkEnd w:id="997"/>
      <w:bookmarkEnd w:id="998"/>
    </w:p>
    <w:p>
      <w:pPr>
        <w:pStyle w:val="Style28"/>
        <w:keepNext/>
        <w:keepLines/>
        <w:widowControl w:val="0"/>
        <w:shd w:val="clear" w:color="auto" w:fill="auto"/>
        <w:bidi w:val="0"/>
        <w:spacing w:before="0" w:after="30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bookmarkEnd w:id="1003"/>
      <w:r>
        <w:rPr>
          <w:color w:val="000000"/>
          <w:spacing w:val="0"/>
          <w:w w:val="100"/>
          <w:position w:val="0"/>
        </w:rPr>
        <w:t>、主要税种及税率</w:t>
      </w:r>
      <w:bookmarkEnd w:id="1001"/>
      <w:bookmarkEnd w:id="1002"/>
      <w:bookmarkEnd w:id="1004"/>
    </w:p>
    <w:tbl>
      <w:tblPr>
        <w:tblOverlap w:val="never"/>
        <w:jc w:val="center"/>
        <w:tblLayout w:type="fixed"/>
      </w:tblPr>
      <w:tblGrid>
        <w:gridCol w:w="1570"/>
        <w:gridCol w:w="5669"/>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的税率计算销项税，并按扣 除当期允许抵扣的进项税额后的差额计缴增值税。详见注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本集团存在适用不同税率的企业所得税纳税主体，详见注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按房产原值</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计缴和按租金收入的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按应缴纳的流转税的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按应缴纳的流转税的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杭州银江智慧城市技术集团有限公司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北京银江智慧城市技术有限公司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沈阳智享大健康信息科技有限公司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其他分子公司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28"/>
        <w:keepNext/>
        <w:keepLines/>
        <w:widowControl w:val="0"/>
        <w:shd w:val="clear" w:color="auto" w:fill="auto"/>
        <w:tabs>
          <w:tab w:pos="322" w:val="left"/>
        </w:tabs>
        <w:bidi w:val="0"/>
        <w:spacing w:before="0" w:after="24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bookmarkEnd w:id="1007"/>
      <w:r>
        <w:rPr>
          <w:color w:val="000000"/>
          <w:spacing w:val="0"/>
          <w:w w:val="100"/>
          <w:position w:val="0"/>
        </w:rPr>
        <w:t>、</w:t>
        <w:tab/>
        <w:t>税收优惠</w:t>
      </w:r>
      <w:bookmarkEnd w:id="1005"/>
      <w:bookmarkEnd w:id="1006"/>
      <w:bookmarkEnd w:id="1008"/>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日经浙江省科学技术厅、浙江省财政局、国家税务总局浙江省税务局认证，取得编号为 </w:t>
      </w:r>
      <w:r>
        <w:rPr>
          <w:color w:val="000000"/>
          <w:spacing w:val="0"/>
          <w:w w:val="100"/>
          <w:position w:val="0"/>
          <w:sz w:val="18"/>
          <w:szCs w:val="18"/>
        </w:rPr>
        <w:t>GR202033004659</w:t>
      </w:r>
      <w:r>
        <w:rPr>
          <w:color w:val="000000"/>
          <w:spacing w:val="0"/>
          <w:w w:val="100"/>
          <w:position w:val="0"/>
        </w:rPr>
        <w:t>的《高新技术企业证书》，高新技术企业证书有效期为</w:t>
      </w:r>
      <w:r>
        <w:rPr>
          <w:color w:val="000000"/>
          <w:spacing w:val="0"/>
          <w:w w:val="100"/>
          <w:position w:val="0"/>
          <w:sz w:val="18"/>
          <w:szCs w:val="18"/>
        </w:rPr>
        <w:t>3</w:t>
      </w:r>
      <w:r>
        <w:rPr>
          <w:color w:val="000000"/>
          <w:spacing w:val="0"/>
          <w:w w:val="100"/>
          <w:position w:val="0"/>
        </w:rPr>
        <w:t>年，有效期内适用</w:t>
      </w:r>
      <w:r>
        <w:rPr>
          <w:color w:val="000000"/>
          <w:spacing w:val="0"/>
          <w:w w:val="100"/>
          <w:position w:val="0"/>
          <w:sz w:val="18"/>
          <w:szCs w:val="18"/>
        </w:rPr>
        <w:t>15%</w:t>
      </w:r>
      <w:r>
        <w:rPr>
          <w:color w:val="000000"/>
          <w:spacing w:val="0"/>
          <w:w w:val="100"/>
          <w:position w:val="0"/>
        </w:rPr>
        <w:t>的企业所得税税率。</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子公司浙江银江智慧交通集团有限公司于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日经浙江省科学技术厅、浙江省财政局、国家税务总局浙江省税 务局认证，取得编号为</w:t>
      </w:r>
      <w:r>
        <w:rPr>
          <w:color w:val="000000"/>
          <w:spacing w:val="0"/>
          <w:w w:val="100"/>
          <w:position w:val="0"/>
          <w:sz w:val="18"/>
          <w:szCs w:val="18"/>
        </w:rPr>
        <w:t>GR202033001046</w:t>
      </w:r>
      <w:r>
        <w:rPr>
          <w:color w:val="000000"/>
          <w:spacing w:val="0"/>
          <w:w w:val="100"/>
          <w:position w:val="0"/>
        </w:rPr>
        <w:t>的《高新技术企业证书》，高新技术企业证书有效期为</w:t>
      </w:r>
      <w:r>
        <w:rPr>
          <w:color w:val="000000"/>
          <w:spacing w:val="0"/>
          <w:w w:val="100"/>
          <w:position w:val="0"/>
          <w:sz w:val="18"/>
          <w:szCs w:val="18"/>
        </w:rPr>
        <w:t>3</w:t>
      </w:r>
      <w:r>
        <w:rPr>
          <w:color w:val="000000"/>
          <w:spacing w:val="0"/>
          <w:w w:val="100"/>
          <w:position w:val="0"/>
        </w:rPr>
        <w:t>年，有效期内适用</w:t>
      </w:r>
      <w:r>
        <w:rPr>
          <w:color w:val="000000"/>
          <w:spacing w:val="0"/>
          <w:w w:val="100"/>
          <w:position w:val="0"/>
          <w:sz w:val="18"/>
          <w:szCs w:val="18"/>
        </w:rPr>
        <w:t>15%</w:t>
      </w:r>
      <w:r>
        <w:rPr>
          <w:color w:val="000000"/>
          <w:spacing w:val="0"/>
          <w:w w:val="100"/>
          <w:position w:val="0"/>
        </w:rPr>
        <w:t>的企业 所得税税率。</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子公司浙江银江交通技术有限公司于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日经浙江省科学技术厅、浙江省财政局、国家税务总局浙江省税务局 认证，取得编号为</w:t>
      </w:r>
      <w:r>
        <w:rPr>
          <w:color w:val="000000"/>
          <w:spacing w:val="0"/>
          <w:w w:val="100"/>
          <w:position w:val="0"/>
          <w:sz w:val="18"/>
          <w:szCs w:val="18"/>
        </w:rPr>
        <w:t>GR202033006769</w:t>
      </w:r>
      <w:r>
        <w:rPr>
          <w:color w:val="000000"/>
          <w:spacing w:val="0"/>
          <w:w w:val="100"/>
          <w:position w:val="0"/>
        </w:rPr>
        <w:t>的《高新技术企业证书》，高新技术企业证书有效期为</w:t>
      </w:r>
      <w:r>
        <w:rPr>
          <w:color w:val="000000"/>
          <w:spacing w:val="0"/>
          <w:w w:val="100"/>
          <w:position w:val="0"/>
          <w:sz w:val="18"/>
          <w:szCs w:val="18"/>
        </w:rPr>
        <w:t>3</w:t>
      </w:r>
      <w:r>
        <w:rPr>
          <w:color w:val="000000"/>
          <w:spacing w:val="0"/>
          <w:w w:val="100"/>
          <w:position w:val="0"/>
        </w:rPr>
        <w:t>年，有效期内适用</w:t>
      </w:r>
      <w:r>
        <w:rPr>
          <w:color w:val="000000"/>
          <w:spacing w:val="0"/>
          <w:w w:val="100"/>
          <w:position w:val="0"/>
          <w:sz w:val="18"/>
          <w:szCs w:val="18"/>
        </w:rPr>
        <w:t>15%</w:t>
      </w:r>
      <w:r>
        <w:rPr>
          <w:color w:val="000000"/>
          <w:spacing w:val="0"/>
          <w:w w:val="100"/>
          <w:position w:val="0"/>
        </w:rPr>
        <w:t>的企业所得 税税率。</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子公司杭州银江智慧城市技术集团有限公司于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04</w:t>
      </w:r>
      <w:r>
        <w:rPr>
          <w:color w:val="000000"/>
          <w:spacing w:val="0"/>
          <w:w w:val="100"/>
          <w:position w:val="0"/>
        </w:rPr>
        <w:t>日经浙江省科学技术厅、浙江省财政厅、国家税务总局浙江 省税务局认证，取得编号为</w:t>
      </w:r>
      <w:r>
        <w:rPr>
          <w:color w:val="000000"/>
          <w:spacing w:val="0"/>
          <w:w w:val="100"/>
          <w:position w:val="0"/>
          <w:sz w:val="18"/>
          <w:szCs w:val="18"/>
        </w:rPr>
        <w:t>GR201933002955</w:t>
      </w:r>
      <w:r>
        <w:rPr>
          <w:color w:val="000000"/>
          <w:spacing w:val="0"/>
          <w:w w:val="100"/>
          <w:position w:val="0"/>
        </w:rPr>
        <w:t>的《高新技术企业证书》，高新技术企业证书有效期为</w:t>
      </w:r>
      <w:r>
        <w:rPr>
          <w:color w:val="000000"/>
          <w:spacing w:val="0"/>
          <w:w w:val="100"/>
          <w:position w:val="0"/>
          <w:sz w:val="18"/>
          <w:szCs w:val="18"/>
        </w:rPr>
        <w:t>3</w:t>
      </w:r>
      <w:r>
        <w:rPr>
          <w:color w:val="000000"/>
          <w:spacing w:val="0"/>
          <w:w w:val="100"/>
          <w:position w:val="0"/>
        </w:rPr>
        <w:t>年，有效期内适用</w:t>
      </w:r>
      <w:r>
        <w:rPr>
          <w:color w:val="000000"/>
          <w:spacing w:val="0"/>
          <w:w w:val="100"/>
          <w:position w:val="0"/>
          <w:sz w:val="18"/>
          <w:szCs w:val="18"/>
        </w:rPr>
        <w:t xml:space="preserve">15% </w:t>
      </w:r>
      <w:r>
        <w:rPr>
          <w:color w:val="000000"/>
          <w:spacing w:val="0"/>
          <w:w w:val="100"/>
          <w:position w:val="0"/>
        </w:rPr>
        <w:t>的企业所得税税率。</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子公司北京银江智慧城市技术有限公司于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20</w:t>
      </w:r>
      <w:r>
        <w:rPr>
          <w:color w:val="000000"/>
          <w:spacing w:val="0"/>
          <w:w w:val="100"/>
          <w:position w:val="0"/>
        </w:rPr>
        <w:t>月</w:t>
      </w:r>
      <w:r>
        <w:rPr>
          <w:color w:val="000000"/>
          <w:spacing w:val="0"/>
          <w:w w:val="100"/>
          <w:position w:val="0"/>
          <w:sz w:val="18"/>
          <w:szCs w:val="18"/>
        </w:rPr>
        <w:t>21</w:t>
      </w:r>
      <w:r>
        <w:rPr>
          <w:color w:val="000000"/>
          <w:spacing w:val="0"/>
          <w:w w:val="100"/>
          <w:position w:val="0"/>
        </w:rPr>
        <w:t>日经北京市科学技术委员会、北京市财政局、国家税务总局北京 市税务局认证，取得编号为</w:t>
      </w:r>
      <w:r>
        <w:rPr>
          <w:color w:val="000000"/>
          <w:spacing w:val="0"/>
          <w:w w:val="100"/>
          <w:position w:val="0"/>
          <w:sz w:val="18"/>
          <w:szCs w:val="18"/>
        </w:rPr>
        <w:t>GR20201100158</w:t>
      </w:r>
      <w:r>
        <w:rPr>
          <w:color w:val="000000"/>
          <w:spacing w:val="0"/>
          <w:w w:val="100"/>
          <w:position w:val="0"/>
          <w:sz w:val="18"/>
          <w:szCs w:val="18"/>
        </w:rPr>
        <w:t>0</w:t>
      </w:r>
      <w:r>
        <w:rPr>
          <w:color w:val="000000"/>
          <w:spacing w:val="0"/>
          <w:w w:val="100"/>
          <w:position w:val="0"/>
        </w:rPr>
        <w:t>的《高新技术企业证书》，高新技术企业证书有效期为</w:t>
      </w:r>
      <w:r>
        <w:rPr>
          <w:color w:val="000000"/>
          <w:spacing w:val="0"/>
          <w:w w:val="100"/>
          <w:position w:val="0"/>
          <w:sz w:val="18"/>
          <w:szCs w:val="18"/>
        </w:rPr>
        <w:t>3</w:t>
      </w:r>
      <w:r>
        <w:rPr>
          <w:color w:val="000000"/>
          <w:spacing w:val="0"/>
          <w:w w:val="100"/>
          <w:position w:val="0"/>
        </w:rPr>
        <w:t>年，有效期内适用</w:t>
      </w:r>
      <w:r>
        <w:rPr>
          <w:color w:val="000000"/>
          <w:spacing w:val="0"/>
          <w:w w:val="100"/>
          <w:position w:val="0"/>
          <w:sz w:val="18"/>
          <w:szCs w:val="18"/>
        </w:rPr>
        <w:t xml:space="preserve">15% </w:t>
      </w:r>
      <w:r>
        <w:rPr>
          <w:color w:val="000000"/>
          <w:spacing w:val="0"/>
          <w:w w:val="100"/>
          <w:position w:val="0"/>
        </w:rPr>
        <w:t>的企业所得税税率。</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子企业沈阳智享大健康信息科技有限公司于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日经辽宁省科学技术厅、辽宁省财政局、国家税务总局辽宁省 税务局认证，取得编号为</w:t>
      </w:r>
      <w:r>
        <w:rPr>
          <w:color w:val="000000"/>
          <w:spacing w:val="0"/>
          <w:w w:val="100"/>
          <w:position w:val="0"/>
          <w:sz w:val="18"/>
          <w:szCs w:val="18"/>
        </w:rPr>
        <w:t>GR201921000072</w:t>
      </w:r>
      <w:r>
        <w:rPr>
          <w:color w:val="000000"/>
          <w:spacing w:val="0"/>
          <w:w w:val="100"/>
          <w:position w:val="0"/>
        </w:rPr>
        <w:t>号《高新技术企业证书》，高新技术企业证书有效期</w:t>
      </w:r>
      <w:r>
        <w:rPr>
          <w:color w:val="000000"/>
          <w:spacing w:val="0"/>
          <w:w w:val="100"/>
          <w:position w:val="0"/>
          <w:sz w:val="18"/>
          <w:szCs w:val="18"/>
        </w:rPr>
        <w:t>3</w:t>
      </w:r>
      <w:r>
        <w:rPr>
          <w:color w:val="000000"/>
          <w:spacing w:val="0"/>
          <w:w w:val="100"/>
          <w:position w:val="0"/>
        </w:rPr>
        <w:t>年，有效期内适用</w:t>
      </w:r>
      <w:r>
        <w:rPr>
          <w:color w:val="000000"/>
          <w:spacing w:val="0"/>
          <w:w w:val="100"/>
          <w:position w:val="0"/>
          <w:sz w:val="18"/>
          <w:szCs w:val="18"/>
        </w:rPr>
        <w:t>15%</w:t>
      </w:r>
      <w:r>
        <w:rPr>
          <w:color w:val="000000"/>
          <w:spacing w:val="0"/>
          <w:w w:val="100"/>
          <w:position w:val="0"/>
        </w:rPr>
        <w:t>的企业 所得税税率。</w:t>
      </w:r>
    </w:p>
    <w:p>
      <w:pPr>
        <w:pStyle w:val="Style25"/>
        <w:keepNext w:val="0"/>
        <w:keepLines w:val="0"/>
        <w:widowControl w:val="0"/>
        <w:shd w:val="clear" w:color="auto" w:fill="auto"/>
        <w:bidi w:val="0"/>
        <w:spacing w:before="0" w:after="380" w:line="316" w:lineRule="exact"/>
        <w:ind w:left="0" w:right="0"/>
        <w:jc w:val="both"/>
      </w:pPr>
      <w:r>
        <w:rPr>
          <w:color w:val="000000"/>
          <w:spacing w:val="0"/>
          <w:w w:val="100"/>
          <w:position w:val="0"/>
        </w:rPr>
        <w:t>根据《关于实施小微企业普惠性税收减免政策的通知》（财税〔</w:t>
      </w:r>
      <w:r>
        <w:rPr>
          <w:color w:val="000000"/>
          <w:spacing w:val="0"/>
          <w:w w:val="100"/>
          <w:position w:val="0"/>
          <w:sz w:val="18"/>
          <w:szCs w:val="18"/>
        </w:rPr>
        <w:t>2019</w:t>
      </w:r>
      <w:r>
        <w:rPr>
          <w:color w:val="000000"/>
          <w:spacing w:val="0"/>
          <w:w w:val="100"/>
          <w:position w:val="0"/>
        </w:rPr>
        <w:t xml:space="preserve">〕 </w:t>
      </w:r>
      <w:r>
        <w:rPr>
          <w:color w:val="000000"/>
          <w:spacing w:val="0"/>
          <w:w w:val="100"/>
          <w:position w:val="0"/>
          <w:sz w:val="18"/>
          <w:szCs w:val="18"/>
        </w:rPr>
        <w:t>13</w:t>
      </w:r>
      <w:r>
        <w:rPr>
          <w:color w:val="000000"/>
          <w:spacing w:val="0"/>
          <w:w w:val="100"/>
          <w:position w:val="0"/>
        </w:rPr>
        <w:t>号）之规定：</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日：对月销售额</w:t>
      </w:r>
      <w:r>
        <w:rPr>
          <w:color w:val="000000"/>
          <w:spacing w:val="0"/>
          <w:w w:val="100"/>
          <w:position w:val="0"/>
          <w:sz w:val="18"/>
          <w:szCs w:val="18"/>
        </w:rPr>
        <w:t>10</w:t>
      </w:r>
      <w:r>
        <w:rPr>
          <w:color w:val="000000"/>
          <w:spacing w:val="0"/>
          <w:w w:val="100"/>
          <w:position w:val="0"/>
        </w:rPr>
        <w:t>万元以下（含本数）的增值税小规模纳税人，免征增值税；对小型微利企业年应纳税所得额不超过</w:t>
      </w:r>
      <w:r>
        <w:rPr>
          <w:color w:val="000000"/>
          <w:spacing w:val="0"/>
          <w:w w:val="100"/>
          <w:position w:val="0"/>
          <w:sz w:val="18"/>
          <w:szCs w:val="18"/>
        </w:rPr>
        <w:t xml:space="preserve">100 </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 元的部分，减按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w:t>
      </w:r>
    </w:p>
    <w:p>
      <w:pPr>
        <w:pStyle w:val="Style28"/>
        <w:keepNext/>
        <w:keepLines/>
        <w:widowControl w:val="0"/>
        <w:shd w:val="clear" w:color="auto" w:fill="auto"/>
        <w:tabs>
          <w:tab w:pos="322" w:val="left"/>
        </w:tabs>
        <w:bidi w:val="0"/>
        <w:spacing w:before="0" w:after="24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3</w:t>
      </w:r>
      <w:bookmarkEnd w:id="1011"/>
      <w:r>
        <w:rPr>
          <w:color w:val="000000"/>
          <w:spacing w:val="0"/>
          <w:w w:val="100"/>
          <w:position w:val="0"/>
        </w:rPr>
        <w:t>、</w:t>
        <w:tab/>
        <w:t>其他</w:t>
      </w:r>
      <w:bookmarkEnd w:id="1009"/>
      <w:bookmarkEnd w:id="1010"/>
      <w:bookmarkEnd w:id="1012"/>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日前公司及其分子公司（一般纳税人）产品销售收入根据销售额的</w:t>
      </w:r>
      <w:r>
        <w:rPr>
          <w:color w:val="000000"/>
          <w:spacing w:val="0"/>
          <w:w w:val="100"/>
          <w:position w:val="0"/>
          <w:sz w:val="18"/>
          <w:szCs w:val="18"/>
        </w:rPr>
        <w:t>16%</w:t>
      </w:r>
      <w:r>
        <w:rPr>
          <w:color w:val="000000"/>
          <w:spacing w:val="0"/>
          <w:w w:val="100"/>
          <w:position w:val="0"/>
        </w:rPr>
        <w:t>计算销项税额，建筑业收入根据销售 额的</w:t>
      </w:r>
      <w:r>
        <w:rPr>
          <w:color w:val="000000"/>
          <w:spacing w:val="0"/>
          <w:w w:val="100"/>
          <w:position w:val="0"/>
          <w:sz w:val="18"/>
          <w:szCs w:val="18"/>
        </w:rPr>
        <w:t>10%</w:t>
      </w:r>
      <w:r>
        <w:rPr>
          <w:color w:val="000000"/>
          <w:spacing w:val="0"/>
          <w:w w:val="100"/>
          <w:position w:val="0"/>
        </w:rPr>
        <w:t>计算销项税额；</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日起公司及其分子公司产品销售收入根据销售额的</w:t>
      </w:r>
      <w:r>
        <w:rPr>
          <w:color w:val="000000"/>
          <w:spacing w:val="0"/>
          <w:w w:val="100"/>
          <w:position w:val="0"/>
          <w:sz w:val="18"/>
          <w:szCs w:val="18"/>
        </w:rPr>
        <w:t>13%</w:t>
      </w:r>
      <w:r>
        <w:rPr>
          <w:color w:val="000000"/>
          <w:spacing w:val="0"/>
          <w:w w:val="100"/>
          <w:position w:val="0"/>
        </w:rPr>
        <w:t>计算销项税额，建筑业收入根据销 售额的</w:t>
      </w:r>
      <w:r>
        <w:rPr>
          <w:color w:val="000000"/>
          <w:spacing w:val="0"/>
          <w:w w:val="100"/>
          <w:position w:val="0"/>
          <w:sz w:val="18"/>
          <w:szCs w:val="18"/>
        </w:rPr>
        <w:t>9%</w:t>
      </w:r>
      <w:r>
        <w:rPr>
          <w:color w:val="000000"/>
          <w:spacing w:val="0"/>
          <w:w w:val="100"/>
          <w:position w:val="0"/>
        </w:rPr>
        <w:t>计算销项税额，租赁收入按照租赁收入的</w:t>
      </w:r>
      <w:r>
        <w:rPr>
          <w:color w:val="000000"/>
          <w:spacing w:val="0"/>
          <w:w w:val="100"/>
          <w:position w:val="0"/>
          <w:sz w:val="18"/>
          <w:szCs w:val="18"/>
        </w:rPr>
        <w:t>9%</w:t>
      </w:r>
      <w:r>
        <w:rPr>
          <w:color w:val="000000"/>
          <w:spacing w:val="0"/>
          <w:w w:val="100"/>
          <w:position w:val="0"/>
        </w:rPr>
        <w:t>计算销项税额，技术服务收入根据销售额的</w:t>
      </w:r>
      <w:r>
        <w:rPr>
          <w:color w:val="000000"/>
          <w:spacing w:val="0"/>
          <w:w w:val="100"/>
          <w:position w:val="0"/>
          <w:sz w:val="18"/>
          <w:szCs w:val="18"/>
        </w:rPr>
        <w:t>6%</w:t>
      </w:r>
      <w:r>
        <w:rPr>
          <w:color w:val="000000"/>
          <w:spacing w:val="0"/>
          <w:w w:val="100"/>
          <w:position w:val="0"/>
        </w:rPr>
        <w:t>计算销项税额，再按规定 扣除进项税额后缴纳。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月前建筑业收入、租赁收入按照简易办法征收，建筑业收入即按照扣除分包收入后的销售额 按照</w:t>
      </w:r>
      <w:r>
        <w:rPr>
          <w:color w:val="000000"/>
          <w:spacing w:val="0"/>
          <w:w w:val="100"/>
          <w:position w:val="0"/>
          <w:sz w:val="18"/>
          <w:szCs w:val="18"/>
        </w:rPr>
        <w:t>3%</w:t>
      </w:r>
      <w:r>
        <w:rPr>
          <w:color w:val="000000"/>
          <w:spacing w:val="0"/>
          <w:w w:val="100"/>
          <w:position w:val="0"/>
        </w:rPr>
        <w:t>税率计算缴纳增值税，租赁收入按照租赁收入的</w:t>
      </w:r>
      <w:r>
        <w:rPr>
          <w:color w:val="000000"/>
          <w:spacing w:val="0"/>
          <w:w w:val="100"/>
          <w:position w:val="0"/>
          <w:sz w:val="18"/>
          <w:szCs w:val="18"/>
        </w:rPr>
        <w:t>5%</w:t>
      </w:r>
      <w:r>
        <w:rPr>
          <w:color w:val="000000"/>
          <w:spacing w:val="0"/>
          <w:w w:val="100"/>
          <w:position w:val="0"/>
        </w:rPr>
        <w:t>计算销项税额。</w:t>
      </w:r>
    </w:p>
    <w:p>
      <w:pPr>
        <w:pStyle w:val="Style21"/>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七</w:t>
      </w:r>
      <w:bookmarkEnd w:id="1015"/>
      <w:r>
        <w:rPr>
          <w:color w:val="000000"/>
          <w:spacing w:val="0"/>
          <w:w w:val="100"/>
          <w:position w:val="0"/>
        </w:rPr>
        <w:t>、合并财务报表项目注释</w:t>
      </w:r>
      <w:bookmarkEnd w:id="1013"/>
      <w:bookmarkEnd w:id="1014"/>
      <w:bookmarkEnd w:id="1016"/>
    </w:p>
    <w:p>
      <w:pPr>
        <w:pStyle w:val="Style28"/>
        <w:keepNext/>
        <w:keepLines/>
        <w:widowControl w:val="0"/>
        <w:shd w:val="clear" w:color="auto" w:fill="auto"/>
        <w:bidi w:val="0"/>
        <w:spacing w:before="0" w:after="24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1</w:t>
      </w:r>
      <w:bookmarkEnd w:id="1019"/>
      <w:r>
        <w:rPr>
          <w:color w:val="000000"/>
          <w:spacing w:val="0"/>
          <w:w w:val="100"/>
          <w:position w:val="0"/>
        </w:rPr>
        <w:t>、货币资金</w:t>
      </w:r>
      <w:bookmarkEnd w:id="1017"/>
      <w:bookmarkEnd w:id="1018"/>
      <w:bookmarkEnd w:id="1020"/>
    </w:p>
    <w:p>
      <w:pPr>
        <w:pStyle w:val="Style25"/>
        <w:keepNext w:val="0"/>
        <w:keepLines w:val="0"/>
        <w:widowControl w:val="0"/>
        <w:shd w:val="clear" w:color="auto" w:fill="auto"/>
        <w:bidi w:val="0"/>
        <w:spacing w:before="0" w:after="80" w:line="316" w:lineRule="exact"/>
        <w:ind w:left="0" w:right="0" w:firstLine="0"/>
        <w:jc w:val="right"/>
      </w:pPr>
      <w:r>
        <w:rPr>
          <w:color w:val="000000"/>
          <w:spacing w:val="0"/>
          <w:w w:val="100"/>
          <w:position w:val="0"/>
        </w:rPr>
        <w:t>单位：元</w:t>
      </w:r>
    </w:p>
    <w:tbl>
      <w:tblPr>
        <w:tblOverlap w:val="never"/>
        <w:jc w:val="center"/>
        <w:tblLayout w:type="fixed"/>
      </w:tblPr>
      <w:tblGrid>
        <w:gridCol w:w="4829"/>
        <w:gridCol w:w="2410"/>
        <w:gridCol w:w="234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342,961.88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199,595.19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364,021,303.27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633,648,444.98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61,633,244.97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65,873,364.18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425,997,510.12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699,721,404.35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2,078,961.36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82,217.28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71,754,655.47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65,872,250.50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其中因抵押、质押或冻结等对使用有限制的货币资金明细如下:</w:t>
      </w:r>
    </w:p>
    <w:tbl>
      <w:tblPr>
        <w:tblOverlap w:val="never"/>
        <w:jc w:val="center"/>
        <w:tblLayout w:type="fixed"/>
      </w:tblPr>
      <w:tblGrid>
        <w:gridCol w:w="3082"/>
        <w:gridCol w:w="3134"/>
        <w:gridCol w:w="3019"/>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951" w:val="left"/>
              </w:tabs>
              <w:bidi w:val="0"/>
              <w:spacing w:before="0" w:after="0" w:line="240" w:lineRule="auto"/>
              <w:ind w:left="0" w:right="0"/>
              <w:jc w:val="left"/>
            </w:pPr>
            <w:r>
              <w:rPr>
                <w:color w:val="000000"/>
                <w:spacing w:val="0"/>
                <w:w w:val="100"/>
                <w:position w:val="0"/>
              </w:rPr>
              <w:t>项</w:t>
              <w:tab/>
              <w:t>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上年年末余额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 xml:space="preserve">29, </w:t>
            </w:r>
            <w:r>
              <w:rPr>
                <w:color w:val="000000"/>
                <w:spacing w:val="0"/>
                <w:w w:val="100"/>
                <w:position w:val="0"/>
                <w:sz w:val="18"/>
                <w:szCs w:val="18"/>
              </w:rPr>
              <w:t>542,705.61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 xml:space="preserve">33, </w:t>
            </w:r>
            <w:r>
              <w:rPr>
                <w:color w:val="000000"/>
                <w:spacing w:val="0"/>
                <w:w w:val="100"/>
                <w:position w:val="0"/>
                <w:sz w:val="18"/>
                <w:szCs w:val="18"/>
              </w:rPr>
              <w:t xml:space="preserve">152,024. </w:t>
            </w:r>
            <w:r>
              <w:rPr>
                <w:color w:val="000000"/>
                <w:spacing w:val="0"/>
                <w:w w:val="100"/>
                <w:position w:val="0"/>
                <w:sz w:val="18"/>
                <w:szCs w:val="18"/>
              </w:rPr>
              <w:t>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 xml:space="preserve">28, </w:t>
            </w:r>
            <w:r>
              <w:rPr>
                <w:color w:val="000000"/>
                <w:spacing w:val="0"/>
                <w:w w:val="100"/>
                <w:position w:val="0"/>
                <w:sz w:val="18"/>
                <w:szCs w:val="18"/>
              </w:rPr>
              <w:t>661,742.93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24,761,514.59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 xml:space="preserve">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农民工保证金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1,317, </w:t>
            </w:r>
            <w:r>
              <w:rPr>
                <w:color w:val="000000"/>
                <w:spacing w:val="0"/>
                <w:w w:val="100"/>
                <w:position w:val="0"/>
                <w:sz w:val="18"/>
                <w:szCs w:val="18"/>
              </w:rPr>
              <w:t xml:space="preserve">924.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958,711.48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诉讼保全资金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12,232,282.59</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918" w:val="left"/>
              </w:tabs>
              <w:bidi w:val="0"/>
              <w:spacing w:before="0" w:after="0" w:line="240" w:lineRule="auto"/>
              <w:ind w:left="0" w:right="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 xml:space="preserve">71,754, </w:t>
            </w:r>
            <w:r>
              <w:rPr>
                <w:color w:val="000000"/>
                <w:spacing w:val="0"/>
                <w:w w:val="100"/>
                <w:position w:val="0"/>
                <w:sz w:val="18"/>
                <w:szCs w:val="18"/>
              </w:rPr>
              <w:t>655.47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65,872,250.50</w:t>
            </w: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注:上述受限资金</w:t>
      </w:r>
      <w:r>
        <w:rPr>
          <w:color w:val="000000"/>
          <w:spacing w:val="0"/>
          <w:w w:val="100"/>
          <w:position w:val="0"/>
          <w:sz w:val="18"/>
          <w:szCs w:val="18"/>
        </w:rPr>
        <w:t xml:space="preserve">71, 754, </w:t>
      </w:r>
      <w:r>
        <w:rPr>
          <w:color w:val="000000"/>
          <w:spacing w:val="0"/>
          <w:w w:val="100"/>
          <w:position w:val="0"/>
          <w:sz w:val="18"/>
          <w:szCs w:val="18"/>
        </w:rPr>
        <w:t>655.4</w:t>
      </w:r>
      <w:r>
        <w:rPr>
          <w:color w:val="000000"/>
          <w:spacing w:val="0"/>
          <w:w w:val="100"/>
          <w:position w:val="0"/>
          <w:sz w:val="18"/>
          <w:szCs w:val="18"/>
        </w:rPr>
        <w:t>7</w:t>
      </w:r>
      <w:r>
        <w:rPr>
          <w:color w:val="000000"/>
          <w:spacing w:val="0"/>
          <w:w w:val="100"/>
          <w:position w:val="0"/>
        </w:rPr>
        <w:t>元包含诉讼保全资金</w:t>
      </w:r>
      <w:r>
        <w:rPr>
          <w:color w:val="000000"/>
          <w:spacing w:val="0"/>
          <w:w w:val="100"/>
          <w:position w:val="0"/>
          <w:sz w:val="18"/>
          <w:szCs w:val="18"/>
        </w:rPr>
        <w:t xml:space="preserve">12, 232, </w:t>
      </w:r>
      <w:r>
        <w:rPr>
          <w:color w:val="000000"/>
          <w:spacing w:val="0"/>
          <w:w w:val="100"/>
          <w:position w:val="0"/>
          <w:sz w:val="18"/>
          <w:szCs w:val="18"/>
        </w:rPr>
        <w:t xml:space="preserve">282. </w:t>
      </w:r>
      <w:r>
        <w:rPr>
          <w:color w:val="000000"/>
          <w:spacing w:val="0"/>
          <w:w w:val="100"/>
          <w:position w:val="0"/>
          <w:sz w:val="18"/>
          <w:szCs w:val="18"/>
        </w:rPr>
        <w:t>59</w:t>
      </w:r>
      <w:r>
        <w:rPr>
          <w:color w:val="000000"/>
          <w:spacing w:val="0"/>
          <w:w w:val="100"/>
          <w:position w:val="0"/>
        </w:rPr>
        <w:t>元为银行存款，相关诉讼事项详见附注十五、一、</w:t>
      </w:r>
      <w:r>
        <w:rPr>
          <w:color w:val="000000"/>
          <w:spacing w:val="0"/>
          <w:w w:val="100"/>
          <w:position w:val="0"/>
          <w:sz w:val="18"/>
          <w:szCs w:val="18"/>
        </w:rPr>
        <w:t xml:space="preserve">（6） </w:t>
      </w:r>
      <w:r>
        <w:rPr>
          <w:color w:val="000000"/>
          <w:spacing w:val="0"/>
          <w:w w:val="100"/>
          <w:position w:val="0"/>
        </w:rPr>
        <w:t>和</w:t>
      </w:r>
      <w:r>
        <w:rPr>
          <w:color w:val="000000"/>
          <w:spacing w:val="0"/>
          <w:w w:val="100"/>
          <w:position w:val="0"/>
          <w:sz w:val="18"/>
          <w:szCs w:val="18"/>
        </w:rPr>
        <w:t>（7），</w:t>
      </w:r>
      <w:r>
        <w:rPr>
          <w:color w:val="000000"/>
          <w:spacing w:val="0"/>
          <w:w w:val="100"/>
          <w:position w:val="0"/>
        </w:rPr>
        <w:t>其余</w:t>
      </w:r>
      <w:r>
        <w:rPr>
          <w:color w:val="000000"/>
          <w:spacing w:val="0"/>
          <w:w w:val="100"/>
          <w:position w:val="0"/>
          <w:sz w:val="18"/>
          <w:szCs w:val="18"/>
        </w:rPr>
        <w:t xml:space="preserve">59, </w:t>
      </w:r>
      <w:r>
        <w:rPr>
          <w:color w:val="000000"/>
          <w:spacing w:val="0"/>
          <w:w w:val="100"/>
          <w:position w:val="0"/>
          <w:sz w:val="18"/>
          <w:szCs w:val="18"/>
        </w:rPr>
        <w:t>522,372.88</w:t>
      </w:r>
      <w:r>
        <w:rPr>
          <w:color w:val="000000"/>
          <w:spacing w:val="0"/>
          <w:w w:val="100"/>
          <w:position w:val="0"/>
        </w:rPr>
        <w:t>元为其他货币资金，其他货币资金剩余金额</w:t>
      </w:r>
      <w:r>
        <w:rPr>
          <w:color w:val="000000"/>
          <w:spacing w:val="0"/>
          <w:w w:val="100"/>
          <w:position w:val="0"/>
          <w:sz w:val="18"/>
          <w:szCs w:val="18"/>
        </w:rPr>
        <w:t xml:space="preserve">2,110, </w:t>
      </w:r>
      <w:r>
        <w:rPr>
          <w:color w:val="000000"/>
          <w:spacing w:val="0"/>
          <w:w w:val="100"/>
          <w:position w:val="0"/>
          <w:sz w:val="18"/>
          <w:szCs w:val="18"/>
        </w:rPr>
        <w:t>872.09</w:t>
      </w:r>
      <w:r>
        <w:rPr>
          <w:color w:val="000000"/>
          <w:spacing w:val="0"/>
          <w:w w:val="100"/>
          <w:position w:val="0"/>
        </w:rPr>
        <w:t>元为证券账户存出投资款余额。</w:t>
      </w:r>
    </w:p>
    <w:p>
      <w:pPr>
        <w:widowControl w:val="0"/>
        <w:spacing w:after="379" w:line="1" w:lineRule="exact"/>
      </w:pPr>
    </w:p>
    <w:p>
      <w:pPr>
        <w:pStyle w:val="Style28"/>
        <w:keepNext/>
        <w:keepLines/>
        <w:widowControl w:val="0"/>
        <w:shd w:val="clear" w:color="auto" w:fill="auto"/>
        <w:tabs>
          <w:tab w:pos="378" w:val="left"/>
        </w:tabs>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color w:val="000000"/>
          <w:spacing w:val="0"/>
          <w:w w:val="100"/>
          <w:position w:val="0"/>
        </w:rPr>
        <w:t>、</w:t>
        <w:tab/>
        <w:t>交易性金融资产</w:t>
      </w:r>
      <w:bookmarkEnd w:id="1021"/>
      <w:bookmarkEnd w:id="1022"/>
      <w:bookmarkEnd w:id="1024"/>
    </w:p>
    <w:p>
      <w:pPr>
        <w:pStyle w:val="Style28"/>
        <w:keepNext/>
        <w:keepLines/>
        <w:widowControl w:val="0"/>
        <w:shd w:val="clear" w:color="auto" w:fill="auto"/>
        <w:tabs>
          <w:tab w:pos="378" w:val="left"/>
        </w:tabs>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color w:val="000000"/>
          <w:spacing w:val="0"/>
          <w:w w:val="100"/>
          <w:position w:val="0"/>
        </w:rPr>
        <w:t>、</w:t>
        <w:tab/>
        <w:t>衍生金融资产</w:t>
      </w:r>
      <w:bookmarkEnd w:id="1025"/>
      <w:bookmarkEnd w:id="1026"/>
      <w:bookmarkEnd w:id="1028"/>
    </w:p>
    <w:p>
      <w:pPr>
        <w:pStyle w:val="Style28"/>
        <w:keepNext/>
        <w:keepLines/>
        <w:widowControl w:val="0"/>
        <w:shd w:val="clear" w:color="auto" w:fill="auto"/>
        <w:tabs>
          <w:tab w:pos="378" w:val="left"/>
        </w:tabs>
        <w:bidi w:val="0"/>
        <w:spacing w:before="0" w:after="38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4</w:t>
      </w:r>
      <w:bookmarkEnd w:id="1031"/>
      <w:r>
        <w:rPr>
          <w:color w:val="000000"/>
          <w:spacing w:val="0"/>
          <w:w w:val="100"/>
          <w:position w:val="0"/>
        </w:rPr>
        <w:t>、</w:t>
        <w:tab/>
        <w:t>应收票据</w:t>
      </w:r>
      <w:bookmarkEnd w:id="1029"/>
      <w:bookmarkEnd w:id="1030"/>
      <w:bookmarkEnd w:id="1032"/>
    </w:p>
    <w:p>
      <w:pPr>
        <w:pStyle w:val="Style38"/>
        <w:keepNext/>
        <w:keepLines/>
        <w:widowControl w:val="0"/>
        <w:shd w:val="clear" w:color="auto" w:fill="auto"/>
        <w:bidi w:val="0"/>
        <w:spacing w:before="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33"/>
      <w:bookmarkEnd w:id="1034"/>
      <w:bookmarkEnd w:id="103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28,457,525.50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19,111,477.84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28,457,525.50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19,111,477.84</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29,955,2</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1,497,76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28,457,52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28,457,52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413" w:right="0" w:firstLine="0"/>
        <w:jc w:val="left"/>
      </w:pPr>
      <w:r>
        <w:rPr>
          <w:color w:val="000000"/>
          <w:spacing w:val="0"/>
          <w:w w:val="100"/>
          <w:position w:val="0"/>
        </w:rPr>
        <w:t>组合中，按预期信用损失计提坏账准备的应收票据</w:t>
      </w:r>
    </w:p>
    <w:tbl>
      <w:tblPr>
        <w:tblOverlap w:val="never"/>
        <w:jc w:val="center"/>
        <w:tblLayout w:type="fixed"/>
      </w:tblPr>
      <w:tblGrid>
        <w:gridCol w:w="3014"/>
        <w:gridCol w:w="2266"/>
        <w:gridCol w:w="1987"/>
        <w:gridCol w:w="1853"/>
      </w:tblGrid>
      <w:tr>
        <w:trPr>
          <w:trHeight w:val="34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计提比例（％）</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29, </w:t>
            </w:r>
            <w:r>
              <w:rPr>
                <w:color w:val="000000"/>
                <w:spacing w:val="0"/>
                <w:w w:val="100"/>
                <w:position w:val="0"/>
                <w:sz w:val="18"/>
                <w:szCs w:val="18"/>
              </w:rPr>
              <w:t>955,290.00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1,497,764.50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37"/>
      <w:bookmarkEnd w:id="1038"/>
      <w:bookmarkEnd w:id="1040"/>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1,005,867.26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491,897.24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1,497,764.50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1,005,867.26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491,897.24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1,497,764.50</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041"/>
      <w:bookmarkEnd w:id="1042"/>
      <w:bookmarkEnd w:id="1044"/>
    </w:p>
    <w:p>
      <w:pPr>
        <w:pStyle w:val="Style38"/>
        <w:keepNext/>
        <w:keepLines/>
        <w:widowControl w:val="0"/>
        <w:shd w:val="clear" w:color="auto" w:fill="auto"/>
        <w:tabs>
          <w:tab w:pos="493" w:val="left"/>
        </w:tabs>
        <w:bidi w:val="0"/>
        <w:spacing w:before="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045"/>
      <w:bookmarkEnd w:id="1046"/>
      <w:bookmarkEnd w:id="1048"/>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49"/>
      <w:bookmarkEnd w:id="1050"/>
      <w:bookmarkEnd w:id="1052"/>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注：截止财务报表批准报出日，已收回</w:t>
      </w:r>
      <w:r>
        <w:rPr>
          <w:color w:val="000000"/>
          <w:spacing w:val="0"/>
          <w:w w:val="100"/>
          <w:position w:val="0"/>
          <w:sz w:val="18"/>
          <w:szCs w:val="18"/>
        </w:rPr>
        <w:t>400</w:t>
      </w:r>
      <w:r>
        <w:rPr>
          <w:color w:val="000000"/>
          <w:spacing w:val="0"/>
          <w:w w:val="100"/>
          <w:position w:val="0"/>
        </w:rPr>
        <w:t>万。</w:t>
      </w:r>
      <w:r>
        <w:br w:type="page"/>
      </w:r>
    </w:p>
    <w:p>
      <w:pPr>
        <w:pStyle w:val="Style38"/>
        <w:keepNext/>
        <w:keepLines/>
        <w:widowControl w:val="0"/>
        <w:shd w:val="clear" w:color="auto" w:fill="auto"/>
        <w:bidi w:val="0"/>
        <w:spacing w:before="0" w:after="36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53"/>
      <w:bookmarkEnd w:id="1054"/>
      <w:bookmarkEnd w:id="1056"/>
    </w:p>
    <w:p>
      <w:pPr>
        <w:pStyle w:val="Style28"/>
        <w:keepNext/>
        <w:keepLines/>
        <w:widowControl w:val="0"/>
        <w:shd w:val="clear" w:color="auto" w:fill="auto"/>
        <w:bidi w:val="0"/>
        <w:spacing w:before="0" w:after="36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5</w:t>
      </w:r>
      <w:bookmarkEnd w:id="1059"/>
      <w:r>
        <w:rPr>
          <w:color w:val="000000"/>
          <w:spacing w:val="0"/>
          <w:w w:val="100"/>
          <w:position w:val="0"/>
        </w:rPr>
        <w:t>、应收账款</w:t>
      </w:r>
      <w:bookmarkEnd w:id="1057"/>
      <w:bookmarkEnd w:id="1058"/>
      <w:bookmarkEnd w:id="1060"/>
    </w:p>
    <w:p>
      <w:pPr>
        <w:pStyle w:val="Style38"/>
        <w:keepNext/>
        <w:keepLines/>
        <w:widowControl w:val="0"/>
        <w:shd w:val="clear" w:color="auto" w:fill="auto"/>
        <w:bidi w:val="0"/>
        <w:spacing w:before="0" w:after="36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61"/>
      <w:bookmarkEnd w:id="1062"/>
      <w:bookmarkEnd w:id="106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2,220,02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328,968,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1,891,057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1,926,703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291,674,5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2,220,02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328,968,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1,891,057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1,926,703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291,674,5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2,220,02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328,968,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1,891,057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1,926,703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291,674,5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2,220,025,391.80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328,968,187.54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2,220,025,391.80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328,968,187.54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1,267,073,393.59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457,031,971.96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307,489,356.17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188,430,670.08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43,130,333.20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16,904,108.14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128,396,228.74</w:t>
            </w:r>
          </w:p>
        </w:tc>
      </w:tr>
    </w:tbl>
    <w:p>
      <w:pPr>
        <w:widowControl w:val="0"/>
        <w:spacing w:line="1" w:lineRule="exact"/>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2,220,025,391.80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5"/>
      <w:bookmarkEnd w:id="1066"/>
      <w:bookmarkEnd w:id="1068"/>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291,674,535.72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37,293,651.82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328,968,187.54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291,674,535.72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37,293,651.82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328,968,187.54</w:t>
            </w:r>
          </w:p>
        </w:tc>
      </w:tr>
    </w:tbl>
    <w:p>
      <w:pPr>
        <w:widowControl w:val="0"/>
        <w:spacing w:after="31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69"/>
      <w:bookmarkEnd w:id="1070"/>
      <w:bookmarkEnd w:id="1072"/>
    </w:p>
    <w:p>
      <w:pPr>
        <w:pStyle w:val="Style38"/>
        <w:keepNext/>
        <w:keepLines/>
        <w:widowControl w:val="0"/>
        <w:shd w:val="clear" w:color="auto" w:fill="auto"/>
        <w:tabs>
          <w:tab w:pos="493" w:val="left"/>
        </w:tabs>
        <w:bidi w:val="0"/>
        <w:spacing w:before="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73"/>
      <w:bookmarkEnd w:id="1074"/>
      <w:bookmarkEnd w:id="107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70,351,227.67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3,517,561.38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49,703,647.05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2,485,182.35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43,558,628.18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3,388,182.30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43,466,879.93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7,799,576.62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342,930,382.83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77"/>
      <w:bookmarkEnd w:id="1078"/>
      <w:bookmarkEnd w:id="108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81"/>
      <w:bookmarkEnd w:id="1082"/>
      <w:bookmarkEnd w:id="108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6</w:t>
      </w:r>
      <w:bookmarkEnd w:id="1087"/>
      <w:r>
        <w:rPr>
          <w:color w:val="000000"/>
          <w:spacing w:val="0"/>
          <w:w w:val="100"/>
          <w:position w:val="0"/>
        </w:rPr>
        <w:t>、应收款项融资</w:t>
      </w:r>
      <w:bookmarkEnd w:id="1085"/>
      <w:bookmarkEnd w:id="1086"/>
      <w:bookmarkEnd w:id="1088"/>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应收款项融资本期增减变动及公允价值变动情况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7</w:t>
      </w:r>
      <w:bookmarkEnd w:id="1091"/>
      <w:r>
        <w:rPr>
          <w:color w:val="000000"/>
          <w:spacing w:val="0"/>
          <w:w w:val="100"/>
          <w:position w:val="0"/>
        </w:rPr>
        <w:t>、预付款项</w:t>
      </w:r>
      <w:bookmarkEnd w:id="1089"/>
      <w:bookmarkEnd w:id="1090"/>
      <w:bookmarkEnd w:id="1092"/>
    </w:p>
    <w:p>
      <w:pPr>
        <w:pStyle w:val="Style38"/>
        <w:keepNext/>
        <w:keepLines/>
        <w:widowControl w:val="0"/>
        <w:shd w:val="clear" w:color="auto" w:fill="auto"/>
        <w:bidi w:val="0"/>
        <w:spacing w:before="0" w:after="36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93"/>
      <w:bookmarkEnd w:id="1094"/>
      <w:bookmarkEnd w:id="109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139,760,405.68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131,998,307.63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6,273,722.87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332,205.05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405,481.70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623,335.40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142,185,939.01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139,179,585.00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8"/>
        <w:keepNext/>
        <w:keepLines/>
        <w:widowControl w:val="0"/>
        <w:shd w:val="clear" w:color="auto" w:fill="auto"/>
        <w:bidi w:val="0"/>
        <w:spacing w:before="0" w:after="28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97"/>
      <w:bookmarkEnd w:id="1098"/>
      <w:bookmarkEnd w:id="1100"/>
    </w:p>
    <w:p>
      <w:pPr>
        <w:pStyle w:val="Style25"/>
        <w:keepNext w:val="0"/>
        <w:keepLines w:val="0"/>
        <w:widowControl w:val="0"/>
        <w:shd w:val="clear" w:color="auto" w:fill="auto"/>
        <w:bidi w:val="0"/>
        <w:spacing w:before="0" w:after="40" w:line="307" w:lineRule="exact"/>
        <w:ind w:left="0" w:right="0"/>
        <w:jc w:val="left"/>
      </w:pPr>
      <w:r>
        <w:rPr>
          <w:color w:val="000000"/>
          <w:spacing w:val="0"/>
          <w:w w:val="100"/>
          <w:position w:val="0"/>
        </w:rPr>
        <w:t>本集团按预付对象归集的期末余额前五名预付账款汇总金额为</w:t>
      </w:r>
      <w:r>
        <w:rPr>
          <w:color w:val="000000"/>
          <w:spacing w:val="0"/>
          <w:w w:val="100"/>
          <w:position w:val="0"/>
          <w:sz w:val="18"/>
          <w:szCs w:val="18"/>
        </w:rPr>
        <w:t xml:space="preserve">13, 061, </w:t>
      </w:r>
      <w:r>
        <w:rPr>
          <w:color w:val="000000"/>
          <w:spacing w:val="0"/>
          <w:w w:val="100"/>
          <w:position w:val="0"/>
          <w:sz w:val="18"/>
          <w:szCs w:val="18"/>
        </w:rPr>
        <w:t xml:space="preserve">696. </w:t>
      </w:r>
      <w:r>
        <w:rPr>
          <w:color w:val="000000"/>
          <w:spacing w:val="0"/>
          <w:w w:val="100"/>
          <w:position w:val="0"/>
          <w:sz w:val="18"/>
          <w:szCs w:val="18"/>
        </w:rPr>
        <w:t>37</w:t>
      </w:r>
      <w:r>
        <w:rPr>
          <w:color w:val="000000"/>
          <w:spacing w:val="0"/>
          <w:w w:val="100"/>
          <w:position w:val="0"/>
        </w:rPr>
        <w:t xml:space="preserve">元，占预付账款期末余额合计数的比例为 </w:t>
      </w:r>
      <w:r>
        <w:rPr>
          <w:color w:val="000000"/>
          <w:spacing w:val="0"/>
          <w:w w:val="100"/>
          <w:position w:val="0"/>
          <w:sz w:val="18"/>
          <w:szCs w:val="18"/>
        </w:rPr>
        <w:t>9.19%</w:t>
      </w:r>
      <w:r>
        <w:rPr>
          <w:color w:val="000000"/>
          <w:spacing w:val="0"/>
          <w:w w:val="100"/>
          <w:position w:val="0"/>
        </w:rPr>
        <w:t>。</w:t>
      </w:r>
    </w:p>
    <w:p>
      <w:pPr>
        <w:pStyle w:val="Style25"/>
        <w:keepNext w:val="0"/>
        <w:keepLines w:val="0"/>
        <w:widowControl w:val="0"/>
        <w:shd w:val="clear" w:color="auto" w:fill="auto"/>
        <w:bidi w:val="0"/>
        <w:spacing w:before="0" w:after="400" w:line="307" w:lineRule="exact"/>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8</w:t>
      </w:r>
      <w:bookmarkEnd w:id="1103"/>
      <w:r>
        <w:rPr>
          <w:color w:val="000000"/>
          <w:spacing w:val="0"/>
          <w:w w:val="100"/>
          <w:position w:val="0"/>
        </w:rPr>
        <w:t>、其他应收款</w:t>
      </w:r>
      <w:bookmarkEnd w:id="1101"/>
      <w:bookmarkEnd w:id="1102"/>
      <w:bookmarkEnd w:id="1104"/>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173,134,939.16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160,485,328.69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173,134,939.16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160,485,328.69</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05"/>
      <w:bookmarkEnd w:id="1106"/>
      <w:bookmarkEnd w:id="1108"/>
    </w:p>
    <w:p>
      <w:pPr>
        <w:pStyle w:val="Style53"/>
        <w:keepNext/>
        <w:keepLines/>
        <w:widowControl w:val="0"/>
        <w:shd w:val="clear" w:color="auto" w:fill="auto"/>
        <w:tabs>
          <w:tab w:pos="382" w:val="left"/>
        </w:tabs>
        <w:bidi w:val="0"/>
        <w:spacing w:before="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w:t>
      </w:r>
      <w:bookmarkEnd w:id="1111"/>
      <w:r>
        <w:rPr>
          <w:color w:val="000000"/>
          <w:spacing w:val="0"/>
          <w:w w:val="100"/>
          <w:position w:val="0"/>
        </w:rPr>
        <w:t>）</w:t>
        <w:tab/>
        <w:t>应收利息分类</w:t>
      </w:r>
      <w:bookmarkEnd w:id="1109"/>
      <w:bookmarkEnd w:id="1110"/>
      <w:bookmarkEnd w:id="1112"/>
    </w:p>
    <w:p>
      <w:pPr>
        <w:pStyle w:val="Style53"/>
        <w:keepNext/>
        <w:keepLines/>
        <w:widowControl w:val="0"/>
        <w:shd w:val="clear" w:color="auto" w:fill="auto"/>
        <w:tabs>
          <w:tab w:pos="392" w:val="left"/>
        </w:tabs>
        <w:bidi w:val="0"/>
        <w:spacing w:before="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bookmarkEnd w:id="1115"/>
      <w:r>
        <w:rPr>
          <w:color w:val="000000"/>
          <w:spacing w:val="0"/>
          <w:w w:val="100"/>
          <w:position w:val="0"/>
        </w:rPr>
        <w:t>）</w:t>
        <w:tab/>
        <w:t>重要逾期利息</w:t>
      </w:r>
      <w:bookmarkEnd w:id="1113"/>
      <w:bookmarkEnd w:id="1114"/>
      <w:bookmarkEnd w:id="1116"/>
    </w:p>
    <w:p>
      <w:pPr>
        <w:pStyle w:val="Style53"/>
        <w:keepNext/>
        <w:keepLines/>
        <w:widowControl w:val="0"/>
        <w:shd w:val="clear" w:color="auto" w:fill="auto"/>
        <w:tabs>
          <w:tab w:pos="392" w:val="left"/>
        </w:tabs>
        <w:bidi w:val="0"/>
        <w:spacing w:before="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3</w:t>
      </w:r>
      <w:bookmarkEnd w:id="1119"/>
      <w:r>
        <w:rPr>
          <w:color w:val="000000"/>
          <w:spacing w:val="0"/>
          <w:w w:val="100"/>
          <w:position w:val="0"/>
        </w:rPr>
        <w:t>）</w:t>
        <w:tab/>
        <w:t>坏账准备计提情况</w:t>
      </w:r>
      <w:bookmarkEnd w:id="1117"/>
      <w:bookmarkEnd w:id="1118"/>
      <w:bookmarkEnd w:id="1120"/>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6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121"/>
      <w:bookmarkEnd w:id="1122"/>
      <w:bookmarkEnd w:id="1124"/>
    </w:p>
    <w:p>
      <w:pPr>
        <w:pStyle w:val="Style53"/>
        <w:keepNext/>
        <w:keepLines/>
        <w:widowControl w:val="0"/>
        <w:shd w:val="clear" w:color="auto" w:fill="auto"/>
        <w:tabs>
          <w:tab w:pos="382" w:val="left"/>
        </w:tabs>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color w:val="000000"/>
          <w:spacing w:val="0"/>
          <w:w w:val="100"/>
          <w:position w:val="0"/>
        </w:rPr>
        <w:t>）</w:t>
        <w:tab/>
        <w:t>应收股利分类</w:t>
      </w:r>
      <w:bookmarkEnd w:id="1125"/>
      <w:bookmarkEnd w:id="1126"/>
      <w:bookmarkEnd w:id="1128"/>
    </w:p>
    <w:p>
      <w:pPr>
        <w:pStyle w:val="Style53"/>
        <w:keepNext/>
        <w:keepLines/>
        <w:widowControl w:val="0"/>
        <w:shd w:val="clear" w:color="auto" w:fill="auto"/>
        <w:tabs>
          <w:tab w:pos="392" w:val="left"/>
        </w:tabs>
        <w:bidi w:val="0"/>
        <w:spacing w:before="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bookmarkEnd w:id="1131"/>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29"/>
      <w:bookmarkEnd w:id="1130"/>
      <w:bookmarkEnd w:id="1132"/>
    </w:p>
    <w:p>
      <w:pPr>
        <w:pStyle w:val="Style53"/>
        <w:keepNext/>
        <w:keepLines/>
        <w:widowControl w:val="0"/>
        <w:shd w:val="clear" w:color="auto" w:fill="auto"/>
        <w:tabs>
          <w:tab w:pos="392" w:val="left"/>
        </w:tabs>
        <w:bidi w:val="0"/>
        <w:spacing w:before="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3</w:t>
      </w:r>
      <w:bookmarkEnd w:id="1135"/>
      <w:r>
        <w:rPr>
          <w:color w:val="000000"/>
          <w:spacing w:val="0"/>
          <w:w w:val="100"/>
          <w:position w:val="0"/>
        </w:rPr>
        <w:t>）</w:t>
        <w:tab/>
        <w:t>坏账准备计提情况</w:t>
      </w:r>
      <w:bookmarkEnd w:id="1133"/>
      <w:bookmarkEnd w:id="1134"/>
      <w:bookmarkEnd w:id="113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93" w:val="left"/>
        </w:tabs>
        <w:bidi w:val="0"/>
        <w:spacing w:before="0" w:after="36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137"/>
      <w:bookmarkEnd w:id="1138"/>
      <w:bookmarkEnd w:id="1140"/>
    </w:p>
    <w:p>
      <w:pPr>
        <w:pStyle w:val="Style53"/>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1</w:t>
      </w:r>
      <w:bookmarkEnd w:id="1143"/>
      <w:r>
        <w:rPr>
          <w:color w:val="000000"/>
          <w:spacing w:val="0"/>
          <w:w w:val="100"/>
          <w:position w:val="0"/>
        </w:rPr>
        <w:t>）其他应收款按款项性质分类情况</w:t>
      </w:r>
      <w:bookmarkEnd w:id="1141"/>
      <w:bookmarkEnd w:id="1142"/>
      <w:bookmarkEnd w:id="114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232,796,486.19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232,796,486.19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76,309,471.77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78,611,443.55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116,377,818.19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130,266,864.09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33,792,593.53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37,285,847.72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33,524,852.34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5,495,038.07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1,756,440.46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3,476,891.82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494,557,662.48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487,932,571.44</w:t>
            </w:r>
          </w:p>
        </w:tc>
      </w:tr>
    </w:tbl>
    <w:p>
      <w:pPr>
        <w:widowControl w:val="0"/>
        <w:spacing w:after="359" w:line="1" w:lineRule="exact"/>
      </w:pPr>
    </w:p>
    <w:p>
      <w:pPr>
        <w:pStyle w:val="Style53"/>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2</w:t>
      </w:r>
      <w:bookmarkEnd w:id="1147"/>
      <w:r>
        <w:rPr>
          <w:color w:val="000000"/>
          <w:spacing w:val="0"/>
          <w:w w:val="100"/>
          <w:position w:val="0"/>
        </w:rPr>
        <w:t>）坏账准备计提情况</w:t>
      </w:r>
      <w:bookmarkEnd w:id="1145"/>
      <w:bookmarkEnd w:id="1146"/>
      <w:bookmarkEnd w:id="114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24"/>
        <w:gridCol w:w="1829"/>
        <w:gridCol w:w="1824"/>
        <w:gridCol w:w="18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94,364,657.32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233,082,585.43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327,447,242.75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-6,024,519.43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-6,024,519.43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88,340,137.89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233,082,585.43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321,422,723.32</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95,179,934.92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42,241,374.40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28,978,447.13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328,157,906.03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261,937,348.41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13,887,150.39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52,333,407.23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494,557,662.48</w:t>
            </w:r>
          </w:p>
        </w:tc>
      </w:tr>
    </w:tbl>
    <w:p>
      <w:pPr>
        <w:widowControl w:val="0"/>
        <w:spacing w:after="339" w:line="1" w:lineRule="exact"/>
      </w:pPr>
    </w:p>
    <w:p>
      <w:pPr>
        <w:pStyle w:val="Style53"/>
        <w:keepNext/>
        <w:keepLines/>
        <w:widowControl w:val="0"/>
        <w:shd w:val="clear" w:color="auto" w:fill="auto"/>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3</w:t>
      </w:r>
      <w:bookmarkEnd w:id="1151"/>
      <w:r>
        <w:rPr>
          <w:color w:val="000000"/>
          <w:spacing w:val="0"/>
          <w:w w:val="100"/>
          <w:position w:val="0"/>
        </w:rPr>
        <w:t>）本期计提、收回或转回的坏账准备情况</w:t>
      </w:r>
      <w:bookmarkEnd w:id="1149"/>
      <w:bookmarkEnd w:id="1150"/>
      <w:bookmarkEnd w:id="115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277"/>
        <w:gridCol w:w="1157"/>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233,082,585.43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233,082,585.43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94,364,657.32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-6,024,519.43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88,340,137.89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327,447,242.75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-6,024,519.43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321,422,723.32</w:t>
            </w:r>
          </w:p>
        </w:tc>
      </w:tr>
    </w:tbl>
    <w:p>
      <w:pPr>
        <w:widowControl w:val="0"/>
        <w:spacing w:after="339" w:line="1" w:lineRule="exact"/>
      </w:pPr>
    </w:p>
    <w:p>
      <w:pPr>
        <w:pStyle w:val="Style53"/>
        <w:keepNext/>
        <w:keepLines/>
        <w:widowControl w:val="0"/>
        <w:shd w:val="clear" w:color="auto" w:fill="auto"/>
        <w:tabs>
          <w:tab w:pos="392" w:val="left"/>
        </w:tabs>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4</w:t>
      </w:r>
      <w:bookmarkEnd w:id="1155"/>
      <w:r>
        <w:rPr>
          <w:color w:val="000000"/>
          <w:spacing w:val="0"/>
          <w:w w:val="100"/>
          <w:position w:val="0"/>
        </w:rPr>
        <w:t>）</w:t>
        <w:tab/>
        <w:t>本期实际核销的其他应收款情况</w:t>
      </w:r>
      <w:bookmarkEnd w:id="1153"/>
      <w:bookmarkEnd w:id="1154"/>
      <w:bookmarkEnd w:id="1156"/>
    </w:p>
    <w:p>
      <w:pPr>
        <w:pStyle w:val="Style53"/>
        <w:keepNext/>
        <w:keepLines/>
        <w:widowControl w:val="0"/>
        <w:shd w:val="clear" w:color="auto" w:fill="auto"/>
        <w:tabs>
          <w:tab w:pos="392" w:val="left"/>
        </w:tabs>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5</w:t>
      </w:r>
      <w:bookmarkEnd w:id="1159"/>
      <w:r>
        <w:rPr>
          <w:color w:val="000000"/>
          <w:spacing w:val="0"/>
          <w:w w:val="100"/>
          <w:position w:val="0"/>
        </w:rPr>
        <w:t>）</w:t>
        <w:tab/>
        <w:t>按欠款方归集的期末余额前五名的其他应收款情况</w:t>
      </w:r>
      <w:bookmarkEnd w:id="1157"/>
      <w:bookmarkEnd w:id="1158"/>
      <w:bookmarkEnd w:id="116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232,796,486.19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232,796,486.19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浙江万朋教育科技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24,501,814.27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1,225,090.71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上海景聃企业管理 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上海中交智能系统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4,653,959.69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4,653,959.69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江苏智运科技发展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4,055,374.00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4,055,374.00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274,007,634.15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246,730,910.59</w:t>
            </w:r>
          </w:p>
        </w:tc>
      </w:tr>
    </w:tbl>
    <w:p>
      <w:pPr>
        <w:pStyle w:val="Style53"/>
        <w:keepNext/>
        <w:keepLines/>
        <w:widowControl w:val="0"/>
        <w:shd w:val="clear" w:color="auto" w:fill="auto"/>
        <w:tabs>
          <w:tab w:pos="392" w:val="left"/>
        </w:tabs>
        <w:bidi w:val="0"/>
        <w:spacing w:before="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6</w:t>
      </w:r>
      <w:bookmarkEnd w:id="1163"/>
      <w:r>
        <w:rPr>
          <w:color w:val="000000"/>
          <w:spacing w:val="0"/>
          <w:w w:val="100"/>
          <w:position w:val="0"/>
        </w:rPr>
        <w:t>）</w:t>
        <w:tab/>
        <w:t>涉及政府补助的应收款项</w:t>
      </w:r>
      <w:bookmarkEnd w:id="1161"/>
      <w:bookmarkEnd w:id="1162"/>
      <w:bookmarkEnd w:id="1164"/>
    </w:p>
    <w:p>
      <w:pPr>
        <w:pStyle w:val="Style53"/>
        <w:keepNext/>
        <w:keepLines/>
        <w:widowControl w:val="0"/>
        <w:shd w:val="clear" w:color="auto" w:fill="auto"/>
        <w:tabs>
          <w:tab w:pos="387" w:val="left"/>
        </w:tabs>
        <w:bidi w:val="0"/>
        <w:spacing w:before="0" w:line="240" w:lineRule="auto"/>
        <w:ind w:left="0" w:right="0" w:firstLine="0"/>
        <w:jc w:val="both"/>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7</w:t>
      </w:r>
      <w:bookmarkEnd w:id="1167"/>
      <w:r>
        <w:rPr>
          <w:color w:val="000000"/>
          <w:spacing w:val="0"/>
          <w:w w:val="100"/>
          <w:position w:val="0"/>
        </w:rPr>
        <w:t>）</w:t>
        <w:tab/>
        <w:t>因金融资产转移而终止确认的其他应收款</w:t>
      </w:r>
      <w:bookmarkEnd w:id="1165"/>
      <w:bookmarkEnd w:id="1166"/>
      <w:bookmarkEnd w:id="1168"/>
    </w:p>
    <w:p>
      <w:pPr>
        <w:pStyle w:val="Style53"/>
        <w:keepNext/>
        <w:keepLines/>
        <w:widowControl w:val="0"/>
        <w:shd w:val="clear" w:color="auto" w:fill="auto"/>
        <w:tabs>
          <w:tab w:pos="392" w:val="left"/>
        </w:tabs>
        <w:bidi w:val="0"/>
        <w:spacing w:before="0" w:line="240" w:lineRule="auto"/>
        <w:ind w:left="0" w:right="0" w:firstLine="0"/>
        <w:jc w:val="both"/>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8</w:t>
      </w:r>
      <w:bookmarkEnd w:id="1171"/>
      <w:r>
        <w:rPr>
          <w:color w:val="000000"/>
          <w:spacing w:val="0"/>
          <w:w w:val="100"/>
          <w:position w:val="0"/>
        </w:rPr>
        <w:t>）</w:t>
        <w:tab/>
        <w:t>转移其他应收款且继续涉入形成的资产、负债金额</w:t>
      </w:r>
      <w:bookmarkEnd w:id="1169"/>
      <w:bookmarkEnd w:id="1170"/>
      <w:bookmarkEnd w:id="1172"/>
    </w:p>
    <w:p>
      <w:pPr>
        <w:pStyle w:val="Style28"/>
        <w:keepNext/>
        <w:keepLines/>
        <w:widowControl w:val="0"/>
        <w:shd w:val="clear" w:color="auto" w:fill="auto"/>
        <w:bidi w:val="0"/>
        <w:spacing w:before="0" w:after="360" w:line="240" w:lineRule="auto"/>
        <w:ind w:left="0" w:right="0" w:firstLine="0"/>
        <w:jc w:val="both"/>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9</w:t>
      </w:r>
      <w:bookmarkEnd w:id="1175"/>
      <w:r>
        <w:rPr>
          <w:color w:val="000000"/>
          <w:spacing w:val="0"/>
          <w:w w:val="100"/>
          <w:position w:val="0"/>
        </w:rPr>
        <w:t>、存货</w:t>
      </w:r>
      <w:bookmarkEnd w:id="1173"/>
      <w:bookmarkEnd w:id="1174"/>
      <w:bookmarkEnd w:id="1176"/>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8"/>
        <w:keepNext/>
        <w:keepLines/>
        <w:widowControl w:val="0"/>
        <w:shd w:val="clear" w:color="auto" w:fill="auto"/>
        <w:bidi w:val="0"/>
        <w:spacing w:before="0" w:after="360" w:line="240" w:lineRule="auto"/>
        <w:ind w:left="0" w:right="0" w:firstLine="0"/>
        <w:jc w:val="both"/>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7"/>
      <w:bookmarkEnd w:id="1178"/>
      <w:bookmarkEnd w:id="118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1,215,909.50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1,215,909.50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1,172,642.26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1,172,642.26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120,440.89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304,111.91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41,359,113.54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3,094,394.23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38,264,719.31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118,516,777.93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3,363,606.76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115,153,171.17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42,695,463.93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3,094,394.23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39,601,069.70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119,993,532.10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3,363,606.76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116,629,925.34</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81"/>
      <w:bookmarkEnd w:id="1182"/>
      <w:bookmarkEnd w:id="118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3,363,606.76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-269,212.53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3,094,394.23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3,363,606.76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-269,212.53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3,094,394.23</w:t>
            </w: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both"/>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85"/>
      <w:bookmarkEnd w:id="1186"/>
      <w:bookmarkEnd w:id="1188"/>
    </w:p>
    <w:p>
      <w:pPr>
        <w:pStyle w:val="Style38"/>
        <w:keepNext/>
        <w:keepLines/>
        <w:widowControl w:val="0"/>
        <w:shd w:val="clear" w:color="auto" w:fill="auto"/>
        <w:tabs>
          <w:tab w:pos="493" w:val="left"/>
        </w:tabs>
        <w:bidi w:val="0"/>
        <w:spacing w:before="0" w:after="360" w:line="240" w:lineRule="auto"/>
        <w:ind w:left="0" w:right="0" w:firstLine="0"/>
        <w:jc w:val="both"/>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89"/>
      <w:bookmarkEnd w:id="1190"/>
      <w:bookmarkEnd w:id="1192"/>
    </w:p>
    <w:p>
      <w:pPr>
        <w:pStyle w:val="Style28"/>
        <w:keepNext/>
        <w:keepLines/>
        <w:widowControl w:val="0"/>
        <w:shd w:val="clear" w:color="auto" w:fill="auto"/>
        <w:bidi w:val="0"/>
        <w:spacing w:before="0" w:after="360" w:line="240" w:lineRule="auto"/>
        <w:ind w:left="0" w:right="0" w:firstLine="0"/>
        <w:jc w:val="both"/>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93"/>
      <w:bookmarkEnd w:id="1194"/>
      <w:bookmarkEnd w:id="119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2141"/>
        <w:gridCol w:w="1195"/>
        <w:gridCol w:w="1330"/>
        <w:gridCol w:w="1195"/>
        <w:gridCol w:w="1195"/>
        <w:gridCol w:w="1195"/>
        <w:gridCol w:w="13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已完工未结算工程项目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1,735,741,525.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26,036,122.88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1,709,705,402.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1,713,975,473.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25,709,632.10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1,688,265,841.10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124,453,138.28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1,866,797.08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122,586,341.20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92,276,462.17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377,571.04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91,898,891.13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减：计入其他非流动资产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（附注六、</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-62,979,237.76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-944,688.57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-62,034,549.19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-67,105,058.89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-67,105,058.89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1,797,215,425.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26,958,231.39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1,770,257,194.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1,739,146,876.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26,087,203.14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1,713,059,673.34</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合同资产的账面价值在本期内发生的重大变动金额和原因:</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本期合同资产计提减值准备情况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已完工未结算工程项目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316,507.47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1,499,209.35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1,815,716.82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tabs>
          <w:tab w:pos="474" w:val="left"/>
        </w:tabs>
        <w:bidi w:val="0"/>
        <w:spacing w:before="0" w:after="340" w:line="240" w:lineRule="auto"/>
        <w:ind w:left="0" w:right="0" w:firstLine="0"/>
        <w:jc w:val="both"/>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197"/>
      <w:bookmarkEnd w:id="1198"/>
      <w:bookmarkEnd w:id="1200"/>
    </w:p>
    <w:p>
      <w:pPr>
        <w:pStyle w:val="Style28"/>
        <w:keepNext/>
        <w:keepLines/>
        <w:widowControl w:val="0"/>
        <w:shd w:val="clear" w:color="auto" w:fill="auto"/>
        <w:tabs>
          <w:tab w:pos="474" w:val="left"/>
        </w:tabs>
        <w:bidi w:val="0"/>
        <w:spacing w:before="0" w:after="380" w:line="240" w:lineRule="auto"/>
        <w:ind w:left="0" w:right="0" w:firstLine="0"/>
        <w:jc w:val="both"/>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01"/>
      <w:bookmarkEnd w:id="1202"/>
      <w:bookmarkEnd w:id="1204"/>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一年内到期的长期应收款（附注六、</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10,872,639.51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10,872,639.51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bookmarkEnd w:id="120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05"/>
      <w:bookmarkEnd w:id="1206"/>
      <w:bookmarkEnd w:id="1208"/>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2,811,278.67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6,899,368.88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1,087,992.46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82,475.44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3,899,271.13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6,981,844.32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tabs>
          <w:tab w:pos="474" w:val="left"/>
        </w:tabs>
        <w:bidi w:val="0"/>
        <w:spacing w:before="0" w:after="38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209"/>
      <w:bookmarkEnd w:id="1210"/>
      <w:bookmarkEnd w:id="1212"/>
    </w:p>
    <w:p>
      <w:pPr>
        <w:pStyle w:val="Style28"/>
        <w:keepNext/>
        <w:keepLines/>
        <w:widowControl w:val="0"/>
        <w:shd w:val="clear" w:color="auto" w:fill="auto"/>
        <w:tabs>
          <w:tab w:pos="474" w:val="left"/>
        </w:tabs>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13"/>
      <w:bookmarkEnd w:id="1214"/>
      <w:bookmarkEnd w:id="1216"/>
    </w:p>
    <w:p>
      <w:pPr>
        <w:pStyle w:val="Style28"/>
        <w:keepNext/>
        <w:keepLines/>
        <w:widowControl w:val="0"/>
        <w:shd w:val="clear" w:color="auto" w:fill="auto"/>
        <w:tabs>
          <w:tab w:pos="474" w:val="left"/>
        </w:tabs>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17"/>
      <w:bookmarkEnd w:id="1218"/>
      <w:bookmarkEnd w:id="1220"/>
    </w:p>
    <w:p>
      <w:pPr>
        <w:pStyle w:val="Style38"/>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21"/>
      <w:bookmarkEnd w:id="1222"/>
      <w:bookmarkEnd w:id="1224"/>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16,345,775.36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16,345,775.36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36,754,952.91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36,754,952.91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5.39%-6.49%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其中：未实 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569,674.52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569,674.52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1,578,418.58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1,578,418.58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5.39%-6.49%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 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-10,872,639.51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-10,872,639.51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5,473,135.85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5,473,135.85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36,754,952.91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36,754,952.91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25"/>
      <w:bookmarkEnd w:id="1226"/>
      <w:bookmarkEnd w:id="1228"/>
    </w:p>
    <w:p>
      <w:pPr>
        <w:pStyle w:val="Style38"/>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29"/>
      <w:bookmarkEnd w:id="1230"/>
      <w:bookmarkEnd w:id="1232"/>
    </w:p>
    <w:p>
      <w:pPr>
        <w:pStyle w:val="Style28"/>
        <w:keepNext/>
        <w:keepLines/>
        <w:widowControl w:val="0"/>
        <w:shd w:val="clear" w:color="auto" w:fill="auto"/>
        <w:bidi w:val="0"/>
        <w:spacing w:before="0" w:after="38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bookmarkEnd w:id="123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33"/>
      <w:bookmarkEnd w:id="1234"/>
      <w:bookmarkEnd w:id="1236"/>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上海银江 智慧智能 化技术有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10,265,12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167,154.7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10,432,27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安徽新网 讯科技发 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12,097,84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192,409.0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北京银江</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瑞讯科技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10,002,64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8,025,514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上海济祥 智能交通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杭州天尊 信息技术 有限公司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2,272,138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厦门银江 智慧城市 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8,838,265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482,591.1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9,320,856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美国华人</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执业医生</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网络医院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杭州银江 智慧产业 创业投资 合伙企业 （有限合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464,923,5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460,005,2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杭州银江 医联网技 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11,306,93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219,928.3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杭州清普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23,379,36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-643,614. </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22,735,75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浙江银江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金服控股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25,832,59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25,560,97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浙江贤谷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19,441,78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19,302,19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重庆市银 江国超科 技有限公</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1,115,584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94,526.07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1,210,110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浙江智尔</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2,855,179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2,291,830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5,147,009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浙江之科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智慧科技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386,949.6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4,386,949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592,330,9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-4,114,81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589,944,0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592,330,9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-4,114,81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589,944,0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37"/>
      <w:bookmarkEnd w:id="1238"/>
      <w:bookmarkEnd w:id="1240"/>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山东博安智能科技股份有限公司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29,928,000.00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29,928,000.00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浙江万朋教育科技股份有限公司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40,094,000.00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80,188,000.00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亿邦国际控股公司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1,077,318.16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158,424,572.00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MAGIC LEAP,INC.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17,851,960.00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32,854,000.00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浙江银江智能信息科技有限公司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89,451,278.16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301,394,572.00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950"/>
        <w:gridCol w:w="1133"/>
        <w:gridCol w:w="1416"/>
        <w:gridCol w:w="1968"/>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指定为以公允价值计量 且其变动计入其他综合 收益的原因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入留存收益的原 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山东博安智能科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非交易性投资</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浙江万朋教育科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非交易性投资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950"/>
        <w:gridCol w:w="1133"/>
        <w:gridCol w:w="1416"/>
        <w:gridCol w:w="19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亿邦国际控股公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1,383,446.84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-94,387,909.63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出售股权</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MAGIC</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LEAP,INC.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15,002,040.00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41"/>
      <w:bookmarkEnd w:id="1242"/>
      <w:bookmarkEnd w:id="124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12"/>
        <w:gridCol w:w="2266"/>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widowControl w:val="0"/>
        <w:spacing w:line="1" w:lineRule="exact"/>
      </w:pPr>
    </w:p>
    <w:tbl>
      <w:tblPr>
        <w:tblOverlap w:val="never"/>
        <w:jc w:val="center"/>
        <w:tblLayout w:type="fixed"/>
      </w:tblPr>
      <w:tblGrid>
        <w:gridCol w:w="5112"/>
        <w:gridCol w:w="2266"/>
        <w:gridCol w:w="2141"/>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951" w:val="left"/>
              </w:tabs>
              <w:bidi w:val="0"/>
              <w:spacing w:before="0" w:after="0" w:line="240" w:lineRule="auto"/>
              <w:ind w:left="0" w:right="0"/>
              <w:jc w:val="left"/>
            </w:pPr>
            <w:r>
              <w:rPr>
                <w:color w:val="000000"/>
                <w:spacing w:val="0"/>
                <w:w w:val="100"/>
                <w:position w:val="0"/>
              </w:rPr>
              <w:t>项</w:t>
              <w:tab/>
              <w:t>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上年年末余额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分类以公允价值计量且其变动计入当期损益的金融资产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杭州求创天使股权投资基金合伙企业（有限合伙）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bookmarkEnd w:id="124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45"/>
      <w:bookmarkEnd w:id="1246"/>
      <w:bookmarkEnd w:id="1248"/>
    </w:p>
    <w:p>
      <w:pPr>
        <w:pStyle w:val="Style38"/>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49"/>
      <w:bookmarkEnd w:id="1250"/>
      <w:bookmarkEnd w:id="1252"/>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979"/>
        <w:gridCol w:w="1699"/>
        <w:gridCol w:w="1416"/>
        <w:gridCol w:w="1277"/>
        <w:gridCol w:w="121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732,474,572.54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732,474,572.54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135,108,726.54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135,108,726.54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39,960,594.61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39,960,594.61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182,902,611.14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182,902,611.14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4,769,004.00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4,769,004.00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）转入固定资产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178,133,607.14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178,133,607.14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684,680,697.94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684,680,697.94</w:t>
            </w:r>
          </w:p>
        </w:tc>
      </w:tr>
    </w:tbl>
    <w:p>
      <w:pPr>
        <w:widowControl w:val="0"/>
        <w:spacing w:line="1" w:lineRule="exact"/>
      </w:pPr>
      <w:r>
        <w:br w:type="page"/>
      </w:r>
    </w:p>
    <w:tbl>
      <w:tblPr>
        <w:tblOverlap w:val="never"/>
        <w:jc w:val="center"/>
        <w:tblLayout w:type="fixed"/>
      </w:tblPr>
      <w:tblGrid>
        <w:gridCol w:w="3979"/>
        <w:gridCol w:w="1699"/>
        <w:gridCol w:w="1416"/>
        <w:gridCol w:w="1277"/>
        <w:gridCol w:w="121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54,655,539.27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54,655,539.27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54,503,410.88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54,503,410.88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24,266,424.16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24,266,424.16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18,955,191.58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18,955,191.58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13,924,618.51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13,924,618.51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2,642,823.37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2,642,823.37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）转入固定资产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11,281,795.14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11,281,795.14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95,234,331.64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95,234,331.64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589,446,366.30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589,446,366.30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677,819,033.27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677,819,033.27</w:t>
            </w:r>
          </w:p>
        </w:tc>
      </w:tr>
    </w:tbl>
    <w:p>
      <w:pPr>
        <w:widowControl w:val="0"/>
        <w:spacing w:after="31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53"/>
      <w:bookmarkEnd w:id="1254"/>
      <w:bookmarkEnd w:id="125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57"/>
      <w:bookmarkEnd w:id="1258"/>
      <w:bookmarkEnd w:id="126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2482"/>
        <w:gridCol w:w="39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中国智谷富春园区</w:t>
            </w:r>
            <w:r>
              <w:rPr>
                <w:rFonts w:ascii="Times New Roman" w:eastAsia="Times New Roman" w:hAnsi="Times New Roman" w:cs="Times New Roman"/>
                <w:color w:val="000000"/>
                <w:spacing w:val="0"/>
                <w:w w:val="100"/>
                <w:position w:val="0"/>
                <w:sz w:val="18"/>
                <w:szCs w:val="18"/>
              </w:rPr>
              <w:t>11#-14#</w:t>
            </w:r>
            <w:r>
              <w:rPr>
                <w:color w:val="000000"/>
                <w:spacing w:val="0"/>
                <w:w w:val="100"/>
                <w:position w:val="0"/>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281,742,263.53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因规划调整等原因，土地权证分割尚未完成</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中国智谷富春园区</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166,851,812.00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因规划调整等原因，土地权证分割尚未完成</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bookmarkEnd w:id="126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61"/>
      <w:bookmarkEnd w:id="1262"/>
      <w:bookmarkEnd w:id="126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232,667,128.52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96,845,820.71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232,667,128.52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96,845,820.71</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5"/>
      <w:bookmarkEnd w:id="1266"/>
      <w:bookmarkEnd w:id="12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858"/>
        <w:gridCol w:w="1862"/>
        <w:gridCol w:w="1862"/>
        <w:gridCol w:w="187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120,581,853.42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38,918,217.04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34,960,785.05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194,460,855.51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218,094,201.75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1,969,097.38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1,129,448.57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221,192,747.70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1,969,097.38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1,129,448.57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3,098,545.95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39,960,594.61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39,960,594.61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）投资性房地产转入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178,133,607.14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178,133,607.14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95,148,141,93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510,522.10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510,522.10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）转投资性房地产减少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95,148,141,93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95,148,141,93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243,527,913.24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40,659,544.52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35,807,481.42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319,994,939.18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34,446,759.11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34,230,249.35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28,938,026.34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97,615,034.80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5,815,109.31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1,155,970.20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2,205,349.98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9,176,429.49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5,815,109.31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1,155,970.20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2,205,349.98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9,176,429.49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18,955,191.58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280,692.15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19,463,653.63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280,692.15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508,462.05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）转投资性房地产减少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18,955,191.58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18,955,191.58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21,306,676.84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35,158,449.65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30,862,684.17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87,327,810.66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36"/>
        <w:gridCol w:w="1858"/>
        <w:gridCol w:w="1862"/>
        <w:gridCol w:w="1862"/>
        <w:gridCol w:w="18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222,221,236.40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5,501,094.87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4,944,797.25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232,667,128.52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86,135,094.31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4,687,967.69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6,022,758.71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96,845,820.71</w:t>
            </w: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269"/>
      <w:bookmarkEnd w:id="1270"/>
      <w:bookmarkEnd w:id="1272"/>
    </w:p>
    <w:p>
      <w:pPr>
        <w:pStyle w:val="Style38"/>
        <w:keepNext/>
        <w:keepLines/>
        <w:widowControl w:val="0"/>
        <w:shd w:val="clear" w:color="auto" w:fill="auto"/>
        <w:tabs>
          <w:tab w:pos="493" w:val="left"/>
        </w:tabs>
        <w:bidi w:val="0"/>
        <w:spacing w:before="0" w:after="36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273"/>
      <w:bookmarkEnd w:id="1274"/>
      <w:bookmarkEnd w:id="1276"/>
    </w:p>
    <w:p>
      <w:pPr>
        <w:pStyle w:val="Style38"/>
        <w:keepNext/>
        <w:keepLines/>
        <w:widowControl w:val="0"/>
        <w:shd w:val="clear" w:color="auto" w:fill="auto"/>
        <w:tabs>
          <w:tab w:pos="493" w:val="left"/>
        </w:tabs>
        <w:bidi w:val="0"/>
        <w:spacing w:before="0" w:after="40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277"/>
      <w:bookmarkEnd w:id="1278"/>
      <w:bookmarkEnd w:id="1280"/>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702"/>
        <w:gridCol w:w="2976"/>
        <w:gridCol w:w="39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中国智谷富春园区</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166,851,812.00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因规划调整等原因，土地权证分割尚未完成</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81"/>
      <w:bookmarkEnd w:id="1282"/>
      <w:bookmarkEnd w:id="1284"/>
    </w:p>
    <w:p>
      <w:pPr>
        <w:pStyle w:val="Style28"/>
        <w:keepNext/>
        <w:keepLines/>
        <w:widowControl w:val="0"/>
        <w:shd w:val="clear" w:color="auto" w:fill="auto"/>
        <w:bidi w:val="0"/>
        <w:spacing w:before="0" w:after="400" w:line="240"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85"/>
      <w:bookmarkEnd w:id="1286"/>
      <w:bookmarkEnd w:id="1288"/>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121,165,628.73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56,423,908.29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121,165,628.73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56,423,908.29</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89"/>
      <w:bookmarkEnd w:id="1290"/>
      <w:bookmarkEnd w:id="129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277"/>
        <w:gridCol w:w="994"/>
        <w:gridCol w:w="1277"/>
        <w:gridCol w:w="1133"/>
        <w:gridCol w:w="1133"/>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中国智谷富春园区</w:t>
            </w:r>
            <w:r>
              <w:rPr>
                <w:rFonts w:ascii="Times New Roman" w:eastAsia="Times New Roman" w:hAnsi="Times New Roman" w:cs="Times New Roman"/>
                <w:color w:val="000000"/>
                <w:spacing w:val="0"/>
                <w:w w:val="100"/>
                <w:position w:val="0"/>
                <w:sz w:val="18"/>
                <w:szCs w:val="18"/>
              </w:rPr>
              <w:t>A1-A2</w:t>
            </w:r>
            <w:r>
              <w:rPr>
                <w:color w:val="000000"/>
                <w:spacing w:val="0"/>
                <w:w w:val="100"/>
                <w:position w:val="0"/>
              </w:rPr>
              <w:t>号楼 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55,228,040.37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55,228,040.37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滨江地块建筑工程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121,165,628.73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121,165,628.73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1,195,867.92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1,195,867.92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121,165,628.73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121,165,628.73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56,423,908.29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56,423,908.29</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93"/>
      <w:bookmarkEnd w:id="1294"/>
      <w:bookmarkEnd w:id="129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中国智 谷富春 园区</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A1-A2 </w:t>
            </w:r>
            <w:r>
              <w:rPr>
                <w:color w:val="000000"/>
                <w:spacing w:val="0"/>
                <w:w w:val="100"/>
                <w:position w:val="0"/>
              </w:rPr>
              <w:t>号楼装 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78,899,0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55,228,0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24,693,1</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79,921,1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滨江地 块建筑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369,600,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119,969,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121,165,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448,499,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56,423,9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144,662,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79,921,1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121,165,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628.73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297"/>
      <w:bookmarkEnd w:id="1298"/>
      <w:bookmarkEnd w:id="1300"/>
    </w:p>
    <w:p>
      <w:pPr>
        <w:pStyle w:val="Style38"/>
        <w:keepNext/>
        <w:keepLines/>
        <w:widowControl w:val="0"/>
        <w:shd w:val="clear" w:color="auto" w:fill="auto"/>
        <w:tabs>
          <w:tab w:pos="493" w:val="left"/>
        </w:tabs>
        <w:bidi w:val="0"/>
        <w:spacing w:before="0" w:after="36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301"/>
      <w:bookmarkEnd w:id="1302"/>
      <w:bookmarkEnd w:id="1304"/>
    </w:p>
    <w:p>
      <w:pPr>
        <w:pStyle w:val="Style28"/>
        <w:keepNext/>
        <w:keepLines/>
        <w:widowControl w:val="0"/>
        <w:shd w:val="clear" w:color="auto" w:fill="auto"/>
        <w:tabs>
          <w:tab w:pos="483" w:val="left"/>
        </w:tabs>
        <w:bidi w:val="0"/>
        <w:spacing w:before="0" w:after="36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05"/>
      <w:bookmarkEnd w:id="1306"/>
      <w:bookmarkEnd w:id="1308"/>
    </w:p>
    <w:p>
      <w:pPr>
        <w:pStyle w:val="Style38"/>
        <w:keepNext/>
        <w:keepLines/>
        <w:widowControl w:val="0"/>
        <w:shd w:val="clear" w:color="auto" w:fill="auto"/>
        <w:tabs>
          <w:tab w:pos="493" w:val="left"/>
        </w:tabs>
        <w:bidi w:val="0"/>
        <w:spacing w:before="0" w:after="36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09"/>
      <w:bookmarkEnd w:id="1310"/>
      <w:bookmarkEnd w:id="1312"/>
    </w:p>
    <w:p>
      <w:pPr>
        <w:pStyle w:val="Style38"/>
        <w:keepNext/>
        <w:keepLines/>
        <w:widowControl w:val="0"/>
        <w:shd w:val="clear" w:color="auto" w:fill="auto"/>
        <w:tabs>
          <w:tab w:pos="493" w:val="left"/>
        </w:tabs>
        <w:bidi w:val="0"/>
        <w:spacing w:before="0" w:after="36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13"/>
      <w:bookmarkEnd w:id="1314"/>
      <w:bookmarkEnd w:id="1316"/>
    </w:p>
    <w:p>
      <w:pPr>
        <w:pStyle w:val="Style28"/>
        <w:keepNext/>
        <w:keepLines/>
        <w:widowControl w:val="0"/>
        <w:shd w:val="clear" w:color="auto" w:fill="auto"/>
        <w:tabs>
          <w:tab w:pos="483" w:val="left"/>
        </w:tabs>
        <w:bidi w:val="0"/>
        <w:spacing w:before="0" w:after="36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17"/>
      <w:bookmarkEnd w:id="1318"/>
      <w:bookmarkEnd w:id="1320"/>
    </w:p>
    <w:p>
      <w:pPr>
        <w:pStyle w:val="Style28"/>
        <w:keepNext/>
        <w:keepLines/>
        <w:widowControl w:val="0"/>
        <w:shd w:val="clear" w:color="auto" w:fill="auto"/>
        <w:tabs>
          <w:tab w:pos="483" w:val="left"/>
        </w:tabs>
        <w:bidi w:val="0"/>
        <w:spacing w:before="0" w:after="36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bookmarkEnd w:id="1323"/>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21"/>
      <w:bookmarkEnd w:id="1322"/>
      <w:bookmarkEnd w:id="13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20,554,362.61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20,554,362.61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20,554,362.61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20,554,362.61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20,554,362.61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20,554,362.61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708,374.50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708,374.50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708,374.50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708,374.50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708,374.50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708,374.50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19,845,988.11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19,845,988.11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25"/>
      <w:bookmarkEnd w:id="1326"/>
      <w:bookmarkEnd w:id="1328"/>
    </w:p>
    <w:p>
      <w:pPr>
        <w:pStyle w:val="Style38"/>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29"/>
      <w:bookmarkEnd w:id="1330"/>
      <w:bookmarkEnd w:id="133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21"/>
        <w:gridCol w:w="706"/>
        <w:gridCol w:w="955"/>
        <w:gridCol w:w="1200"/>
        <w:gridCol w:w="1248"/>
        <w:gridCol w:w="1133"/>
        <w:gridCol w:w="12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软件著作权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外购软件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9,887,240.88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93,707,868.83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183,015,278.52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4,453,084.69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291,063,472.92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29,441,879.77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131,858.41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29,573,738.18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131,858.41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131,858.41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29,441,879.77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29,441,879.77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09"/>
        <w:gridCol w:w="1421"/>
        <w:gridCol w:w="706"/>
        <w:gridCol w:w="955"/>
        <w:gridCol w:w="1200"/>
        <w:gridCol w:w="1248"/>
        <w:gridCol w:w="1133"/>
        <w:gridCol w:w="121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9,887,240.88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93,707,868.83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212,457,158.29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4,584,943.10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320,637,211.10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9,041,987.35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74,656,616.05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2,198,807.23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85,913,889.36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197,744.76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4,931,993.10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18,890,487.89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24,504,389.45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197,744.76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4,931,993.10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18,890,487.89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24,504,389.45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214,223.49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13,973,980.45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93,547,103.94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2,682,970.93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110,418,278.81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9,673,017.39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79,733,888.38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118,910,054.35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1,901,972.17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210,218,932.29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9,870,762.15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84,665,881.48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108,358,662.47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2,254,277.46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205,149,583.56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66.26%</w:t>
      </w:r>
      <w:r>
        <w:rPr>
          <w:color w:val="000000"/>
          <w:spacing w:val="0"/>
          <w:w w:val="100"/>
          <w:position w:val="0"/>
        </w:rPr>
        <w:t>。</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33"/>
      <w:bookmarkEnd w:id="1334"/>
      <w:bookmarkEnd w:id="1336"/>
    </w:p>
    <w:p>
      <w:pPr>
        <w:pStyle w:val="Style28"/>
        <w:keepNext/>
        <w:keepLines/>
        <w:widowControl w:val="0"/>
        <w:shd w:val="clear" w:color="auto" w:fill="auto"/>
        <w:bidi w:val="0"/>
        <w:spacing w:before="0" w:after="36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37"/>
      <w:bookmarkEnd w:id="1338"/>
      <w:bookmarkEnd w:id="134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138"/>
        <w:gridCol w:w="1272"/>
        <w:gridCol w:w="571"/>
        <w:gridCol w:w="566"/>
        <w:gridCol w:w="1272"/>
        <w:gridCol w:w="1277"/>
        <w:gridCol w:w="422"/>
        <w:gridCol w:w="114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848"/>
        <w:gridCol w:w="1138"/>
        <w:gridCol w:w="1272"/>
        <w:gridCol w:w="571"/>
        <w:gridCol w:w="566"/>
        <w:gridCol w:w="1272"/>
        <w:gridCol w:w="1277"/>
        <w:gridCol w:w="422"/>
        <w:gridCol w:w="114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跨系统数据共享交换 关键技术研发与应用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2,788,223.78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2,788,223.78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基于人工智能的司法 服务平台及示范应用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4,148,815.23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7,793,231.97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4,781,099.72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7,160,947.48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数据共享与交换平台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9,255,435.63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5,318,616.67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14,059,044.16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智能交通大数据可视 化平台</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5,031,679.94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4,235,901.70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8,276,841.58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990,740.06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智能政务开放创新服 务平台开发及应用示 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智慧镇街数字驾驶舱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6,632,014.31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2,457,109.21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4,174,905.10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银江智慧安保平台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6,634,914.91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2,645,549.01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3,989,365.90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的城市智能 交通系统关键技术联 合研发与应用示范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2,547,826.44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2,547,826.44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银江移动警务系统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7,525,712.08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7,105,994.03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419,718.05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交通资产全生命周期 管理平台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2,521,292.21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2,521,292.21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智能交通共性技术平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台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12,044,836.01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8,041,143.16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4,003,692.85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海量交通大数据分析 平台</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10,238,815.95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10,238,815.95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Enloop-Hub</w:t>
            </w:r>
            <w:r>
              <w:rPr>
                <w:color w:val="000000"/>
                <w:spacing w:val="0"/>
                <w:w w:val="100"/>
                <w:position w:val="0"/>
                <w:sz w:val="17"/>
                <w:szCs w:val="17"/>
              </w:rPr>
              <w:t>共性技术 平台</w:t>
            </w: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6,656,720.95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6,656,720.95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综合交通治理数字驾</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驶舱</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16,197,835.45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9,850,684.51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6,347,150.94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银江道路数字化系统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11,052,631.37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9,708,321.37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1,344,310.00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全域交通</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控制评价 检测平台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3,455,439.07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3,455,439.07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数字司法大脑关键技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术研发与应用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15,459,696.07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15,459,696.07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基于场景驱动的智慧 路口软硬件集成技术 研究与应用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1,681,492.18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1,681,492.18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48"/>
        <w:gridCol w:w="1138"/>
        <w:gridCol w:w="1272"/>
        <w:gridCol w:w="571"/>
        <w:gridCol w:w="566"/>
        <w:gridCol w:w="1272"/>
        <w:gridCol w:w="1277"/>
        <w:gridCol w:w="422"/>
        <w:gridCol w:w="114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基于数字挛生的智慧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场馆关键技术研究和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应用系统研发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3,502,847.92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3,502,847.92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银江交通特勤保障管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1,216,935.20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1,216,935.20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银江大数据可视化监 测分析平台项目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1,075,945.89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1,075,945.89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智能化车辆信息采集 系统的研究开发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231,371.14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231,371.14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移动交通执法管控平 台的研究开发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239,172.86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239,172.86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交通违法车辆信息跟 踪系统的研究开发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233,101.55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233,101.55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交通违法车标自动识 别系统的研究开发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241,021.23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241,021.23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智能交通信号灯系统 的研究开发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254,961.82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254,961.82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交通信号统一联网联 控与智能优化平台研 发与应用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2,988,426.36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2,988,426.36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区域级实时交通控制 策略推荐系统项目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基于情报的交通综合 治理中枢平台技术开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1,462,264.15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1,462,264.15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多源异构车辆大数据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分析与应用平台项目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461,285.20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461,285.20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麻醉临床系统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234,404.08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234,404.08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人工智能的视力筛 查云平台系统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1,909,687.70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1,909,687.70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长三角司法行政数据 资源共享平台及协同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645,147.66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645,147.66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城市区域边界控制方 法及系统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智享医疗健康数据综 合采集平台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495,846.60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495,846.60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城市交通治理系统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1,187,012.42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1,187,012.42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21,224,154.58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141,877,409.12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29,441,879.77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106,639,311.66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27,020,372.27</w:t>
            </w:r>
          </w:p>
        </w:tc>
      </w:tr>
    </w:tbl>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41"/>
      <w:bookmarkEnd w:id="1342"/>
      <w:bookmarkEnd w:id="1343"/>
    </w:p>
    <w:p>
      <w:pPr>
        <w:pStyle w:val="Style38"/>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44"/>
      <w:bookmarkEnd w:id="1345"/>
      <w:bookmarkEnd w:id="1347"/>
    </w:p>
    <w:p>
      <w:pPr>
        <w:pStyle w:val="Style25"/>
        <w:keepNext w:val="0"/>
        <w:keepLines w:val="0"/>
        <w:widowControl w:val="0"/>
        <w:shd w:val="clear" w:color="auto" w:fill="auto"/>
        <w:bidi w:val="0"/>
        <w:spacing w:before="0" w:after="80" w:line="240" w:lineRule="auto"/>
        <w:ind w:left="8940" w:right="0" w:firstLine="0"/>
        <w:jc w:val="left"/>
      </w:pPr>
      <w:bookmarkStart w:id="1348" w:name="bookmark1348"/>
      <w:r>
        <w:rPr>
          <w:color w:val="000000"/>
          <w:spacing w:val="0"/>
          <w:w w:val="100"/>
          <w:position w:val="0"/>
        </w:rPr>
        <w:t>单</w:t>
      </w:r>
      <w:bookmarkEnd w:id="1348"/>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浙江浙大健康管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1,534,560.62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1,534,560.62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49"/>
      <w:bookmarkEnd w:id="1350"/>
      <w:bookmarkEnd w:id="135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浙江浙大健康管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1,534,560.62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1,534,560.62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商誉所在资产组或资产组组合的相关信息</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5"/>
        <w:keepNext w:val="0"/>
        <w:keepLines w:val="0"/>
        <w:widowControl w:val="0"/>
        <w:shd w:val="clear" w:color="auto" w:fill="auto"/>
        <w:tabs>
          <w:tab w:pos="825" w:val="left"/>
        </w:tabs>
        <w:bidi w:val="0"/>
        <w:spacing w:before="0" w:after="0" w:line="312" w:lineRule="exact"/>
        <w:ind w:left="0" w:right="0"/>
        <w:jc w:val="both"/>
      </w:pPr>
      <w:bookmarkStart w:id="1353" w:name="bookmark1353"/>
      <w:r>
        <w:rPr>
          <w:color w:val="000000"/>
          <w:spacing w:val="0"/>
          <w:w w:val="100"/>
          <w:position w:val="0"/>
          <w:sz w:val="18"/>
          <w:szCs w:val="18"/>
        </w:rPr>
        <w:t>（</w:t>
      </w:r>
      <w:bookmarkEnd w:id="1353"/>
      <w:r>
        <w:rPr>
          <w:color w:val="000000"/>
          <w:spacing w:val="0"/>
          <w:w w:val="100"/>
          <w:position w:val="0"/>
          <w:sz w:val="18"/>
          <w:szCs w:val="18"/>
        </w:rPr>
        <w:t>1）</w:t>
        <w:tab/>
      </w:r>
      <w:r>
        <w:rPr>
          <w:color w:val="000000"/>
          <w:spacing w:val="0"/>
          <w:w w:val="100"/>
          <w:position w:val="0"/>
        </w:rPr>
        <w:t>商誉的计算过程</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w:t>
      </w:r>
      <w:r>
        <w:rPr>
          <w:color w:val="000000"/>
          <w:spacing w:val="0"/>
          <w:w w:val="100"/>
          <w:position w:val="0"/>
          <w:sz w:val="18"/>
          <w:szCs w:val="18"/>
        </w:rPr>
        <w:t>2011</w:t>
      </w:r>
      <w:r>
        <w:rPr>
          <w:color w:val="000000"/>
          <w:spacing w:val="0"/>
          <w:w w:val="100"/>
          <w:position w:val="0"/>
        </w:rPr>
        <w:t>年支付人民币</w:t>
      </w:r>
      <w:r>
        <w:rPr>
          <w:color w:val="000000"/>
          <w:spacing w:val="0"/>
          <w:w w:val="100"/>
          <w:position w:val="0"/>
          <w:sz w:val="18"/>
          <w:szCs w:val="18"/>
        </w:rPr>
        <w:t xml:space="preserve">3,076, </w:t>
      </w:r>
      <w:r>
        <w:rPr>
          <w:color w:val="000000"/>
          <w:spacing w:val="0"/>
          <w:w w:val="100"/>
          <w:position w:val="0"/>
          <w:sz w:val="18"/>
          <w:szCs w:val="18"/>
        </w:rPr>
        <w:t>220.00</w:t>
      </w:r>
      <w:r>
        <w:rPr>
          <w:color w:val="000000"/>
          <w:spacing w:val="0"/>
          <w:w w:val="100"/>
          <w:position w:val="0"/>
        </w:rPr>
        <w:t>元收购了浙江浙大健康管理有限公司</w:t>
      </w:r>
      <w:r>
        <w:rPr>
          <w:color w:val="000000"/>
          <w:spacing w:val="0"/>
          <w:w w:val="100"/>
          <w:position w:val="0"/>
          <w:sz w:val="18"/>
          <w:szCs w:val="18"/>
        </w:rPr>
        <w:t>49%</w:t>
      </w:r>
      <w:r>
        <w:rPr>
          <w:color w:val="000000"/>
          <w:spacing w:val="0"/>
          <w:w w:val="100"/>
          <w:position w:val="0"/>
        </w:rPr>
        <w:t>的权益，合并成本超过获得的浙江浙大健 康管理有限公司可辨认资产、负债公允价值的份额</w:t>
      </w:r>
      <w:r>
        <w:rPr>
          <w:color w:val="000000"/>
          <w:spacing w:val="0"/>
          <w:w w:val="100"/>
          <w:position w:val="0"/>
          <w:sz w:val="18"/>
          <w:szCs w:val="18"/>
        </w:rPr>
        <w:t xml:space="preserve">1, 534, </w:t>
      </w:r>
      <w:r>
        <w:rPr>
          <w:color w:val="000000"/>
          <w:spacing w:val="0"/>
          <w:w w:val="100"/>
          <w:position w:val="0"/>
          <w:sz w:val="18"/>
          <w:szCs w:val="18"/>
        </w:rPr>
        <w:t xml:space="preserve">560. </w:t>
      </w:r>
      <w:r>
        <w:rPr>
          <w:color w:val="000000"/>
          <w:spacing w:val="0"/>
          <w:w w:val="100"/>
          <w:position w:val="0"/>
          <w:sz w:val="18"/>
          <w:szCs w:val="18"/>
        </w:rPr>
        <w:t>62</w:t>
      </w:r>
      <w:r>
        <w:rPr>
          <w:color w:val="000000"/>
          <w:spacing w:val="0"/>
          <w:w w:val="100"/>
          <w:position w:val="0"/>
        </w:rPr>
        <w:t>元，确认为与浙江浙大健康管理有限公司相关的商誉。</w:t>
      </w:r>
    </w:p>
    <w:p>
      <w:pPr>
        <w:pStyle w:val="Style25"/>
        <w:keepNext w:val="0"/>
        <w:keepLines w:val="0"/>
        <w:widowControl w:val="0"/>
        <w:shd w:val="clear" w:color="auto" w:fill="auto"/>
        <w:tabs>
          <w:tab w:pos="825" w:val="left"/>
        </w:tabs>
        <w:bidi w:val="0"/>
        <w:spacing w:before="0" w:after="0" w:line="312" w:lineRule="exact"/>
        <w:ind w:left="0" w:right="0"/>
        <w:jc w:val="both"/>
      </w:pPr>
      <w:bookmarkStart w:id="1354" w:name="bookmark1354"/>
      <w:r>
        <w:rPr>
          <w:color w:val="000000"/>
          <w:spacing w:val="0"/>
          <w:w w:val="100"/>
          <w:position w:val="0"/>
          <w:sz w:val="18"/>
          <w:szCs w:val="18"/>
        </w:rPr>
        <w:t>（</w:t>
      </w:r>
      <w:bookmarkEnd w:id="1354"/>
      <w:r>
        <w:rPr>
          <w:color w:val="000000"/>
          <w:spacing w:val="0"/>
          <w:w w:val="100"/>
          <w:position w:val="0"/>
          <w:sz w:val="18"/>
          <w:szCs w:val="18"/>
        </w:rPr>
        <w:t>2）</w:t>
        <w:tab/>
      </w:r>
      <w:r>
        <w:rPr>
          <w:color w:val="000000"/>
          <w:spacing w:val="0"/>
          <w:w w:val="100"/>
          <w:position w:val="0"/>
        </w:rPr>
        <w:t>商誉减值测试的方法</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因浙江浙大健康管理有限公司过去几年处于亏损状态，同时未来五年财务预测的现金流存在较大不确定性，公司基于谨 慎性考虑，对浙江浙大健康管理有限公司形成的商誉在</w:t>
      </w:r>
      <w:r>
        <w:rPr>
          <w:color w:val="000000"/>
          <w:spacing w:val="0"/>
          <w:w w:val="100"/>
          <w:position w:val="0"/>
          <w:sz w:val="18"/>
          <w:szCs w:val="18"/>
        </w:rPr>
        <w:t>2014</w:t>
      </w:r>
      <w:r>
        <w:rPr>
          <w:color w:val="000000"/>
          <w:spacing w:val="0"/>
          <w:w w:val="100"/>
          <w:position w:val="0"/>
        </w:rPr>
        <w:t>年度已全额计提商誉减值准备。</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商誉减值测试的影响</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55"/>
      <w:bookmarkEnd w:id="1356"/>
      <w:bookmarkEnd w:id="135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2,929,409.12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1,692,941.30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2,128,057.96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2,494,292.46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3,004,409.12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1,692,941.30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2,203,057.96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2,494,292.46</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3</w:t>
      </w:r>
      <w:bookmarkEnd w:id="136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59"/>
      <w:bookmarkEnd w:id="1360"/>
      <w:bookmarkEnd w:id="1362"/>
    </w:p>
    <w:p>
      <w:pPr>
        <w:pStyle w:val="Style38"/>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63"/>
      <w:bookmarkEnd w:id="1364"/>
      <w:bookmarkEnd w:id="136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坏账准备形成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395,619,817.21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60,570,383.60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358,835,757.23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54,538,904.92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存货跌价形成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444,864.09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714,076.62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应付款暂估形成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74,119,649.14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11,117,947.37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78,448,260.66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11,767,239.10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未实现内部损益形成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28,874,443.13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4,331,166.47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30,660,491.10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4,599,073.67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递延收益形成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502,182,973.57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76,554,857.05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470,026,585.61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71,217,529.18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67"/>
      <w:bookmarkEnd w:id="1368"/>
      <w:bookmarkEnd w:id="137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699"/>
        <w:gridCol w:w="1421"/>
        <w:gridCol w:w="1560"/>
        <w:gridCol w:w="13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处置子公司部分股权对剩余股权进行公允价 值调整形成的应纳税暂时性差异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12,199,762.13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1,829,964.32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12,199,762.13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1,829,964.32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12,199,762.13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1,829,964.32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12,199,762.13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1,829,964.32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71"/>
      <w:bookmarkEnd w:id="1372"/>
      <w:bookmarkEnd w:id="137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76,554,857.05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71,217,529.18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1,829,964.32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1,829,964.32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75"/>
      <w:bookmarkEnd w:id="1376"/>
      <w:bookmarkEnd w:id="1378"/>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976"/>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198,829.675.15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180,069,747.33</w:t>
            </w:r>
          </w:p>
        </w:tc>
      </w:tr>
    </w:tbl>
    <w:p>
      <w:pPr>
        <w:widowControl w:val="0"/>
        <w:spacing w:line="1" w:lineRule="exact"/>
      </w:pPr>
      <w:r>
        <w:br w:type="page"/>
      </w:r>
    </w:p>
    <w:tbl>
      <w:tblPr>
        <w:tblOverlap w:val="never"/>
        <w:jc w:val="center"/>
        <w:tblLayout w:type="fixed"/>
      </w:tblPr>
      <w:tblGrid>
        <w:gridCol w:w="3552"/>
        <w:gridCol w:w="2976"/>
        <w:gridCol w:w="30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坏账准备形成可抵扣暂时性差异（注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51.375.291.91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54,582,605.45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存货跌价准备形成的暂时性差异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2,649,530.14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2,649,530.14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长期股权投资减值准备形成的暂时性差异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23,359,235.05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23,359,235.05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金融资产公允价值变动（注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16,385,486.84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-98,424,572.00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292,599,219.09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162,236,545.97</w:t>
            </w:r>
          </w:p>
        </w:tc>
      </w:tr>
    </w:tbl>
    <w:p>
      <w:pPr>
        <w:widowControl w:val="0"/>
        <w:spacing w:after="319" w:line="1" w:lineRule="exact"/>
      </w:pPr>
    </w:p>
    <w:p>
      <w:pPr>
        <w:pStyle w:val="Style38"/>
        <w:keepNext/>
        <w:keepLines/>
        <w:widowControl w:val="0"/>
        <w:shd w:val="clear" w:color="auto" w:fill="auto"/>
        <w:bidi w:val="0"/>
        <w:spacing w:before="0" w:after="26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79"/>
      <w:bookmarkEnd w:id="1380"/>
      <w:bookmarkEnd w:id="1382"/>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326" w:lineRule="exact"/>
        <w:ind w:left="0" w:right="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期末其他应收款中含对李欣的业绩补偿款</w:t>
      </w:r>
      <w:r>
        <w:rPr>
          <w:color w:val="000000"/>
          <w:spacing w:val="0"/>
          <w:w w:val="100"/>
          <w:position w:val="0"/>
          <w:sz w:val="18"/>
          <w:szCs w:val="18"/>
        </w:rPr>
        <w:t xml:space="preserve">232,796, </w:t>
      </w:r>
      <w:r>
        <w:rPr>
          <w:color w:val="000000"/>
          <w:spacing w:val="0"/>
          <w:w w:val="100"/>
          <w:position w:val="0"/>
          <w:sz w:val="18"/>
          <w:szCs w:val="18"/>
        </w:rPr>
        <w:t>486.19</w:t>
      </w:r>
      <w:r>
        <w:rPr>
          <w:color w:val="000000"/>
          <w:spacing w:val="0"/>
          <w:w w:val="100"/>
          <w:position w:val="0"/>
        </w:rPr>
        <w:t>元，已全额计提坏账准备，在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日前此损 失已获批准扣除。</w:t>
      </w:r>
    </w:p>
    <w:p>
      <w:pPr>
        <w:pStyle w:val="Style25"/>
        <w:keepNext w:val="0"/>
        <w:keepLines w:val="0"/>
        <w:widowControl w:val="0"/>
        <w:shd w:val="clear" w:color="auto" w:fill="auto"/>
        <w:bidi w:val="0"/>
        <w:spacing w:before="0" w:after="380" w:line="326" w:lineRule="exact"/>
        <w:ind w:left="0" w:right="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金融资产公允价值变动系子公司银江股份（香港）有限公司持有的亿邦国际控股有限公司和</w:t>
      </w:r>
      <w:r>
        <w:rPr>
          <w:color w:val="000000"/>
          <w:spacing w:val="0"/>
          <w:w w:val="100"/>
          <w:position w:val="0"/>
          <w:sz w:val="18"/>
          <w:szCs w:val="18"/>
        </w:rPr>
        <w:t xml:space="preserve">MAGIC LEAP, INC. </w:t>
      </w:r>
      <w:r>
        <w:rPr>
          <w:color w:val="000000"/>
          <w:spacing w:val="0"/>
          <w:w w:val="100"/>
          <w:position w:val="0"/>
        </w:rPr>
        <w:t>的公允价值变动，因香港不对资本收益征收利得税，故未确认递延所得税负债。</w:t>
      </w:r>
    </w:p>
    <w:p>
      <w:pPr>
        <w:pStyle w:val="Style28"/>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83"/>
      <w:bookmarkEnd w:id="1384"/>
      <w:bookmarkEnd w:id="138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277"/>
        <w:gridCol w:w="989"/>
        <w:gridCol w:w="1421"/>
        <w:gridCol w:w="1272"/>
        <w:gridCol w:w="994"/>
        <w:gridCol w:w="12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预付房屋建筑物装修工程款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13,946,271.52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13,946,271.52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预付购房增值税款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32,523,809.53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32,523,809.53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32,523,809.53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32,523,809.53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预付房屋工程款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62,034,549.19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62,034,549.19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67,105,058.89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67,105,058.89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134,558,358.72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134,558,358.72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158,575,139.94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158,575,139.94</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87"/>
      <w:bookmarkEnd w:id="1388"/>
      <w:bookmarkEnd w:id="1390"/>
    </w:p>
    <w:p>
      <w:pPr>
        <w:pStyle w:val="Style38"/>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91"/>
      <w:bookmarkEnd w:id="1392"/>
      <w:bookmarkEnd w:id="139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760,000,000.00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2,090,908.02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3,724,263.22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1,654,090,908.02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1,737,724,263.22</w:t>
            </w:r>
          </w:p>
        </w:tc>
      </w:tr>
    </w:tbl>
    <w:p>
      <w:pPr>
        <w:widowControl w:val="0"/>
        <w:spacing w:line="1" w:lineRule="exact"/>
      </w:pPr>
      <w:r>
        <w:br w:type="page"/>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①质押借款情况</w:t>
      </w:r>
    </w:p>
    <w:tbl>
      <w:tblPr>
        <w:tblOverlap w:val="never"/>
        <w:jc w:val="center"/>
        <w:tblLayout w:type="fixed"/>
      </w:tblPr>
      <w:tblGrid>
        <w:gridCol w:w="3648"/>
        <w:gridCol w:w="1598"/>
        <w:gridCol w:w="1277"/>
        <w:gridCol w:w="1118"/>
        <w:gridCol w:w="159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还款日期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质押物</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浙商银行杭州分行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应收款质押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浙商银行杭州分行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应收款质押</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23"/>
        <w:keepNext w:val="0"/>
        <w:keepLines w:val="0"/>
        <w:widowControl w:val="0"/>
        <w:shd w:val="clear" w:color="auto" w:fill="auto"/>
        <w:bidi w:val="0"/>
        <w:spacing w:before="0" w:after="0" w:line="240" w:lineRule="auto"/>
        <w:ind w:left="408" w:right="0" w:firstLine="0"/>
        <w:jc w:val="left"/>
      </w:pPr>
      <w:r>
        <w:rPr>
          <w:color w:val="000000"/>
          <w:spacing w:val="0"/>
          <w:w w:val="100"/>
          <w:position w:val="0"/>
        </w:rPr>
        <w:t>②抵押、保证借款情况</w:t>
      </w:r>
    </w:p>
    <w:tbl>
      <w:tblPr>
        <w:tblOverlap w:val="never"/>
        <w:jc w:val="center"/>
        <w:tblLayout w:type="fixed"/>
      </w:tblPr>
      <w:tblGrid>
        <w:gridCol w:w="3130"/>
        <w:gridCol w:w="1560"/>
        <w:gridCol w:w="1277"/>
        <w:gridCol w:w="1128"/>
        <w:gridCol w:w="213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还款日期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抵押物、保证人</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2022/1/27</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抵押物：西园八路</w:t>
            </w:r>
            <w:r>
              <w:rPr>
                <w:color w:val="000000"/>
                <w:spacing w:val="0"/>
                <w:w w:val="100"/>
                <w:position w:val="0"/>
                <w:sz w:val="18"/>
                <w:szCs w:val="18"/>
              </w:rPr>
              <w:t>2</w:t>
            </w:r>
            <w:r>
              <w:rPr>
                <w:color w:val="000000"/>
                <w:spacing w:val="0"/>
                <w:w w:val="100"/>
                <w:position w:val="0"/>
              </w:rPr>
              <w:t>号</w:t>
            </w:r>
            <w:r>
              <w:rPr>
                <w:color w:val="000000"/>
                <w:spacing w:val="0"/>
                <w:w w:val="100"/>
                <w:position w:val="0"/>
                <w:sz w:val="18"/>
                <w:szCs w:val="18"/>
              </w:rPr>
              <w:t>2</w:t>
            </w:r>
            <w:r>
              <w:rPr>
                <w:color w:val="000000"/>
                <w:spacing w:val="0"/>
                <w:w w:val="100"/>
                <w:position w:val="0"/>
              </w:rPr>
              <w:t>幢房 屋所有权、西园八路</w:t>
            </w:r>
            <w:r>
              <w:rPr>
                <w:color w:val="000000"/>
                <w:spacing w:val="0"/>
                <w:w w:val="100"/>
                <w:position w:val="0"/>
                <w:sz w:val="18"/>
                <w:szCs w:val="18"/>
              </w:rPr>
              <w:t>2</w:t>
            </w:r>
            <w:r>
              <w:rPr>
                <w:color w:val="000000"/>
                <w:spacing w:val="0"/>
                <w:w w:val="100"/>
                <w:position w:val="0"/>
              </w:rPr>
              <w:t>号</w:t>
            </w:r>
            <w:r>
              <w:rPr>
                <w:color w:val="000000"/>
                <w:spacing w:val="0"/>
                <w:w w:val="100"/>
                <w:position w:val="0"/>
                <w:sz w:val="18"/>
                <w:szCs w:val="18"/>
              </w:rPr>
              <w:t xml:space="preserve">2 </w:t>
            </w:r>
            <w:r>
              <w:rPr>
                <w:color w:val="000000"/>
                <w:spacing w:val="0"/>
                <w:w w:val="100"/>
                <w:position w:val="0"/>
              </w:rPr>
              <w:t>幢土地使用权；</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保证人：银江科技集团</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2022/1/27</w:t>
            </w: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2022/4/7</w:t>
            </w: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99, 000,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2022/5/25</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2022/6/17</w:t>
            </w: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2022/6/29</w:t>
            </w: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2022/7/23</w:t>
            </w: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71,000,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2021/8/4</w:t>
            </w:r>
          </w:p>
        </w:tc>
        <w:tc>
          <w:tcPr>
            <w:vMerge/>
            <w:tcBorders>
              <w:left w:val="single" w:sz="4"/>
              <w:right w:val="single" w:sz="4"/>
            </w:tcBorders>
            <w:shd w:val="clear" w:color="auto" w:fill="FFFFFF"/>
            <w:vAlign w:val="top"/>
          </w:tcPr>
          <w:p>
            <w:pP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中信银行玉泉支行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2022/2/24</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抵押物:西园八路</w:t>
            </w:r>
            <w:r>
              <w:rPr>
                <w:color w:val="000000"/>
                <w:spacing w:val="0"/>
                <w:w w:val="100"/>
                <w:position w:val="0"/>
                <w:sz w:val="18"/>
                <w:szCs w:val="18"/>
              </w:rPr>
              <w:t>2</w:t>
            </w:r>
            <w:r>
              <w:rPr>
                <w:color w:val="000000"/>
                <w:spacing w:val="0"/>
                <w:w w:val="100"/>
                <w:position w:val="0"/>
              </w:rPr>
              <w:t>号</w:t>
            </w:r>
            <w:r>
              <w:rPr>
                <w:color w:val="000000"/>
                <w:spacing w:val="0"/>
                <w:w w:val="100"/>
                <w:position w:val="0"/>
                <w:sz w:val="18"/>
                <w:szCs w:val="18"/>
              </w:rPr>
              <w:t>1</w:t>
            </w:r>
            <w:r>
              <w:rPr>
                <w:color w:val="000000"/>
                <w:spacing w:val="0"/>
                <w:w w:val="100"/>
                <w:position w:val="0"/>
              </w:rPr>
              <w:t>幢房 屋所有权、西园八路</w:t>
            </w:r>
            <w:r>
              <w:rPr>
                <w:color w:val="000000"/>
                <w:spacing w:val="0"/>
                <w:w w:val="100"/>
                <w:position w:val="0"/>
                <w:sz w:val="18"/>
                <w:szCs w:val="18"/>
              </w:rPr>
              <w:t>2</w:t>
            </w:r>
            <w:r>
              <w:rPr>
                <w:color w:val="000000"/>
                <w:spacing w:val="0"/>
                <w:w w:val="100"/>
                <w:position w:val="0"/>
              </w:rPr>
              <w:t>号</w:t>
            </w:r>
            <w:r>
              <w:rPr>
                <w:color w:val="000000"/>
                <w:spacing w:val="0"/>
                <w:w w:val="100"/>
                <w:position w:val="0"/>
                <w:sz w:val="18"/>
                <w:szCs w:val="18"/>
              </w:rPr>
              <w:t xml:space="preserve">1 </w:t>
            </w:r>
            <w:r>
              <w:rPr>
                <w:color w:val="000000"/>
                <w:spacing w:val="0"/>
                <w:w w:val="100"/>
                <w:position w:val="0"/>
              </w:rPr>
              <w:t>幢土地使用权、西园八路</w:t>
            </w:r>
            <w:r>
              <w:rPr>
                <w:color w:val="000000"/>
                <w:spacing w:val="0"/>
                <w:w w:val="100"/>
                <w:position w:val="0"/>
                <w:sz w:val="18"/>
                <w:szCs w:val="18"/>
              </w:rPr>
              <w:t xml:space="preserve">2 </w:t>
            </w:r>
            <w:r>
              <w:rPr>
                <w:color w:val="000000"/>
                <w:spacing w:val="0"/>
                <w:w w:val="100"/>
                <w:position w:val="0"/>
              </w:rPr>
              <w:t>号</w:t>
            </w:r>
            <w:r>
              <w:rPr>
                <w:color w:val="000000"/>
                <w:spacing w:val="0"/>
                <w:w w:val="100"/>
                <w:position w:val="0"/>
                <w:sz w:val="18"/>
                <w:szCs w:val="18"/>
              </w:rPr>
              <w:t>7</w:t>
            </w:r>
            <w:r>
              <w:rPr>
                <w:color w:val="000000"/>
                <w:spacing w:val="0"/>
                <w:w w:val="100"/>
                <w:position w:val="0"/>
              </w:rPr>
              <w:t>幢房屋所有权、西园八 路</w:t>
            </w:r>
            <w:r>
              <w:rPr>
                <w:color w:val="000000"/>
                <w:spacing w:val="0"/>
                <w:w w:val="100"/>
                <w:position w:val="0"/>
                <w:sz w:val="18"/>
                <w:szCs w:val="18"/>
              </w:rPr>
              <w:t>2</w:t>
            </w:r>
            <w:r>
              <w:rPr>
                <w:color w:val="000000"/>
                <w:spacing w:val="0"/>
                <w:w w:val="100"/>
                <w:position w:val="0"/>
              </w:rPr>
              <w:t>号</w:t>
            </w:r>
            <w:r>
              <w:rPr>
                <w:color w:val="000000"/>
                <w:spacing w:val="0"/>
                <w:w w:val="100"/>
                <w:position w:val="0"/>
                <w:sz w:val="18"/>
                <w:szCs w:val="18"/>
              </w:rPr>
              <w:t>7</w:t>
            </w:r>
            <w:r>
              <w:rPr>
                <w:color w:val="000000"/>
                <w:spacing w:val="0"/>
                <w:w w:val="100"/>
                <w:position w:val="0"/>
              </w:rPr>
              <w:t>幢土地使用权 保证人：银江科技集团有限 公司</w:t>
            </w:r>
          </w:p>
        </w:tc>
      </w:tr>
      <w:tr>
        <w:trPr>
          <w:trHeight w:val="11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中信银行玉泉支行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2022/9/14</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497, 000,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23"/>
        <w:keepNext w:val="0"/>
        <w:keepLines w:val="0"/>
        <w:widowControl w:val="0"/>
        <w:shd w:val="clear" w:color="auto" w:fill="auto"/>
        <w:bidi w:val="0"/>
        <w:spacing w:before="0" w:after="0" w:line="240" w:lineRule="auto"/>
        <w:ind w:left="408" w:right="0" w:firstLine="0"/>
        <w:jc w:val="left"/>
      </w:pPr>
      <w:r>
        <w:rPr>
          <w:color w:val="000000"/>
          <w:spacing w:val="0"/>
          <w:w w:val="100"/>
          <w:position w:val="0"/>
        </w:rPr>
        <w:t>③保证借款情况</w:t>
      </w:r>
    </w:p>
    <w:tbl>
      <w:tblPr>
        <w:tblOverlap w:val="never"/>
        <w:jc w:val="center"/>
        <w:tblLayout w:type="fixed"/>
      </w:tblPr>
      <w:tblGrid>
        <w:gridCol w:w="3235"/>
        <w:gridCol w:w="1555"/>
        <w:gridCol w:w="1248"/>
        <w:gridCol w:w="1200"/>
        <w:gridCol w:w="1992"/>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还款日期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保证人</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杭州银行三墩支行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浙江银江智慧交通集团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交通银行杭州天目山路支行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上海浦东发展银行杭州保俶支行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上海浦东发展银行杭州保俶支行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上海浦东发展银行杭州保俶支行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上海浦东发展银行杭州保俶支行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中国民生银行杭州分行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中国银行钱江新城支行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中国农业银行解放路支行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中国农业银行解放路支行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中国农业银行解放路支行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中国农业银行解放路支行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恒丰银行杭州分行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恒丰银行杭州分行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bl>
    <w:p>
      <w:pPr>
        <w:widowControl w:val="0"/>
        <w:spacing w:line="1" w:lineRule="exact"/>
      </w:pPr>
      <w:r>
        <w:br w:type="page"/>
      </w:r>
    </w:p>
    <w:tbl>
      <w:tblPr>
        <w:tblOverlap w:val="never"/>
        <w:jc w:val="center"/>
        <w:tblLayout w:type="fixed"/>
      </w:tblPr>
      <w:tblGrid>
        <w:gridCol w:w="3235"/>
        <w:gridCol w:w="1555"/>
        <w:gridCol w:w="1248"/>
        <w:gridCol w:w="1200"/>
        <w:gridCol w:w="199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中国建设银行杭州吴山支行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408" w:right="0" w:firstLine="0"/>
        <w:jc w:val="left"/>
      </w:pPr>
      <w:r>
        <w:rPr>
          <w:color w:val="000000"/>
          <w:spacing w:val="0"/>
          <w:w w:val="100"/>
          <w:position w:val="0"/>
        </w:rPr>
        <w:t>④信用借款情况</w:t>
      </w:r>
    </w:p>
    <w:p>
      <w:pPr>
        <w:widowControl w:val="0"/>
        <w:spacing w:line="1" w:lineRule="exact"/>
      </w:pPr>
    </w:p>
    <w:tbl>
      <w:tblPr>
        <w:tblOverlap w:val="never"/>
        <w:jc w:val="center"/>
        <w:tblLayout w:type="fixed"/>
      </w:tblPr>
      <w:tblGrid>
        <w:gridCol w:w="2630"/>
        <w:gridCol w:w="2549"/>
        <w:gridCol w:w="1277"/>
        <w:gridCol w:w="1171"/>
        <w:gridCol w:w="1392"/>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还款日期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兴业银行杭州分行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60, 000,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2022/6/20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兴业银行杭州分行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60, 000,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2022/6/21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兴业银行杭州分行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60, 000,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2022/6/22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中国光大银行杭州分行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2022/3/23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江苏银行杭州分行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2022/4/6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浙商银行杭州分行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商票贴现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招商银行解放支行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商票贴现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招商银行解放支行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40, 000,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商票贴现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招商银行解放支行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60, 000,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商票贴现</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460, 000,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95"/>
      <w:bookmarkEnd w:id="1396"/>
      <w:bookmarkEnd w:id="1398"/>
    </w:p>
    <w:p>
      <w:pPr>
        <w:pStyle w:val="Style28"/>
        <w:keepNext/>
        <w:keepLines/>
        <w:widowControl w:val="0"/>
        <w:shd w:val="clear" w:color="auto" w:fill="auto"/>
        <w:tabs>
          <w:tab w:pos="483" w:val="left"/>
        </w:tabs>
        <w:bidi w:val="0"/>
        <w:spacing w:before="0" w:after="360" w:line="240" w:lineRule="auto"/>
        <w:ind w:left="0" w:right="0" w:firstLine="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3</w:t>
      </w:r>
      <w:bookmarkEnd w:id="1401"/>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399"/>
      <w:bookmarkEnd w:id="1400"/>
      <w:bookmarkEnd w:id="1402"/>
    </w:p>
    <w:p>
      <w:pPr>
        <w:pStyle w:val="Style28"/>
        <w:keepNext/>
        <w:keepLines/>
        <w:widowControl w:val="0"/>
        <w:shd w:val="clear" w:color="auto" w:fill="auto"/>
        <w:tabs>
          <w:tab w:pos="483" w:val="left"/>
        </w:tabs>
        <w:bidi w:val="0"/>
        <w:spacing w:before="0" w:after="36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03"/>
      <w:bookmarkEnd w:id="1404"/>
      <w:bookmarkEnd w:id="1406"/>
    </w:p>
    <w:p>
      <w:pPr>
        <w:pStyle w:val="Style28"/>
        <w:keepNext/>
        <w:keepLines/>
        <w:widowControl w:val="0"/>
        <w:shd w:val="clear" w:color="auto" w:fill="auto"/>
        <w:tabs>
          <w:tab w:pos="483" w:val="left"/>
        </w:tabs>
        <w:bidi w:val="0"/>
        <w:spacing w:before="0" w:after="360" w:line="240"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07"/>
      <w:bookmarkEnd w:id="1408"/>
      <w:bookmarkEnd w:id="141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49,289,350.42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18,594,413.17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100,682,686.61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96,861,717.43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149,972,037.03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115,456,130.60</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本期末已到期未支付的应付票据总额为元。</w:t>
      </w:r>
    </w:p>
    <w:p>
      <w:pPr>
        <w:pStyle w:val="Style28"/>
        <w:keepNext/>
        <w:keepLines/>
        <w:widowControl w:val="0"/>
        <w:shd w:val="clear" w:color="auto" w:fill="auto"/>
        <w:bidi w:val="0"/>
        <w:spacing w:before="0" w:after="36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3</w:t>
      </w:r>
      <w:bookmarkEnd w:id="1413"/>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11"/>
      <w:bookmarkEnd w:id="1412"/>
      <w:bookmarkEnd w:id="1414"/>
    </w:p>
    <w:p>
      <w:pPr>
        <w:pStyle w:val="Style38"/>
        <w:keepNext/>
        <w:keepLines/>
        <w:widowControl w:val="0"/>
        <w:shd w:val="clear" w:color="auto" w:fill="auto"/>
        <w:bidi w:val="0"/>
        <w:spacing w:before="0" w:after="360" w:line="240" w:lineRule="auto"/>
        <w:ind w:left="0" w:right="0" w:firstLine="0"/>
        <w:jc w:val="both"/>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15"/>
      <w:bookmarkEnd w:id="1416"/>
      <w:bookmarkEnd w:id="141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695,993,384.77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829,536,181.10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47,848,982.29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83,248,055.07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29,434,617.94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46,948,342.81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33,193,985.55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36,574,906.68</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806,470,970.55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996,307,485.66</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19"/>
      <w:bookmarkEnd w:id="1420"/>
      <w:bookmarkEnd w:id="142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江苏酉有智能科技有限公司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4,321,185.33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安徽吉伟安防电子有限公司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3,726,000.00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江苏鸿诺智能科技有限公司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3,562,340.00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南京南自信息技术有限公司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3,173,559.50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2,466,373.73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17,249,458.56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23"/>
      <w:bookmarkEnd w:id="1424"/>
      <w:bookmarkEnd w:id="1426"/>
    </w:p>
    <w:p>
      <w:pPr>
        <w:pStyle w:val="Style38"/>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27"/>
      <w:bookmarkEnd w:id="1428"/>
      <w:bookmarkEnd w:id="143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8,159,311.21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8,159,311.21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31"/>
      <w:bookmarkEnd w:id="1432"/>
      <w:bookmarkEnd w:id="1434"/>
    </w:p>
    <w:p>
      <w:pPr>
        <w:pStyle w:val="Style28"/>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35"/>
      <w:bookmarkEnd w:id="1436"/>
      <w:bookmarkEnd w:id="143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36,823,706.39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57,904,773.22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353,819.22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36,823,706.39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58,258,592.44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39"/>
      <w:bookmarkEnd w:id="1440"/>
      <w:bookmarkEnd w:id="1442"/>
    </w:p>
    <w:p>
      <w:pPr>
        <w:pStyle w:val="Style38"/>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43"/>
      <w:bookmarkEnd w:id="1444"/>
      <w:bookmarkEnd w:id="144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17,851,958.63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111,448,990.86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113,935,891.41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15,365,058.08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2,967,457.10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3,346,505.95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5,658,682.42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655,280.63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375,478.00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20,819,415.73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115,170,974.81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119,970,051.83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16,020,338.71</w:t>
            </w:r>
          </w:p>
        </w:tc>
      </w:tr>
    </w:tbl>
    <w:p>
      <w:pPr>
        <w:widowControl w:val="0"/>
        <w:spacing w:after="299" w:line="1" w:lineRule="exact"/>
      </w:pPr>
    </w:p>
    <w:p>
      <w:pPr>
        <w:pStyle w:val="Style38"/>
        <w:keepNext/>
        <w:keepLines/>
        <w:widowControl w:val="0"/>
        <w:numPr>
          <w:ilvl w:val="0"/>
          <w:numId w:val="29"/>
        </w:numPr>
        <w:shd w:val="clear" w:color="auto" w:fill="auto"/>
        <w:bidi w:val="0"/>
        <w:spacing w:before="0" w:line="240" w:lineRule="auto"/>
        <w:ind w:left="0" w:right="0" w:firstLine="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短期薪酬列示</w:t>
      </w:r>
      <w:bookmarkEnd w:id="1447"/>
      <w:bookmarkEnd w:id="1448"/>
      <w:bookmarkEnd w:id="145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15,004,190.04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99,760,355.05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100,152,165.36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14,612,379.73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4,330,476.17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4,330,476.17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2,622,624.33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2,268,282.25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4,397,813.33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493,093.25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2,340,652.23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2,149,467.44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4,030,190.43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459,929.24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158,429.56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209,193.34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23,221.30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3,118,337.00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3,124,393.00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1,971,540.39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1,931,043.55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225,069.10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17,851,958.63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111,448,990.86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113,935,891.41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15,365,058.08</w:t>
            </w:r>
          </w:p>
        </w:tc>
      </w:tr>
    </w:tbl>
    <w:p>
      <w:pPr>
        <w:widowControl w:val="0"/>
        <w:spacing w:after="299" w:line="1" w:lineRule="exact"/>
      </w:pPr>
    </w:p>
    <w:p>
      <w:pPr>
        <w:pStyle w:val="Style38"/>
        <w:keepNext/>
        <w:keepLines/>
        <w:widowControl w:val="0"/>
        <w:numPr>
          <w:ilvl w:val="0"/>
          <w:numId w:val="29"/>
        </w:numPr>
        <w:shd w:val="clear" w:color="auto" w:fill="auto"/>
        <w:bidi w:val="0"/>
        <w:spacing w:before="0" w:line="240" w:lineRule="auto"/>
        <w:ind w:left="0" w:right="0" w:firstLine="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设定提存计划列示</w:t>
      </w:r>
      <w:bookmarkEnd w:id="1451"/>
      <w:bookmarkEnd w:id="1452"/>
      <w:bookmarkEnd w:id="145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2,861,090.28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3,230,990.65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5,463,328.98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628,751.95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195,353.44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26,528.68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2,967,457.10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3,346,505.95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5,658,682.42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655,280.63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注：本集团按规定参加由政府机构设立的养老保险、失业保险计划，根据该等计划，本集团根据各地社保局规定的缴费 比例及缴费基数向该等计划缴存费用。除上述每月缴存费用外，本集团不再承担进一步支付义务。相应的支出于发生时计入 当期损益或相关资产的成本。</w:t>
      </w:r>
    </w:p>
    <w:p>
      <w:pPr>
        <w:pStyle w:val="Style28"/>
        <w:keepNext/>
        <w:keepLines/>
        <w:widowControl w:val="0"/>
        <w:shd w:val="clear" w:color="auto" w:fill="auto"/>
        <w:bidi w:val="0"/>
        <w:spacing w:before="0" w:after="30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55"/>
      <w:bookmarkEnd w:id="1456"/>
      <w:bookmarkEnd w:id="1458"/>
    </w:p>
    <w:p>
      <w:pPr>
        <w:pStyle w:val="Style25"/>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43,304,730.25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58,298,252.10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21,534,630.48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30,660,098.65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85,793.66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992,291.64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7,087,041.25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481,741.96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2,961,738.42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318,296.05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1,987,852.72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19,514,285.71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19,936,796.59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436,990.16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441,405.05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6,389,670.63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6,009,392.31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40,268.61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31,052.22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35,958.85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93,129,751.37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127,518,409.05</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4</w:t>
      </w:r>
      <w:bookmarkEnd w:id="146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59"/>
      <w:bookmarkEnd w:id="1460"/>
      <w:bookmarkEnd w:id="146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102,701,766.91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148,743,411.35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102,701,766.91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148,743,411.35</w:t>
            </w: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both"/>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463"/>
      <w:bookmarkEnd w:id="1464"/>
      <w:bookmarkEnd w:id="1466"/>
    </w:p>
    <w:p>
      <w:pPr>
        <w:pStyle w:val="Style38"/>
        <w:keepNext/>
        <w:keepLines/>
        <w:widowControl w:val="0"/>
        <w:shd w:val="clear" w:color="auto" w:fill="auto"/>
        <w:tabs>
          <w:tab w:pos="493" w:val="left"/>
        </w:tabs>
        <w:bidi w:val="0"/>
        <w:spacing w:before="0" w:after="360" w:line="240" w:lineRule="auto"/>
        <w:ind w:left="0" w:right="0" w:firstLine="0"/>
        <w:jc w:val="both"/>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467"/>
      <w:bookmarkEnd w:id="1468"/>
      <w:bookmarkEnd w:id="1470"/>
    </w:p>
    <w:p>
      <w:pPr>
        <w:pStyle w:val="Style38"/>
        <w:keepNext/>
        <w:keepLines/>
        <w:widowControl w:val="0"/>
        <w:shd w:val="clear" w:color="auto" w:fill="auto"/>
        <w:tabs>
          <w:tab w:pos="493" w:val="left"/>
        </w:tabs>
        <w:bidi w:val="0"/>
        <w:spacing w:before="0" w:after="360" w:line="240" w:lineRule="auto"/>
        <w:ind w:left="0" w:right="0" w:firstLine="0"/>
        <w:jc w:val="both"/>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471"/>
      <w:bookmarkEnd w:id="1472"/>
      <w:bookmarkEnd w:id="1474"/>
    </w:p>
    <w:p>
      <w:pPr>
        <w:pStyle w:val="Style53"/>
        <w:keepNext/>
        <w:keepLines/>
        <w:widowControl w:val="0"/>
        <w:shd w:val="clear" w:color="auto" w:fill="auto"/>
        <w:bidi w:val="0"/>
        <w:spacing w:before="0" w:line="240"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1</w:t>
      </w:r>
      <w:bookmarkEnd w:id="1477"/>
      <w:r>
        <w:rPr>
          <w:color w:val="000000"/>
          <w:spacing w:val="0"/>
          <w:w w:val="100"/>
          <w:position w:val="0"/>
        </w:rPr>
        <w:t>）按款项性质列示其他应付款</w:t>
      </w:r>
      <w:bookmarkEnd w:id="1475"/>
      <w:bookmarkEnd w:id="1476"/>
      <w:bookmarkEnd w:id="147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93,606,685.73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130,853,040.39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4,528,024.95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4,786,517.36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6,125,456.26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2,559,623.84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2,682,563.82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4,677,265.91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102,701,766.91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148,743,411.35</w:t>
            </w:r>
          </w:p>
        </w:tc>
      </w:tr>
    </w:tbl>
    <w:p>
      <w:pPr>
        <w:spacing w:lineRule="exact" w:line="1"/>
        <w:rPr>
          <w:sz w:val="2"/>
          <w:szCs w:val="2"/>
        </w:rPr>
      </w:pPr>
      <w:r>
        <w:br w:type="page"/>
      </w:r>
    </w:p>
    <w:p>
      <w:pPr>
        <w:pStyle w:val="Style53"/>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bookmarkEnd w:id="148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79"/>
      <w:bookmarkEnd w:id="1480"/>
      <w:bookmarkEnd w:id="1482"/>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中联信投资担保有限公司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江苏谷德信息科技有限公司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3,864,496.32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王家慧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2,482,276.00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博康智能信息技术有限公司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2,206,800.00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未达到付款条件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北京盛业达投资有限公司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1,404,935.00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未达到付款条件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14,153,507.32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4</w:t>
      </w:r>
      <w:bookmarkEnd w:id="1485"/>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483"/>
      <w:bookmarkEnd w:id="1484"/>
      <w:bookmarkEnd w:id="1486"/>
    </w:p>
    <w:p>
      <w:pPr>
        <w:pStyle w:val="Style28"/>
        <w:keepNext/>
        <w:keepLines/>
        <w:widowControl w:val="0"/>
        <w:shd w:val="clear" w:color="auto" w:fill="auto"/>
        <w:tabs>
          <w:tab w:pos="483" w:val="left"/>
        </w:tabs>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4</w:t>
      </w:r>
      <w:bookmarkEnd w:id="1489"/>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487"/>
      <w:bookmarkEnd w:id="1488"/>
      <w:bookmarkEnd w:id="1490"/>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1,684,003.46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1,736,258.78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tabs>
          <w:tab w:pos="483" w:val="left"/>
        </w:tabs>
        <w:bidi w:val="0"/>
        <w:spacing w:before="0" w:after="38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491"/>
      <w:bookmarkEnd w:id="1492"/>
      <w:bookmarkEnd w:id="1494"/>
    </w:p>
    <w:p>
      <w:pPr>
        <w:pStyle w:val="Style28"/>
        <w:keepNext/>
        <w:keepLines/>
        <w:widowControl w:val="0"/>
        <w:shd w:val="clear" w:color="auto" w:fill="auto"/>
        <w:tabs>
          <w:tab w:pos="483" w:val="left"/>
        </w:tabs>
        <w:bidi w:val="0"/>
        <w:spacing w:before="0" w:after="380" w:line="240" w:lineRule="auto"/>
        <w:ind w:left="0" w:right="0" w:firstLine="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4</w:t>
      </w:r>
      <w:bookmarkEnd w:id="1497"/>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495"/>
      <w:bookmarkEnd w:id="1496"/>
      <w:bookmarkEnd w:id="1498"/>
    </w:p>
    <w:p>
      <w:pPr>
        <w:pStyle w:val="Style38"/>
        <w:keepNext/>
        <w:keepLines/>
        <w:widowControl w:val="0"/>
        <w:shd w:val="clear" w:color="auto" w:fill="auto"/>
        <w:bidi w:val="0"/>
        <w:spacing w:before="0" w:line="240" w:lineRule="auto"/>
        <w:ind w:left="0" w:right="0" w:firstLine="0"/>
        <w:jc w:val="both"/>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99"/>
      <w:bookmarkEnd w:id="1500"/>
      <w:bookmarkEnd w:id="1502"/>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信用借款情况</w:t>
      </w:r>
    </w:p>
    <w:tbl>
      <w:tblPr>
        <w:tblOverlap w:val="never"/>
        <w:jc w:val="center"/>
        <w:tblLayout w:type="fixed"/>
      </w:tblPr>
      <w:tblGrid>
        <w:gridCol w:w="3240"/>
        <w:gridCol w:w="2477"/>
        <w:gridCol w:w="1238"/>
        <w:gridCol w:w="1416"/>
        <w:gridCol w:w="128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贷款单位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借款日期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还款日期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备注</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深圳前海微众银行股份有限公司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2, 250,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2023/9/24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28"/>
        <w:keepNext/>
        <w:keepLines/>
        <w:widowControl w:val="0"/>
        <w:shd w:val="clear" w:color="auto" w:fill="auto"/>
        <w:tabs>
          <w:tab w:pos="483" w:val="left"/>
        </w:tabs>
        <w:bidi w:val="0"/>
        <w:spacing w:before="0" w:after="380" w:line="240" w:lineRule="auto"/>
        <w:ind w:left="0" w:right="0" w:firstLine="0"/>
        <w:jc w:val="both"/>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03"/>
      <w:bookmarkEnd w:id="1504"/>
      <w:bookmarkEnd w:id="1506"/>
    </w:p>
    <w:p>
      <w:pPr>
        <w:pStyle w:val="Style38"/>
        <w:keepNext/>
        <w:keepLines/>
        <w:widowControl w:val="0"/>
        <w:shd w:val="clear" w:color="auto" w:fill="auto"/>
        <w:tabs>
          <w:tab w:pos="493" w:val="left"/>
        </w:tabs>
        <w:bidi w:val="0"/>
        <w:spacing w:before="0" w:line="240" w:lineRule="auto"/>
        <w:ind w:left="0" w:right="0" w:firstLine="0"/>
        <w:jc w:val="both"/>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507"/>
      <w:bookmarkEnd w:id="1508"/>
      <w:bookmarkEnd w:id="1510"/>
    </w:p>
    <w:p>
      <w:pPr>
        <w:pStyle w:val="Style38"/>
        <w:keepNext/>
        <w:keepLines/>
        <w:widowControl w:val="0"/>
        <w:shd w:val="clear" w:color="auto" w:fill="auto"/>
        <w:bidi w:val="0"/>
        <w:spacing w:before="0" w:line="240" w:lineRule="auto"/>
        <w:ind w:left="0" w:right="0" w:firstLine="0"/>
        <w:jc w:val="both"/>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511"/>
      <w:bookmarkEnd w:id="1512"/>
      <w:bookmarkEnd w:id="1514"/>
    </w:p>
    <w:p>
      <w:pPr>
        <w:pStyle w:val="Style38"/>
        <w:keepNext/>
        <w:keepLines/>
        <w:widowControl w:val="0"/>
        <w:shd w:val="clear" w:color="auto" w:fill="auto"/>
        <w:tabs>
          <w:tab w:pos="493" w:val="left"/>
        </w:tabs>
        <w:bidi w:val="0"/>
        <w:spacing w:before="0" w:line="240" w:lineRule="auto"/>
        <w:ind w:left="0" w:right="0" w:firstLine="0"/>
        <w:jc w:val="both"/>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15"/>
      <w:bookmarkEnd w:id="1516"/>
      <w:bookmarkEnd w:id="1518"/>
    </w:p>
    <w:p>
      <w:pPr>
        <w:pStyle w:val="Style38"/>
        <w:keepNext/>
        <w:keepLines/>
        <w:widowControl w:val="0"/>
        <w:shd w:val="clear" w:color="auto" w:fill="auto"/>
        <w:tabs>
          <w:tab w:pos="493" w:val="left"/>
        </w:tabs>
        <w:bidi w:val="0"/>
        <w:spacing w:before="0" w:line="240" w:lineRule="auto"/>
        <w:ind w:left="0" w:right="0" w:firstLine="0"/>
        <w:jc w:val="both"/>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19"/>
      <w:bookmarkEnd w:id="1520"/>
      <w:bookmarkEnd w:id="1522"/>
    </w:p>
    <w:p>
      <w:pPr>
        <w:pStyle w:val="Style28"/>
        <w:keepNext/>
        <w:keepLines/>
        <w:widowControl w:val="0"/>
        <w:shd w:val="clear" w:color="auto" w:fill="auto"/>
        <w:tabs>
          <w:tab w:pos="483" w:val="left"/>
        </w:tabs>
        <w:bidi w:val="0"/>
        <w:spacing w:before="0" w:after="38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23"/>
      <w:bookmarkEnd w:id="1524"/>
      <w:bookmarkEnd w:id="152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696"/>
        <w:gridCol w:w="3115"/>
        <w:gridCol w:w="27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23,867,030.38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-4,571,725.86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减：一年内到期的租赁负债（附注六、</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-1,684,003.46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17,611,301.06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5"/>
        <w:keepNext w:val="0"/>
        <w:keepLines w:val="0"/>
        <w:widowControl w:val="0"/>
        <w:shd w:val="clear" w:color="auto" w:fill="auto"/>
        <w:bidi w:val="0"/>
        <w:spacing w:before="0" w:after="380" w:line="240" w:lineRule="auto"/>
        <w:ind w:left="0" w:right="0"/>
        <w:jc w:val="left"/>
      </w:pPr>
      <w:r>
        <w:rPr>
          <w:color w:val="000000"/>
          <w:spacing w:val="0"/>
          <w:w w:val="100"/>
          <w:position w:val="0"/>
        </w:rPr>
        <w:t>注：本公司对租赁负债的流动性风险管理措施，以及年末租赁负债的到期期限分析参见本附注十、</w:t>
      </w:r>
      <w:r>
        <w:rPr>
          <w:color w:val="000000"/>
          <w:spacing w:val="0"/>
          <w:w w:val="100"/>
          <w:position w:val="0"/>
          <w:sz w:val="18"/>
          <w:szCs w:val="18"/>
        </w:rPr>
        <w:t xml:space="preserve">3 </w:t>
      </w:r>
      <w:r>
        <w:rPr>
          <w:color w:val="000000"/>
          <w:spacing w:val="0"/>
          <w:w w:val="100"/>
          <w:position w:val="0"/>
        </w:rPr>
        <w:t>“流动性风险”。</w:t>
      </w:r>
    </w:p>
    <w:p>
      <w:pPr>
        <w:pStyle w:val="Style28"/>
        <w:keepNext/>
        <w:keepLines/>
        <w:widowControl w:val="0"/>
        <w:shd w:val="clear" w:color="auto" w:fill="auto"/>
        <w:bidi w:val="0"/>
        <w:spacing w:before="0" w:after="380" w:line="240" w:lineRule="auto"/>
        <w:ind w:left="0" w:right="0" w:firstLine="0"/>
        <w:jc w:val="both"/>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27"/>
      <w:bookmarkEnd w:id="1528"/>
      <w:bookmarkEnd w:id="153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471,174.99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471,174.99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31"/>
      <w:bookmarkEnd w:id="1532"/>
      <w:bookmarkEnd w:id="153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大众汽车金融（中国）有限公司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113,430.31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华润深国投信托有限公司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减：一年内到期部分（附注六、</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52,255.32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35"/>
      <w:bookmarkEnd w:id="1536"/>
      <w:bookmarkEnd w:id="1538"/>
    </w:p>
    <w:p>
      <w:pPr>
        <w:pStyle w:val="Style28"/>
        <w:keepNext/>
        <w:keepLines/>
        <w:widowControl w:val="0"/>
        <w:shd w:val="clear" w:color="auto" w:fill="auto"/>
        <w:tabs>
          <w:tab w:pos="483" w:val="left"/>
        </w:tabs>
        <w:bidi w:val="0"/>
        <w:spacing w:before="0" w:after="36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4</w:t>
      </w:r>
      <w:bookmarkEnd w:id="1541"/>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39"/>
      <w:bookmarkEnd w:id="1540"/>
      <w:bookmarkEnd w:id="1542"/>
    </w:p>
    <w:p>
      <w:pPr>
        <w:pStyle w:val="Style38"/>
        <w:keepNext/>
        <w:keepLines/>
        <w:widowControl w:val="0"/>
        <w:shd w:val="clear" w:color="auto" w:fill="auto"/>
        <w:tabs>
          <w:tab w:pos="493" w:val="left"/>
        </w:tabs>
        <w:bidi w:val="0"/>
        <w:spacing w:before="0" w:after="36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bookmarkEnd w:id="1543"/>
      <w:bookmarkEnd w:id="1544"/>
      <w:bookmarkEnd w:id="1546"/>
    </w:p>
    <w:p>
      <w:pPr>
        <w:pStyle w:val="Style38"/>
        <w:keepNext/>
        <w:keepLines/>
        <w:widowControl w:val="0"/>
        <w:shd w:val="clear" w:color="auto" w:fill="auto"/>
        <w:tabs>
          <w:tab w:pos="493" w:val="left"/>
        </w:tabs>
        <w:bidi w:val="0"/>
        <w:spacing w:before="0" w:after="36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bookmarkEnd w:id="1547"/>
      <w:bookmarkEnd w:id="1548"/>
      <w:bookmarkEnd w:id="1550"/>
    </w:p>
    <w:p>
      <w:pPr>
        <w:pStyle w:val="Style28"/>
        <w:keepNext/>
        <w:keepLines/>
        <w:widowControl w:val="0"/>
        <w:shd w:val="clear" w:color="auto" w:fill="auto"/>
        <w:tabs>
          <w:tab w:pos="483" w:val="left"/>
        </w:tabs>
        <w:bidi w:val="0"/>
        <w:spacing w:before="0" w:after="36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5</w:t>
      </w:r>
      <w:bookmarkEnd w:id="1553"/>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51"/>
      <w:bookmarkEnd w:id="1552"/>
      <w:bookmarkEnd w:id="1554"/>
    </w:p>
    <w:p>
      <w:pPr>
        <w:pStyle w:val="Style28"/>
        <w:keepNext/>
        <w:keepLines/>
        <w:widowControl w:val="0"/>
        <w:shd w:val="clear" w:color="auto" w:fill="auto"/>
        <w:tabs>
          <w:tab w:pos="483" w:val="left"/>
        </w:tabs>
        <w:bidi w:val="0"/>
        <w:spacing w:before="0" w:after="36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5</w:t>
      </w:r>
      <w:bookmarkEnd w:id="1557"/>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55"/>
      <w:bookmarkEnd w:id="1556"/>
      <w:bookmarkEnd w:id="1558"/>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2,296,200.00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3,124,200.00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尚未验收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2,296,200.00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3,124,200.00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70"/>
        <w:gridCol w:w="850"/>
        <w:gridCol w:w="994"/>
        <w:gridCol w:w="1272"/>
        <w:gridCol w:w="994"/>
        <w:gridCol w:w="994"/>
        <w:gridCol w:w="850"/>
        <w:gridCol w:w="1046"/>
        <w:gridCol w:w="10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的城市智 能交通系统关键技 术联合研发与应用 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244,200.00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智慧镇街数字驾驶 舱平台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银江智慧安保平台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智能政务开放创新 服务平台开发及应 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基于人工智能的司 法服务平台及示范 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5</w:t>
      </w:r>
      <w:bookmarkEnd w:id="156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59"/>
      <w:bookmarkEnd w:id="1560"/>
      <w:bookmarkEnd w:id="1562"/>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预分配款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214,617,300.00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214,617,300.00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25"/>
        <w:keepNext w:val="0"/>
        <w:keepLines w:val="0"/>
        <w:widowControl w:val="0"/>
        <w:shd w:val="clear" w:color="auto" w:fill="auto"/>
        <w:bidi w:val="0"/>
        <w:spacing w:before="0" w:after="380" w:line="314" w:lineRule="exact"/>
        <w:ind w:left="0" w:right="0"/>
        <w:jc w:val="both"/>
      </w:pPr>
      <w:r>
        <w:rPr>
          <w:color w:val="000000"/>
          <w:spacing w:val="0"/>
          <w:w w:val="100"/>
          <w:position w:val="0"/>
        </w:rPr>
        <w:t>注：为消除银江科技集团有限公司对本公司的间接资金占用，杭州银江智慧产业创业投资合伙企业（有限合伙）已将银 江科技集团有限公司归还的资金进行了预分配，截至到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月，累计已收到产业基金预分配的资金</w:t>
      </w:r>
      <w:r>
        <w:rPr>
          <w:color w:val="000000"/>
          <w:spacing w:val="0"/>
          <w:w w:val="100"/>
          <w:position w:val="0"/>
          <w:sz w:val="18"/>
          <w:szCs w:val="18"/>
        </w:rPr>
        <w:t>21,461.73</w:t>
      </w:r>
      <w:r>
        <w:rPr>
          <w:color w:val="000000"/>
          <w:spacing w:val="0"/>
          <w:w w:val="100"/>
          <w:position w:val="0"/>
        </w:rPr>
        <w:t>万元，银江 科技集团有限公司通过杭州银江智慧产业创业投资合伙企业（有限合伙）形成对本公司的间接资金占用已全部消除。</w:t>
      </w:r>
    </w:p>
    <w:p>
      <w:pPr>
        <w:pStyle w:val="Style28"/>
        <w:keepNext/>
        <w:keepLines/>
        <w:widowControl w:val="0"/>
        <w:shd w:val="clear" w:color="auto" w:fill="auto"/>
        <w:bidi w:val="0"/>
        <w:spacing w:before="0" w:after="380" w:line="240" w:lineRule="auto"/>
        <w:ind w:left="0" w:right="0" w:firstLine="0"/>
        <w:jc w:val="both"/>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63"/>
      <w:bookmarkEnd w:id="1564"/>
      <w:bookmarkEnd w:id="1565"/>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655,789,086.00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655,789,086.00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tabs>
          <w:tab w:pos="483" w:val="left"/>
        </w:tabs>
        <w:bidi w:val="0"/>
        <w:spacing w:before="0" w:after="380" w:line="240" w:lineRule="auto"/>
        <w:ind w:left="0" w:right="0" w:firstLine="0"/>
        <w:jc w:val="both"/>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5</w:t>
      </w:r>
      <w:bookmarkEnd w:id="1568"/>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66"/>
      <w:bookmarkEnd w:id="1567"/>
      <w:bookmarkEnd w:id="1569"/>
    </w:p>
    <w:p>
      <w:pPr>
        <w:pStyle w:val="Style38"/>
        <w:keepNext/>
        <w:keepLines/>
        <w:widowControl w:val="0"/>
        <w:shd w:val="clear" w:color="auto" w:fill="auto"/>
        <w:tabs>
          <w:tab w:pos="493" w:val="left"/>
        </w:tabs>
        <w:bidi w:val="0"/>
        <w:spacing w:before="0" w:line="240" w:lineRule="auto"/>
        <w:ind w:left="0" w:right="0" w:firstLine="0"/>
        <w:jc w:val="both"/>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70"/>
      <w:bookmarkEnd w:id="1571"/>
      <w:bookmarkEnd w:id="1573"/>
    </w:p>
    <w:p>
      <w:pPr>
        <w:pStyle w:val="Style38"/>
        <w:keepNext/>
        <w:keepLines/>
        <w:widowControl w:val="0"/>
        <w:shd w:val="clear" w:color="auto" w:fill="auto"/>
        <w:tabs>
          <w:tab w:pos="493" w:val="left"/>
        </w:tabs>
        <w:bidi w:val="0"/>
        <w:spacing w:before="0" w:line="240" w:lineRule="auto"/>
        <w:ind w:left="0" w:right="0" w:firstLine="0"/>
        <w:jc w:val="both"/>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74"/>
      <w:bookmarkEnd w:id="1575"/>
      <w:bookmarkEnd w:id="1577"/>
    </w:p>
    <w:p>
      <w:pPr>
        <w:pStyle w:val="Style28"/>
        <w:keepNext/>
        <w:keepLines/>
        <w:widowControl w:val="0"/>
        <w:shd w:val="clear" w:color="auto" w:fill="auto"/>
        <w:tabs>
          <w:tab w:pos="483" w:val="left"/>
        </w:tabs>
        <w:bidi w:val="0"/>
        <w:spacing w:before="0" w:after="380" w:line="240" w:lineRule="auto"/>
        <w:ind w:left="0" w:right="0" w:firstLine="0"/>
        <w:jc w:val="both"/>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78"/>
      <w:bookmarkEnd w:id="1579"/>
      <w:bookmarkEnd w:id="1581"/>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1,566,809,540.84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1,570,159,709.07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-16,411,667.03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-19,191,717.26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1,550,397,873.81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1,550,967,991.81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25"/>
        <w:keepNext w:val="0"/>
        <w:keepLines w:val="0"/>
        <w:widowControl w:val="0"/>
        <w:shd w:val="clear" w:color="auto" w:fill="auto"/>
        <w:bidi w:val="0"/>
        <w:spacing w:before="0" w:after="380" w:line="240" w:lineRule="auto"/>
        <w:ind w:left="0" w:right="0"/>
        <w:jc w:val="left"/>
      </w:pPr>
      <w:r>
        <w:rPr>
          <w:color w:val="000000"/>
          <w:spacing w:val="0"/>
          <w:w w:val="100"/>
          <w:position w:val="0"/>
        </w:rPr>
        <w:t>注：公司发行</w:t>
      </w:r>
      <w:r>
        <w:rPr>
          <w:color w:val="000000"/>
          <w:spacing w:val="0"/>
          <w:w w:val="100"/>
          <w:position w:val="0"/>
          <w:sz w:val="18"/>
          <w:szCs w:val="18"/>
        </w:rPr>
        <w:t>2021</w:t>
      </w:r>
      <w:r>
        <w:rPr>
          <w:color w:val="000000"/>
          <w:spacing w:val="0"/>
          <w:w w:val="100"/>
          <w:position w:val="0"/>
        </w:rPr>
        <w:t>年股票期权激励计划，本期预估未来行权股票激励费用</w:t>
      </w:r>
      <w:r>
        <w:rPr>
          <w:color w:val="000000"/>
          <w:spacing w:val="0"/>
          <w:w w:val="100"/>
          <w:position w:val="0"/>
          <w:sz w:val="18"/>
          <w:szCs w:val="18"/>
        </w:rPr>
        <w:t>570,118.00</w:t>
      </w:r>
      <w:r>
        <w:rPr>
          <w:color w:val="000000"/>
          <w:spacing w:val="0"/>
          <w:w w:val="100"/>
          <w:position w:val="0"/>
        </w:rPr>
        <w:t>元。</w:t>
      </w:r>
    </w:p>
    <w:p>
      <w:pPr>
        <w:pStyle w:val="Style28"/>
        <w:keepNext/>
        <w:keepLines/>
        <w:widowControl w:val="0"/>
        <w:shd w:val="clear" w:color="auto" w:fill="auto"/>
        <w:tabs>
          <w:tab w:pos="483" w:val="left"/>
        </w:tabs>
        <w:bidi w:val="0"/>
        <w:spacing w:before="0" w:after="380" w:line="240" w:lineRule="auto"/>
        <w:ind w:left="0" w:right="0" w:firstLine="0"/>
        <w:jc w:val="both"/>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582"/>
      <w:bookmarkEnd w:id="1583"/>
      <w:bookmarkEnd w:id="1585"/>
    </w:p>
    <w:p>
      <w:pPr>
        <w:pStyle w:val="Style28"/>
        <w:keepNext/>
        <w:keepLines/>
        <w:widowControl w:val="0"/>
        <w:shd w:val="clear" w:color="auto" w:fill="auto"/>
        <w:tabs>
          <w:tab w:pos="483" w:val="left"/>
        </w:tabs>
        <w:bidi w:val="0"/>
        <w:spacing w:before="0" w:after="380" w:line="240" w:lineRule="auto"/>
        <w:ind w:left="0" w:right="0" w:firstLine="0"/>
        <w:jc w:val="both"/>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86"/>
      <w:bookmarkEnd w:id="1587"/>
      <w:bookmarkEnd w:id="158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6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本期所得</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税前发生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98,424,572.</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-20,422,14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94,387,90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-114,810,0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98,424,572.</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-20,422,14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94,387,90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-114,810,0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98,424,572.</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-20,422,14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94,387,90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-114,810,0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486.84</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keepLines/>
        <w:widowControl w:val="0"/>
        <w:shd w:val="clear" w:color="auto" w:fill="auto"/>
        <w:tabs>
          <w:tab w:pos="511" w:val="left"/>
        </w:tabs>
        <w:bidi w:val="0"/>
        <w:spacing w:before="0" w:after="38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5</w:t>
      </w:r>
      <w:bookmarkEnd w:id="1592"/>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90"/>
      <w:bookmarkEnd w:id="1591"/>
      <w:bookmarkEnd w:id="1593"/>
    </w:p>
    <w:p>
      <w:pPr>
        <w:pStyle w:val="Style28"/>
        <w:keepNext/>
        <w:keepLines/>
        <w:widowControl w:val="0"/>
        <w:shd w:val="clear" w:color="auto" w:fill="auto"/>
        <w:tabs>
          <w:tab w:pos="511" w:val="left"/>
        </w:tabs>
        <w:bidi w:val="0"/>
        <w:spacing w:before="0" w:after="38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5</w:t>
      </w:r>
      <w:bookmarkEnd w:id="1596"/>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594"/>
      <w:bookmarkEnd w:id="1595"/>
      <w:bookmarkEnd w:id="15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157,495,393.37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12,486,916.86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169,982,310.23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157,495,393.37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12,486,916.86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169,982,310.23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25"/>
        <w:keepNext w:val="0"/>
        <w:keepLines w:val="0"/>
        <w:widowControl w:val="0"/>
        <w:shd w:val="clear" w:color="auto" w:fill="auto"/>
        <w:bidi w:val="0"/>
        <w:spacing w:before="0" w:after="0" w:line="310" w:lineRule="exact"/>
        <w:ind w:left="0" w:right="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根据《公司法》、公司章程的规定，本公司按本公司单体净利润的</w:t>
      </w:r>
      <w:r>
        <w:rPr>
          <w:color w:val="000000"/>
          <w:spacing w:val="0"/>
          <w:w w:val="100"/>
          <w:position w:val="0"/>
          <w:sz w:val="18"/>
          <w:szCs w:val="18"/>
        </w:rPr>
        <w:t>10%</w:t>
      </w:r>
      <w:r>
        <w:rPr>
          <w:color w:val="000000"/>
          <w:spacing w:val="0"/>
          <w:w w:val="100"/>
          <w:position w:val="0"/>
        </w:rPr>
        <w:t>提取法定盈余公积</w:t>
      </w:r>
      <w:r>
        <w:rPr>
          <w:color w:val="000000"/>
          <w:spacing w:val="0"/>
          <w:w w:val="100"/>
          <w:position w:val="0"/>
          <w:sz w:val="18"/>
          <w:szCs w:val="18"/>
        </w:rPr>
        <w:t>11,795,954.0</w:t>
      </w:r>
      <w:r>
        <w:rPr>
          <w:color w:val="000000"/>
          <w:spacing w:val="0"/>
          <w:w w:val="100"/>
          <w:position w:val="0"/>
          <w:sz w:val="18"/>
          <w:szCs w:val="18"/>
        </w:rPr>
        <w:t>1</w:t>
      </w:r>
      <w:r>
        <w:rPr>
          <w:color w:val="000000"/>
          <w:spacing w:val="0"/>
          <w:w w:val="100"/>
          <w:position w:val="0"/>
        </w:rPr>
        <w:t>元。法定 盈余公积累计额达到本公司注册资本</w:t>
      </w:r>
      <w:r>
        <w:rPr>
          <w:color w:val="000000"/>
          <w:spacing w:val="0"/>
          <w:w w:val="100"/>
          <w:position w:val="0"/>
          <w:sz w:val="18"/>
          <w:szCs w:val="18"/>
        </w:rPr>
        <w:t>50%</w:t>
      </w:r>
      <w:r>
        <w:rPr>
          <w:color w:val="000000"/>
          <w:spacing w:val="0"/>
          <w:w w:val="100"/>
          <w:position w:val="0"/>
        </w:rPr>
        <w:t>以上的，不再提取。</w:t>
      </w:r>
    </w:p>
    <w:p>
      <w:pPr>
        <w:pStyle w:val="Style25"/>
        <w:keepNext w:val="0"/>
        <w:keepLines w:val="0"/>
        <w:widowControl w:val="0"/>
        <w:shd w:val="clear" w:color="auto" w:fill="auto"/>
        <w:bidi w:val="0"/>
        <w:spacing w:before="0" w:after="380" w:line="310" w:lineRule="exact"/>
        <w:ind w:left="0" w:right="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本公司处置其他权益工具投资浙江万朋教育科技股份有限公司的股权增加留存收益</w:t>
      </w:r>
      <w:r>
        <w:rPr>
          <w:color w:val="000000"/>
          <w:spacing w:val="0"/>
          <w:w w:val="100"/>
          <w:position w:val="0"/>
          <w:sz w:val="18"/>
          <w:szCs w:val="18"/>
        </w:rPr>
        <w:t xml:space="preserve">6, 909, </w:t>
      </w:r>
      <w:r>
        <w:rPr>
          <w:color w:val="000000"/>
          <w:spacing w:val="0"/>
          <w:w w:val="100"/>
          <w:position w:val="0"/>
          <w:sz w:val="18"/>
          <w:szCs w:val="18"/>
        </w:rPr>
        <w:t>628.54</w:t>
      </w:r>
      <w:r>
        <w:rPr>
          <w:color w:val="000000"/>
          <w:spacing w:val="0"/>
          <w:w w:val="100"/>
          <w:position w:val="0"/>
        </w:rPr>
        <w:t>元，其中增加法 定盈余公积</w:t>
      </w:r>
      <w:r>
        <w:rPr>
          <w:color w:val="000000"/>
          <w:spacing w:val="0"/>
          <w:w w:val="100"/>
          <w:position w:val="0"/>
          <w:sz w:val="18"/>
          <w:szCs w:val="18"/>
        </w:rPr>
        <w:t xml:space="preserve">690, </w:t>
      </w:r>
      <w:r>
        <w:rPr>
          <w:color w:val="000000"/>
          <w:spacing w:val="0"/>
          <w:w w:val="100"/>
          <w:position w:val="0"/>
          <w:sz w:val="18"/>
          <w:szCs w:val="18"/>
        </w:rPr>
        <w:t xml:space="preserve">962. </w:t>
      </w:r>
      <w:r>
        <w:rPr>
          <w:color w:val="000000"/>
          <w:spacing w:val="0"/>
          <w:w w:val="100"/>
          <w:position w:val="0"/>
          <w:sz w:val="18"/>
          <w:szCs w:val="18"/>
        </w:rPr>
        <w:t>85</w:t>
      </w:r>
      <w:r>
        <w:rPr>
          <w:color w:val="000000"/>
          <w:spacing w:val="0"/>
          <w:w w:val="100"/>
          <w:position w:val="0"/>
        </w:rPr>
        <w:t>元，增加未分配利润</w:t>
      </w:r>
      <w:r>
        <w:rPr>
          <w:color w:val="000000"/>
          <w:spacing w:val="0"/>
          <w:w w:val="100"/>
          <w:position w:val="0"/>
          <w:sz w:val="18"/>
          <w:szCs w:val="18"/>
        </w:rPr>
        <w:t xml:space="preserve">6, 218, </w:t>
      </w:r>
      <w:r>
        <w:rPr>
          <w:color w:val="000000"/>
          <w:spacing w:val="0"/>
          <w:w w:val="100"/>
          <w:position w:val="0"/>
          <w:sz w:val="18"/>
          <w:szCs w:val="18"/>
        </w:rPr>
        <w:t xml:space="preserve">665. </w:t>
      </w:r>
      <w:r>
        <w:rPr>
          <w:color w:val="000000"/>
          <w:spacing w:val="0"/>
          <w:w w:val="100"/>
          <w:position w:val="0"/>
          <w:sz w:val="18"/>
          <w:szCs w:val="18"/>
        </w:rPr>
        <w:t>69</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6</w:t>
      </w:r>
      <w:bookmarkEnd w:id="160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98"/>
      <w:bookmarkEnd w:id="1599"/>
      <w:bookmarkEnd w:id="160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976"/>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1,010,820,615.73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901,573,317.76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-7,849,000.51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1,010,820,615.73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893,724,317.25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98,973,352.30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157,704,491.11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11,795,954.01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20,517,782.20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19,673,672.58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-101,927,125.56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加：前期计入其他综合收益当期转入未分配利润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94,387,909.63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-416,737.85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1,090,458,798.09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1,010,820,615.73</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705" w:val="left"/>
        </w:tabs>
        <w:bidi w:val="0"/>
        <w:spacing w:before="0" w:after="100" w:line="240" w:lineRule="auto"/>
        <w:ind w:left="0" w:right="0"/>
        <w:jc w:val="left"/>
      </w:pPr>
      <w:bookmarkStart w:id="1602" w:name="bookmark1602"/>
      <w:r>
        <w:rPr>
          <w:color w:val="000000"/>
          <w:spacing w:val="0"/>
          <w:w w:val="100"/>
          <w:position w:val="0"/>
          <w:sz w:val="18"/>
          <w:szCs w:val="18"/>
        </w:rPr>
        <w:t>1</w:t>
      </w:r>
      <w:bookmarkEnd w:id="1602"/>
      <w:r>
        <w:rPr>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5"/>
        <w:keepNext w:val="0"/>
        <w:keepLines w:val="0"/>
        <w:widowControl w:val="0"/>
        <w:shd w:val="clear" w:color="auto" w:fill="auto"/>
        <w:tabs>
          <w:tab w:pos="714" w:val="left"/>
        </w:tabs>
        <w:bidi w:val="0"/>
        <w:spacing w:before="0" w:after="100" w:line="240" w:lineRule="auto"/>
        <w:ind w:left="0" w:right="0"/>
        <w:jc w:val="left"/>
      </w:pPr>
      <w:bookmarkStart w:id="1603" w:name="bookmark1603"/>
      <w:r>
        <w:rPr>
          <w:color w:val="000000"/>
          <w:spacing w:val="0"/>
          <w:w w:val="100"/>
          <w:position w:val="0"/>
          <w:sz w:val="18"/>
          <w:szCs w:val="18"/>
        </w:rPr>
        <w:t>2</w:t>
      </w:r>
      <w:bookmarkEnd w:id="1603"/>
      <w:r>
        <w:rPr>
          <w:color w:val="000000"/>
          <w:spacing w:val="0"/>
          <w:w w:val="100"/>
          <w:position w:val="0"/>
          <w:sz w:val="18"/>
          <w:szCs w:val="18"/>
        </w:rPr>
        <w:t>）</w:t>
        <w:tab/>
      </w:r>
      <w:r>
        <w:rPr>
          <w:color w:val="000000"/>
          <w:spacing w:val="0"/>
          <w:w w:val="100"/>
          <w:position w:val="0"/>
        </w:rPr>
        <w:t>、由于会计政策变更，影响期初未分配利润元。</w:t>
      </w:r>
    </w:p>
    <w:p>
      <w:pPr>
        <w:pStyle w:val="Style25"/>
        <w:keepNext w:val="0"/>
        <w:keepLines w:val="0"/>
        <w:widowControl w:val="0"/>
        <w:shd w:val="clear" w:color="auto" w:fill="auto"/>
        <w:tabs>
          <w:tab w:pos="714" w:val="left"/>
        </w:tabs>
        <w:bidi w:val="0"/>
        <w:spacing w:before="0" w:after="100" w:line="240" w:lineRule="auto"/>
        <w:ind w:left="0" w:right="0"/>
        <w:jc w:val="left"/>
      </w:pPr>
      <w:bookmarkStart w:id="1604" w:name="bookmark1604"/>
      <w:r>
        <w:rPr>
          <w:color w:val="000000"/>
          <w:spacing w:val="0"/>
          <w:w w:val="100"/>
          <w:position w:val="0"/>
          <w:sz w:val="18"/>
          <w:szCs w:val="18"/>
        </w:rPr>
        <w:t>3</w:t>
      </w:r>
      <w:bookmarkEnd w:id="1604"/>
      <w:r>
        <w:rPr>
          <w:color w:val="000000"/>
          <w:spacing w:val="0"/>
          <w:w w:val="100"/>
          <w:position w:val="0"/>
          <w:sz w:val="18"/>
          <w:szCs w:val="18"/>
        </w:rPr>
        <w:t>）</w:t>
        <w:tab/>
      </w:r>
      <w:r>
        <w:rPr>
          <w:color w:val="000000"/>
          <w:spacing w:val="0"/>
          <w:w w:val="100"/>
          <w:position w:val="0"/>
        </w:rPr>
        <w:t>、由于重大会计差错更正，影响期初未分配利润元。</w:t>
      </w:r>
      <w:r>
        <w:br w:type="page"/>
      </w:r>
    </w:p>
    <w:p>
      <w:pPr>
        <w:pStyle w:val="Style25"/>
        <w:keepNext w:val="0"/>
        <w:keepLines w:val="0"/>
        <w:widowControl w:val="0"/>
        <w:shd w:val="clear" w:color="auto" w:fill="auto"/>
        <w:tabs>
          <w:tab w:pos="719" w:val="left"/>
        </w:tabs>
        <w:bidi w:val="0"/>
        <w:spacing w:before="0" w:after="120" w:line="240" w:lineRule="auto"/>
        <w:ind w:left="0" w:right="0"/>
        <w:jc w:val="left"/>
      </w:pPr>
      <w:bookmarkStart w:id="1605" w:name="bookmark1605"/>
      <w:r>
        <w:rPr>
          <w:color w:val="000000"/>
          <w:spacing w:val="0"/>
          <w:w w:val="100"/>
          <w:position w:val="0"/>
          <w:sz w:val="18"/>
          <w:szCs w:val="18"/>
        </w:rPr>
        <w:t>4</w:t>
      </w:r>
      <w:bookmarkEnd w:id="1605"/>
      <w:r>
        <w:rPr>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5"/>
        <w:keepNext w:val="0"/>
        <w:keepLines w:val="0"/>
        <w:widowControl w:val="0"/>
        <w:shd w:val="clear" w:color="auto" w:fill="auto"/>
        <w:tabs>
          <w:tab w:pos="719" w:val="left"/>
        </w:tabs>
        <w:bidi w:val="0"/>
        <w:spacing w:before="0" w:after="380" w:line="240" w:lineRule="auto"/>
        <w:ind w:left="0" w:right="0"/>
        <w:jc w:val="left"/>
      </w:pPr>
      <w:bookmarkStart w:id="1606" w:name="bookmark1606"/>
      <w:r>
        <w:rPr>
          <w:color w:val="000000"/>
          <w:spacing w:val="0"/>
          <w:w w:val="100"/>
          <w:position w:val="0"/>
          <w:sz w:val="18"/>
          <w:szCs w:val="18"/>
        </w:rPr>
        <w:t>5</w:t>
      </w:r>
      <w:bookmarkEnd w:id="1606"/>
      <w:r>
        <w:rPr>
          <w:color w:val="000000"/>
          <w:spacing w:val="0"/>
          <w:w w:val="100"/>
          <w:position w:val="0"/>
          <w:sz w:val="18"/>
          <w:szCs w:val="18"/>
        </w:rPr>
        <w:t>）</w:t>
        <w:tab/>
      </w:r>
      <w:r>
        <w:rPr>
          <w:color w:val="000000"/>
          <w:spacing w:val="0"/>
          <w:w w:val="100"/>
          <w:position w:val="0"/>
        </w:rPr>
        <w:t>、其他调整合计影响期初未分配利润元。</w:t>
      </w:r>
    </w:p>
    <w:p>
      <w:pPr>
        <w:pStyle w:val="Style28"/>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6</w:t>
      </w:r>
      <w:bookmarkEnd w:id="160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07"/>
      <w:bookmarkEnd w:id="1608"/>
      <w:bookmarkEnd w:id="161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1,972,865,405.97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1,470,316,316.78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2,117,277,829.54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1,599,993,399.65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26,820,798.23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16,631,044.73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20,904,100.73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9,608,329.80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1,999,686,204.20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1,486,947,361.51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2,138,181,930.27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1,609,601,729.45</w:t>
            </w:r>
          </w:p>
        </w:tc>
      </w:tr>
    </w:tbl>
    <w:p>
      <w:pPr>
        <w:pStyle w:val="Style2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经审计扣除非经常损益前后净利润孰低是否为负值</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本报告期末已签订合同、但尚未履行或尚未履行完毕的履约义务所对应的收入金额为元，其中，元预计将于年度确认收入， 元预计将于年度确认收入，元预计将于年度确认收入。</w:t>
      </w:r>
    </w:p>
    <w:p>
      <w:pPr>
        <w:pStyle w:val="Style2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6</w:t>
      </w:r>
      <w:bookmarkEnd w:id="161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1"/>
      <w:bookmarkEnd w:id="1612"/>
      <w:bookmarkEnd w:id="1614"/>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1,429,004.16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148,479.96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1,021,821.23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6,714,015.39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6,674,302.06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304,684.65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272,854.33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1,021,161.82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1,064,455.42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其他地方税种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1,732,819.61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11,326,647.69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9,973,823.55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5"/>
        <w:keepNext w:val="0"/>
        <w:keepLines w:val="0"/>
        <w:widowControl w:val="0"/>
        <w:shd w:val="clear" w:color="auto" w:fill="auto"/>
        <w:bidi w:val="0"/>
        <w:spacing w:before="0" w:after="380" w:line="240" w:lineRule="auto"/>
        <w:ind w:left="0" w:right="0"/>
        <w:jc w:val="left"/>
      </w:pPr>
      <w:r>
        <w:rPr>
          <w:color w:val="000000"/>
          <w:spacing w:val="0"/>
          <w:w w:val="100"/>
          <w:position w:val="0"/>
        </w:rPr>
        <w:t>注：各项税金及附加的计缴标准详见附注六、税项。</w:t>
      </w:r>
    </w:p>
    <w:p>
      <w:pPr>
        <w:pStyle w:val="Style28"/>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6</w:t>
      </w:r>
      <w:bookmarkEnd w:id="161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15"/>
      <w:bookmarkEnd w:id="1616"/>
      <w:bookmarkEnd w:id="1618"/>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ectPr>
          <w:footnotePr>
            <w:pos w:val="pageBottom"/>
            <w:numFmt w:val="decimal"/>
            <w:numRestart w:val="continuous"/>
          </w:footnotePr>
          <w:pgSz w:w="11900" w:h="16840"/>
          <w:pgMar w:top="1369" w:right="1059" w:bottom="1431" w:left="1063" w:header="0" w:footer="3" w:gutter="0"/>
          <w:cols w:space="720"/>
          <w:noEndnote/>
          <w:rtlGutter w:val="0"/>
          <w:docGrid w:linePitch="360"/>
        </w:sectPr>
      </w:pPr>
    </w:p>
    <w:p>
      <w:pPr>
        <w:widowControl w:val="0"/>
        <w:spacing w:after="479"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12,115,989.24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11,963,258.34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19,506,212.11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17,883,663.27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1,731,566.66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1,314,818.00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125,393.16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154,024.00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9,716,172.52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6,543,189.99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3,405,026.90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611,059.92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6,025,286.95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5,874,003.21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871,016.94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167,337.89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298,289.87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146,715.24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120,872.77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83,568.22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3,525,049.43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1,686,163.10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57,440,876.55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46,427,801.18</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6</w:t>
      </w:r>
      <w:bookmarkEnd w:id="162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19"/>
      <w:bookmarkEnd w:id="1620"/>
      <w:bookmarkEnd w:id="162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52,217,675.41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53,231,919.59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5,493,039.28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5,760,726.83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41,431,996.00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43,347,260.51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7,689,045.12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9,916,597.66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2,403,946.38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3,064,631.33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268,955.48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696,779.75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3,892,874.16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4,441,182.24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2,165,307.70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2,002,834.92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1,529,367.59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2,026,802.76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22,115,861.43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11,466,513.04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5,644,031.40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3,122,029.97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570,118.00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145,422,217.95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139,077,278.60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6</w:t>
      </w:r>
      <w:bookmarkEnd w:id="1625"/>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23"/>
      <w:bookmarkEnd w:id="1624"/>
      <w:bookmarkEnd w:id="1626"/>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24,300,461.96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29,875,555.77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266,484.78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197,612.21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1,368,703.42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1,560,690.25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503,940.03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532,785.28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114,200.00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101,758.90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92,992.68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335,485.20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62,086.02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299,100.26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464,481.18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61,260,364.23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26,875,167.08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研发材料费用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6,757,383.32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6,339,331.47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2,501,281.06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362,321.96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合作开发费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8,830,148.50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5,333,450.01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106,639,311.66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71,735,352.83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6</w:t>
      </w:r>
      <w:bookmarkEnd w:id="1629"/>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27"/>
      <w:bookmarkEnd w:id="1628"/>
      <w:bookmarkEnd w:id="163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86,931,194.58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89,477,284.87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7,418,617.84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17,089,047.34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693,331.39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8,618,785.06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80,002,791.08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80,955,025.62</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6</w:t>
      </w:r>
      <w:bookmarkEnd w:id="1633"/>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31"/>
      <w:bookmarkEnd w:id="1632"/>
      <w:bookmarkEnd w:id="163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与企业日常经营活动相关的政府补助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2,683,228.26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8,816,067.76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与企业日常经营活动相关的税收优惠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302,258.92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286,223.09</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6</w:t>
      </w:r>
      <w:bookmarkEnd w:id="163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35"/>
      <w:bookmarkEnd w:id="1636"/>
      <w:bookmarkEnd w:id="163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835"/>
        <w:gridCol w:w="2822"/>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-4,114,810.80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-4,254,837.40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3,767,862.84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6,682,297.25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3,741,000.00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3,403,099.16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2,427,544.16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6</w:t>
      </w:r>
      <w:bookmarkEnd w:id="1641"/>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39"/>
      <w:bookmarkEnd w:id="1640"/>
      <w:bookmarkEnd w:id="1642"/>
    </w:p>
    <w:p>
      <w:pPr>
        <w:pStyle w:val="Style28"/>
        <w:keepNext/>
        <w:keepLines/>
        <w:widowControl w:val="0"/>
        <w:shd w:val="clear" w:color="auto" w:fill="auto"/>
        <w:tabs>
          <w:tab w:pos="478" w:val="left"/>
        </w:tabs>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7</w:t>
      </w:r>
      <w:bookmarkEnd w:id="1645"/>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43"/>
      <w:bookmarkEnd w:id="1644"/>
      <w:bookmarkEnd w:id="1646"/>
    </w:p>
    <w:p>
      <w:pPr>
        <w:pStyle w:val="Style28"/>
        <w:keepNext/>
        <w:keepLines/>
        <w:widowControl w:val="0"/>
        <w:shd w:val="clear" w:color="auto" w:fill="auto"/>
        <w:tabs>
          <w:tab w:pos="478" w:val="left"/>
        </w:tabs>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7</w:t>
      </w:r>
      <w:bookmarkEnd w:id="1649"/>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647"/>
      <w:bookmarkEnd w:id="1648"/>
      <w:bookmarkEnd w:id="165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6,024,519.43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-8,958,307.80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-491,897.24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-1,005,867.26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-37,293,651.82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-1,896,178.56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-31,761,029.63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-11,860,353.62</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7</w:t>
      </w:r>
      <w:bookmarkEnd w:id="165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51"/>
      <w:bookmarkEnd w:id="1652"/>
      <w:bookmarkEnd w:id="165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696"/>
        <w:gridCol w:w="2976"/>
        <w:gridCol w:w="29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-3,363,606.76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-1,815,716.82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-1,920,827.67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-1,546,504.29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-5,284,434.43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7</w:t>
      </w:r>
      <w:bookmarkEnd w:id="1657"/>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55"/>
      <w:bookmarkEnd w:id="1656"/>
      <w:bookmarkEnd w:id="165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3,377.68</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7</w:t>
      </w:r>
      <w:bookmarkEnd w:id="166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59"/>
      <w:bookmarkEnd w:id="1660"/>
      <w:bookmarkEnd w:id="1662"/>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罚款及其他赔偿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1,976,148.26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1,976,148.26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131,648.34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603,892.15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22,580,040.41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313,342.85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22,580,040.41</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计入当期损益的政府补助:</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注：本公司于</w:t>
      </w:r>
      <w:r>
        <w:rPr>
          <w:color w:val="000000"/>
          <w:spacing w:val="0"/>
          <w:w w:val="100"/>
          <w:position w:val="0"/>
          <w:sz w:val="18"/>
          <w:szCs w:val="18"/>
        </w:rPr>
        <w:t>2019</w:t>
      </w:r>
      <w:r>
        <w:rPr>
          <w:color w:val="000000"/>
          <w:spacing w:val="0"/>
          <w:w w:val="100"/>
          <w:position w:val="0"/>
        </w:rPr>
        <w:t>年起诉离职高管章笠中赔偿本公司商业损失，本期根据双方协商赔偿本公司</w:t>
      </w:r>
      <w:r>
        <w:rPr>
          <w:color w:val="000000"/>
          <w:spacing w:val="0"/>
          <w:w w:val="100"/>
          <w:position w:val="0"/>
          <w:sz w:val="18"/>
          <w:szCs w:val="18"/>
        </w:rPr>
        <w:t xml:space="preserve">2,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p>
    <w:p>
      <w:pPr>
        <w:pStyle w:val="Style28"/>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7</w:t>
      </w:r>
      <w:bookmarkEnd w:id="166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63"/>
      <w:bookmarkEnd w:id="1664"/>
      <w:bookmarkEnd w:id="166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29,554.95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610,837.60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滞纳金、罚金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28,489.43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123,885.85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28,489.43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14,098.72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14,098.72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99,203.15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784,611.43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99,203.15</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7</w:t>
      </w:r>
      <w:bookmarkEnd w:id="166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67"/>
      <w:bookmarkEnd w:id="1668"/>
      <w:bookmarkEnd w:id="1670"/>
    </w:p>
    <w:p>
      <w:pPr>
        <w:pStyle w:val="Style38"/>
        <w:keepNext/>
        <w:keepLines/>
        <w:widowControl w:val="0"/>
        <w:shd w:val="clear" w:color="auto" w:fill="auto"/>
        <w:bidi w:val="0"/>
        <w:spacing w:before="0" w:after="340" w:line="240" w:lineRule="auto"/>
        <w:ind w:left="0" w:right="0" w:firstLine="0"/>
        <w:jc w:val="both"/>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1"/>
      <w:bookmarkEnd w:id="1672"/>
      <w:bookmarkEnd w:id="167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17,160,401.06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27,270,495.32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-5,337,327.87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-4,310,715.07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11,823,073.19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22,959,780.25</w:t>
            </w:r>
          </w:p>
        </w:tc>
      </w:tr>
    </w:tbl>
    <w:p>
      <w:pPr>
        <w:widowControl w:val="0"/>
        <w:spacing w:after="339" w:line="1" w:lineRule="exact"/>
      </w:pPr>
    </w:p>
    <w:p>
      <w:pPr>
        <w:pStyle w:val="Style38"/>
        <w:keepNext/>
        <w:keepLines/>
        <w:widowControl w:val="0"/>
        <w:shd w:val="clear" w:color="auto" w:fill="auto"/>
        <w:bidi w:val="0"/>
        <w:spacing w:before="0" w:after="240" w:line="240" w:lineRule="auto"/>
        <w:ind w:left="0" w:right="0" w:firstLine="0"/>
        <w:jc w:val="left"/>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74"/>
      <w:bookmarkEnd w:id="1675"/>
      <w:bookmarkEnd w:id="1676"/>
      <w:r>
        <w:br w:type="page"/>
      </w:r>
    </w:p>
    <w:tbl>
      <w:tblPr>
        <w:tblOverlap w:val="never"/>
        <w:jc w:val="center"/>
        <w:tblLayout w:type="fixed"/>
      </w:tblPr>
      <w:tblGrid>
        <w:gridCol w:w="5822"/>
        <w:gridCol w:w="376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107,468,887.44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16,120,333.12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-934,039.29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3,563,665.89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-3,130,916.57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9,007,350.20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税率调整导致年初递延所得税资产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按照税法规定可以额外税前扣除的部分影响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-12,843,320.92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11,823,073.19</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8" w:val="left"/>
        </w:tabs>
        <w:bidi w:val="0"/>
        <w:spacing w:before="0" w:after="38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7</w:t>
      </w:r>
      <w:bookmarkEnd w:id="167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77"/>
      <w:bookmarkEnd w:id="1678"/>
      <w:bookmarkEnd w:id="168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详见附注附注六、</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28"/>
        <w:keepNext/>
        <w:keepLines/>
        <w:widowControl w:val="0"/>
        <w:shd w:val="clear" w:color="auto" w:fill="auto"/>
        <w:tabs>
          <w:tab w:pos="478" w:val="left"/>
        </w:tabs>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7</w:t>
      </w:r>
      <w:bookmarkEnd w:id="168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81"/>
      <w:bookmarkEnd w:id="1682"/>
      <w:bookmarkEnd w:id="1684"/>
    </w:p>
    <w:p>
      <w:pPr>
        <w:pStyle w:val="Style38"/>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85"/>
      <w:bookmarkEnd w:id="1686"/>
      <w:bookmarkEnd w:id="168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5,043,946.10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8,524,067.76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7,418,617.84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17,089,047.34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收回暂付款及收到暂收款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40,328,708.48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40,268,181.95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收回经营性保证金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76,560,568.09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27,463,220.21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经营性租赁租金收入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26,820,798.23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20,904,100.73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156,172,638.74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114,248,617.99</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88"/>
      <w:bookmarkEnd w:id="1689"/>
      <w:bookmarkEnd w:id="169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6,630,541.00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6,125,676.93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4,018,267.32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4,595,206.24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6,312,913.31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4,208,476.53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17,405,217.64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16,459,787.65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1,731,566.66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780,347.97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1,864,852.79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2,088,888.78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22,414,961.69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11,930,994.22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2,565,356.47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2,242,542.84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6,025,286.95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5,874,003.21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19,506,212.11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17,883,663.27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693,331.39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8,603,263.33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支付暂收款及支付暂付款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116,218,431.74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80,806,666.35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61,260,364.23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26,875,167.08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研发材料费用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6,757,383.32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6,339,331.47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2,501,281.06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362,321.96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合作开发费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支付经营性保证金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92,294,361.82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41,389,517.46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17,999,229.34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10,141,643.08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386,703,587.09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248,061,195.29</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1"/>
      <w:bookmarkEnd w:id="1692"/>
      <w:bookmarkEnd w:id="1694"/>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900,478,050.00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预分配款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214,617,300.00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214,617,300.00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900,478,050.00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8"/>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w:t>
      </w:r>
      <w:bookmarkEnd w:id="169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95"/>
      <w:bookmarkEnd w:id="1696"/>
      <w:bookmarkEnd w:id="1698"/>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717,254,050.00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717,254,050.00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38"/>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99"/>
      <w:bookmarkEnd w:id="1700"/>
      <w:bookmarkEnd w:id="1702"/>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本期收回的与筹资活动相关银行保证金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37,822,678.78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71,516,489.63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信托融资款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41,922,678.78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71,516,489.63</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03"/>
      <w:bookmarkEnd w:id="1704"/>
      <w:bookmarkEnd w:id="1706"/>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本期支出的与筹资活动相关银行保证金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27,971,290.01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50,280,039.32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1,510,293.81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29,481,583.82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50,280,039.32</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8"/>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7</w:t>
      </w:r>
      <w:bookmarkEnd w:id="170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07"/>
      <w:bookmarkEnd w:id="1708"/>
      <w:bookmarkEnd w:id="1710"/>
    </w:p>
    <w:p>
      <w:pPr>
        <w:pStyle w:val="Style38"/>
        <w:keepNext/>
        <w:keepLines/>
        <w:widowControl w:val="0"/>
        <w:shd w:val="clear" w:color="auto" w:fill="auto"/>
        <w:bidi w:val="0"/>
        <w:spacing w:before="0" w:line="240" w:lineRule="auto"/>
        <w:ind w:left="0" w:right="0" w:firstLine="0"/>
        <w:jc w:val="left"/>
      </w:pPr>
      <w:bookmarkStart w:id="1711" w:name="bookmark1711"/>
      <w:bookmarkStart w:id="1712" w:name="bookmark1712"/>
      <w:bookmarkStart w:id="1713" w:name="bookmark17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1"/>
      <w:bookmarkEnd w:id="1712"/>
      <w:bookmarkEnd w:id="1713"/>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5251"/>
        <w:gridCol w:w="2270"/>
        <w:gridCol w:w="20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95,645,814.25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151,368,294.85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33,307,533.92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17,144,788.05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34,151,228.15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33,690,405.44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24,504,389.45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23,463,169.64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2,128,057.96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2,430,859.51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处置固定资产、无形资产和其他长期资产的损失（收益以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-2,772,459.58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86,931,194.58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79,015,094.63</w:t>
            </w:r>
          </w:p>
        </w:tc>
      </w:tr>
    </w:tbl>
    <w:p>
      <w:pPr>
        <w:spacing w:lineRule="exact" w:line="1"/>
        <w:rPr>
          <w:sz w:val="2"/>
          <w:szCs w:val="2"/>
        </w:rPr>
      </w:pPr>
      <w:r>
        <w:br w:type="page"/>
      </w:r>
    </w:p>
    <w:tbl>
      <w:tblPr>
        <w:tblOverlap w:val="never"/>
        <w:jc w:val="center"/>
        <w:tblLayout w:type="fixed"/>
      </w:tblPr>
      <w:tblGrid>
        <w:gridCol w:w="5251"/>
        <w:gridCol w:w="2270"/>
        <w:gridCol w:w="20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-3,403,099.16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-2,427,544.16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-5,337,327.87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-306,383.87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-4,144,458.93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77,298,068.17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74,006,757.08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-589,691,352.59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-433,733,104.63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-37,560,044.20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-48,642,464.82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24,427,032.74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16,617,833.29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-260,368,904.13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-91,492,084.57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354,242,854.65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633,849,153.85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633,849,153.85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561,039,553.87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-279,606,299.20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72,809,599.98</w:t>
            </w:r>
          </w:p>
        </w:tc>
      </w:tr>
    </w:tbl>
    <w:p>
      <w:pPr>
        <w:widowControl w:val="0"/>
        <w:spacing w:after="339" w:line="1" w:lineRule="exact"/>
      </w:pPr>
    </w:p>
    <w:p>
      <w:pPr>
        <w:pStyle w:val="Style38"/>
        <w:keepNext/>
        <w:keepLines/>
        <w:widowControl w:val="0"/>
        <w:shd w:val="clear" w:color="auto" w:fill="auto"/>
        <w:tabs>
          <w:tab w:pos="493" w:val="left"/>
        </w:tabs>
        <w:bidi w:val="0"/>
        <w:spacing w:before="0" w:after="34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14"/>
      <w:bookmarkEnd w:id="1715"/>
      <w:bookmarkEnd w:id="1717"/>
    </w:p>
    <w:p>
      <w:pPr>
        <w:pStyle w:val="Style38"/>
        <w:keepNext/>
        <w:keepLines/>
        <w:widowControl w:val="0"/>
        <w:shd w:val="clear" w:color="auto" w:fill="auto"/>
        <w:tabs>
          <w:tab w:pos="493" w:val="left"/>
        </w:tabs>
        <w:bidi w:val="0"/>
        <w:spacing w:before="0" w:after="34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718"/>
      <w:bookmarkEnd w:id="1719"/>
      <w:bookmarkEnd w:id="1721"/>
    </w:p>
    <w:p>
      <w:pPr>
        <w:pStyle w:val="Style38"/>
        <w:keepNext/>
        <w:keepLines/>
        <w:widowControl w:val="0"/>
        <w:shd w:val="clear" w:color="auto" w:fill="auto"/>
        <w:tabs>
          <w:tab w:pos="493" w:val="left"/>
        </w:tabs>
        <w:bidi w:val="0"/>
        <w:spacing w:before="0" w:after="40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722"/>
      <w:bookmarkEnd w:id="1723"/>
      <w:bookmarkEnd w:id="172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354,242,854.65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633,849,153.85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342,961.88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199,595.19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351,789,020.68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633,648,444.98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2,110,872.09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354,242,854.65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633,849,153.85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5"/>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注：现金和现金等价物不含母公司或集团内子公司使用受限制的现金和现金等价物。</w:t>
      </w:r>
    </w:p>
    <w:p>
      <w:pPr>
        <w:pStyle w:val="Style28"/>
        <w:keepNext/>
        <w:keepLines/>
        <w:widowControl w:val="0"/>
        <w:shd w:val="clear" w:color="auto" w:fill="auto"/>
        <w:tabs>
          <w:tab w:pos="475" w:val="left"/>
        </w:tabs>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8</w:t>
      </w:r>
      <w:bookmarkEnd w:id="172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26"/>
      <w:bookmarkEnd w:id="1727"/>
      <w:bookmarkEnd w:id="172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8"/>
        <w:keepNext/>
        <w:keepLines/>
        <w:widowControl w:val="0"/>
        <w:shd w:val="clear" w:color="auto" w:fill="auto"/>
        <w:tabs>
          <w:tab w:pos="475" w:val="left"/>
        </w:tabs>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8</w:t>
      </w:r>
      <w:bookmarkEnd w:id="173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30"/>
      <w:bookmarkEnd w:id="1731"/>
      <w:bookmarkEnd w:id="173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71,754,655.47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保证金、诉讼保全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用于质押的应收账款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39,927,088.66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用于抵押的房屋建筑物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156,681,744.13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期末使用权受限制的货币资金情况详见附注七、</w:t>
      </w:r>
      <w:r>
        <w:rPr>
          <w:color w:val="000000"/>
          <w:spacing w:val="0"/>
          <w:w w:val="100"/>
          <w:position w:val="0"/>
          <w:sz w:val="18"/>
          <w:szCs w:val="18"/>
        </w:rPr>
        <w:t>1</w:t>
      </w:r>
      <w:r>
        <w:rPr>
          <w:color w:val="000000"/>
          <w:spacing w:val="0"/>
          <w:w w:val="100"/>
          <w:position w:val="0"/>
        </w:rPr>
        <w:t>。</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日，公司与浙商银行杭州分行，以账面价值为人民币</w:t>
      </w:r>
      <w:r>
        <w:rPr>
          <w:color w:val="000000"/>
          <w:spacing w:val="0"/>
          <w:w w:val="100"/>
          <w:position w:val="0"/>
          <w:sz w:val="18"/>
          <w:szCs w:val="18"/>
        </w:rPr>
        <w:t>45,000,000.0</w:t>
      </w:r>
      <w:r>
        <w:rPr>
          <w:color w:val="000000"/>
          <w:spacing w:val="0"/>
          <w:w w:val="100"/>
          <w:position w:val="0"/>
          <w:sz w:val="18"/>
          <w:szCs w:val="18"/>
        </w:rPr>
        <w:t>0</w:t>
      </w:r>
      <w:r>
        <w:rPr>
          <w:color w:val="000000"/>
          <w:spacing w:val="0"/>
          <w:w w:val="100"/>
          <w:position w:val="0"/>
        </w:rPr>
        <w:t>元的应收账款作为质押物， 为公司在该行合计金额为</w:t>
      </w:r>
      <w:r>
        <w:rPr>
          <w:color w:val="000000"/>
          <w:spacing w:val="0"/>
          <w:w w:val="100"/>
          <w:position w:val="0"/>
          <w:sz w:val="18"/>
          <w:szCs w:val="18"/>
        </w:rPr>
        <w:t xml:space="preserve">45, 000,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元的短期借款提供担保。</w:t>
      </w:r>
    </w:p>
    <w:p>
      <w:pPr>
        <w:pStyle w:val="Style25"/>
        <w:keepNext w:val="0"/>
        <w:keepLines w:val="0"/>
        <w:widowControl w:val="0"/>
        <w:shd w:val="clear" w:color="auto" w:fill="auto"/>
        <w:bidi w:val="0"/>
        <w:spacing w:before="0" w:after="380" w:line="313" w:lineRule="exact"/>
        <w:ind w:left="0" w:right="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期末所有权受限制的投资性房地产和固定资产为因本公司借款需要而抵押给银行导致，详细情况如下：</w:t>
      </w:r>
      <w:r>
        <w:rPr>
          <w:color w:val="000000"/>
          <w:spacing w:val="0"/>
          <w:w w:val="100"/>
          <w:position w:val="0"/>
          <w:sz w:val="18"/>
          <w:szCs w:val="18"/>
        </w:rPr>
        <w:t xml:space="preserve">1）2019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日，公司与中国工商银行杭州庆春路支行签订了编号为《</w:t>
      </w:r>
      <w:r>
        <w:rPr>
          <w:color w:val="000000"/>
          <w:spacing w:val="0"/>
          <w:w w:val="100"/>
          <w:position w:val="0"/>
          <w:sz w:val="18"/>
          <w:szCs w:val="18"/>
        </w:rPr>
        <w:t>2019</w:t>
      </w:r>
      <w:r>
        <w:rPr>
          <w:color w:val="000000"/>
          <w:spacing w:val="0"/>
          <w:w w:val="100"/>
          <w:position w:val="0"/>
        </w:rPr>
        <w:t>年庆春（抵）字</w:t>
      </w:r>
      <w:r>
        <w:rPr>
          <w:color w:val="000000"/>
          <w:spacing w:val="0"/>
          <w:w w:val="100"/>
          <w:position w:val="0"/>
          <w:sz w:val="18"/>
          <w:szCs w:val="18"/>
        </w:rPr>
        <w:t>0017</w:t>
      </w:r>
      <w:r>
        <w:rPr>
          <w:color w:val="000000"/>
          <w:spacing w:val="0"/>
          <w:w w:val="100"/>
          <w:position w:val="0"/>
        </w:rPr>
        <w:t>号》的《最高额抵押合同》，以 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日公司所有的原值为</w:t>
      </w:r>
      <w:r>
        <w:rPr>
          <w:color w:val="000000"/>
          <w:spacing w:val="0"/>
          <w:w w:val="100"/>
          <w:position w:val="0"/>
          <w:sz w:val="18"/>
          <w:szCs w:val="18"/>
        </w:rPr>
        <w:t>22,299,500.0</w:t>
      </w:r>
      <w:r>
        <w:rPr>
          <w:color w:val="000000"/>
          <w:spacing w:val="0"/>
          <w:w w:val="100"/>
          <w:position w:val="0"/>
          <w:sz w:val="18"/>
          <w:szCs w:val="18"/>
        </w:rPr>
        <w:t>0</w:t>
      </w:r>
      <w:r>
        <w:rPr>
          <w:color w:val="000000"/>
          <w:spacing w:val="0"/>
          <w:w w:val="100"/>
          <w:position w:val="0"/>
        </w:rPr>
        <w:t>元，净值为</w:t>
      </w:r>
      <w:r>
        <w:rPr>
          <w:color w:val="000000"/>
          <w:spacing w:val="0"/>
          <w:w w:val="100"/>
          <w:position w:val="0"/>
          <w:sz w:val="18"/>
          <w:szCs w:val="18"/>
        </w:rPr>
        <w:t>8,441,290.44</w:t>
      </w:r>
      <w:r>
        <w:rPr>
          <w:color w:val="000000"/>
          <w:spacing w:val="0"/>
          <w:w w:val="100"/>
          <w:position w:val="0"/>
        </w:rPr>
        <w:t>元的投资性房地产（房屋建筑物）作为抵押 物，为公司向中国工商银行杭州庆春路支行的短期借款提供担保。截至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日，该抵押合同担保下的短期借款余额 为人民币</w:t>
      </w:r>
      <w:r>
        <w:rPr>
          <w:color w:val="000000"/>
          <w:spacing w:val="0"/>
          <w:w w:val="100"/>
          <w:position w:val="0"/>
          <w:sz w:val="18"/>
          <w:szCs w:val="18"/>
        </w:rPr>
        <w:t xml:space="preserve">390, 000,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r>
        <w:rPr>
          <w:color w:val="000000"/>
          <w:spacing w:val="0"/>
          <w:w w:val="100"/>
          <w:position w:val="0"/>
          <w:sz w:val="18"/>
          <w:szCs w:val="18"/>
        </w:rPr>
        <w:t>2）2020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日，公司与中信银行玉泉支行签订了编号为《玉最抵字第</w:t>
      </w:r>
      <w:r>
        <w:rPr>
          <w:color w:val="000000"/>
          <w:spacing w:val="0"/>
          <w:w w:val="100"/>
          <w:position w:val="0"/>
          <w:sz w:val="18"/>
          <w:szCs w:val="18"/>
        </w:rPr>
        <w:t>811088251380</w:t>
      </w:r>
      <w:r>
        <w:rPr>
          <w:color w:val="000000"/>
          <w:spacing w:val="0"/>
          <w:w w:val="100"/>
          <w:position w:val="0"/>
        </w:rPr>
        <w:t>号》的 《最高额抵押合同》</w:t>
      </w:r>
      <w:r>
        <w:rPr>
          <w:color w:val="000000"/>
          <w:spacing w:val="0"/>
          <w:w w:val="100"/>
          <w:position w:val="0"/>
          <w:sz w:val="18"/>
          <w:szCs w:val="18"/>
        </w:rPr>
        <w:t>，</w:t>
      </w:r>
      <w:r>
        <w:rPr>
          <w:color w:val="000000"/>
          <w:spacing w:val="0"/>
          <w:w w:val="100"/>
          <w:position w:val="0"/>
        </w:rPr>
        <w:t>以截至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日公司所有的原值为</w:t>
      </w:r>
      <w:r>
        <w:rPr>
          <w:color w:val="000000"/>
          <w:spacing w:val="0"/>
          <w:w w:val="100"/>
          <w:position w:val="0"/>
          <w:sz w:val="18"/>
          <w:szCs w:val="18"/>
        </w:rPr>
        <w:t xml:space="preserve">43, 793, </w:t>
      </w:r>
      <w:r>
        <w:rPr>
          <w:color w:val="000000"/>
          <w:spacing w:val="0"/>
          <w:w w:val="100"/>
          <w:position w:val="0"/>
          <w:sz w:val="18"/>
          <w:szCs w:val="18"/>
        </w:rPr>
        <w:t xml:space="preserve">634. </w:t>
      </w:r>
      <w:r>
        <w:rPr>
          <w:color w:val="000000"/>
          <w:spacing w:val="0"/>
          <w:w w:val="100"/>
          <w:position w:val="0"/>
          <w:sz w:val="18"/>
          <w:szCs w:val="18"/>
        </w:rPr>
        <w:t>14</w:t>
      </w:r>
      <w:r>
        <w:rPr>
          <w:color w:val="000000"/>
          <w:spacing w:val="0"/>
          <w:w w:val="100"/>
          <w:position w:val="0"/>
        </w:rPr>
        <w:t>元，净值为</w:t>
      </w:r>
      <w:r>
        <w:rPr>
          <w:color w:val="000000"/>
          <w:spacing w:val="0"/>
          <w:w w:val="100"/>
          <w:position w:val="0"/>
          <w:sz w:val="18"/>
          <w:szCs w:val="18"/>
        </w:rPr>
        <w:t>31,485,798.22</w:t>
      </w:r>
      <w:r>
        <w:rPr>
          <w:color w:val="000000"/>
          <w:spacing w:val="0"/>
          <w:w w:val="100"/>
          <w:position w:val="0"/>
        </w:rPr>
        <w:t>元的投资性房地产 （房屋建筑物）作为抵押物，为公司向中信银行玉泉支行的短期借款提供担保。截至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日，该抵押合同担保下的 短期借款余额为人民币</w:t>
      </w:r>
      <w:r>
        <w:rPr>
          <w:color w:val="000000"/>
          <w:spacing w:val="0"/>
          <w:w w:val="100"/>
          <w:position w:val="0"/>
          <w:sz w:val="18"/>
          <w:szCs w:val="18"/>
        </w:rPr>
        <w:t xml:space="preserve">107, 000,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both"/>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8</w:t>
      </w:r>
      <w:bookmarkEnd w:id="173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34"/>
      <w:bookmarkEnd w:id="1735"/>
      <w:bookmarkEnd w:id="1737"/>
    </w:p>
    <w:p>
      <w:pPr>
        <w:pStyle w:val="Style38"/>
        <w:keepNext/>
        <w:keepLines/>
        <w:widowControl w:val="0"/>
        <w:shd w:val="clear" w:color="auto" w:fill="auto"/>
        <w:bidi w:val="0"/>
        <w:spacing w:before="0" w:line="240" w:lineRule="auto"/>
        <w:ind w:left="0" w:right="0" w:firstLine="0"/>
        <w:jc w:val="both"/>
      </w:pPr>
      <w:bookmarkStart w:id="1738" w:name="bookmark1738"/>
      <w:bookmarkStart w:id="1739" w:name="bookmark1739"/>
      <w:bookmarkStart w:id="1740" w:name="bookmark17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38"/>
      <w:bookmarkEnd w:id="1739"/>
      <w:bookmarkEnd w:id="174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326,074.89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2,078,955.68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326" w:lineRule="exact"/>
        <w:ind w:left="0" w:right="0" w:firstLine="0"/>
        <w:jc w:val="left"/>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41"/>
      <w:bookmarkEnd w:id="1742"/>
      <w:bookmarkEnd w:id="1743"/>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326" w:lineRule="exact"/>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8</w:t>
      </w:r>
      <w:bookmarkEnd w:id="174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44"/>
      <w:bookmarkEnd w:id="1745"/>
      <w:bookmarkEnd w:id="1747"/>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8"/>
        <w:keepNext/>
        <w:keepLines/>
        <w:widowControl w:val="0"/>
        <w:shd w:val="clear" w:color="auto" w:fill="auto"/>
        <w:tabs>
          <w:tab w:pos="483" w:val="left"/>
        </w:tabs>
        <w:bidi w:val="0"/>
        <w:spacing w:before="0" w:after="280" w:line="326" w:lineRule="exact"/>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8</w:t>
      </w:r>
      <w:bookmarkEnd w:id="175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48"/>
      <w:bookmarkEnd w:id="1749"/>
      <w:bookmarkEnd w:id="1751"/>
    </w:p>
    <w:p>
      <w:pPr>
        <w:pStyle w:val="Style38"/>
        <w:keepNext/>
        <w:keepLines/>
        <w:widowControl w:val="0"/>
        <w:shd w:val="clear" w:color="auto" w:fill="auto"/>
        <w:bidi w:val="0"/>
        <w:spacing w:before="0" w:line="326" w:lineRule="exact"/>
        <w:ind w:left="0" w:right="0" w:firstLine="0"/>
        <w:jc w:val="left"/>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52"/>
      <w:bookmarkEnd w:id="1753"/>
      <w:bookmarkEnd w:id="175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1421"/>
        <w:gridCol w:w="1133"/>
        <w:gridCol w:w="1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的城市智能交通系统关键技术联合研发与应用示范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智慧镇街数字驾驶舱平台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银江智慧安保平台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基于人工智能的司法服务平台及示范应用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317,540.00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126,568.26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126,568.26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促进就业技能提升行动资金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209,700.00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746,400.00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科技型中小企业补助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智能政务开放创新服务平台开发及应用示范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41,400.00</w:t>
            </w:r>
          </w:p>
        </w:tc>
      </w:tr>
    </w:tbl>
    <w:p>
      <w:pPr>
        <w:pStyle w:val="Style38"/>
        <w:keepNext/>
        <w:keepLines/>
        <w:widowControl w:val="0"/>
        <w:shd w:val="clear" w:color="auto" w:fill="auto"/>
        <w:bidi w:val="0"/>
        <w:spacing w:before="0" w:after="360" w:line="240" w:lineRule="auto"/>
        <w:ind w:left="0" w:right="0" w:firstLine="0"/>
        <w:jc w:val="left"/>
      </w:pPr>
      <w:bookmarkStart w:id="1755" w:name="bookmark1755"/>
      <w:bookmarkStart w:id="1756" w:name="bookmark1756"/>
      <w:bookmarkStart w:id="1757" w:name="bookmark17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55"/>
      <w:bookmarkEnd w:id="1756"/>
      <w:bookmarkEnd w:id="1757"/>
    </w:p>
    <w:p>
      <w:pPr>
        <w:pStyle w:val="Style28"/>
        <w:keepNext/>
        <w:keepLines/>
        <w:widowControl w:val="0"/>
        <w:shd w:val="clear" w:color="auto" w:fill="auto"/>
        <w:bidi w:val="0"/>
        <w:spacing w:before="0" w:after="360" w:line="240" w:lineRule="auto"/>
        <w:ind w:left="0" w:right="0" w:firstLine="0"/>
        <w:jc w:val="left"/>
      </w:pPr>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58"/>
      <w:bookmarkEnd w:id="1759"/>
      <w:bookmarkEnd w:id="1760"/>
    </w:p>
    <w:p>
      <w:pPr>
        <w:pStyle w:val="Style21"/>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八</w:t>
      </w:r>
      <w:bookmarkEnd w:id="1763"/>
      <w:r>
        <w:rPr>
          <w:color w:val="000000"/>
          <w:spacing w:val="0"/>
          <w:w w:val="100"/>
          <w:position w:val="0"/>
        </w:rPr>
        <w:t>、合并范围的变更</w:t>
      </w:r>
      <w:bookmarkEnd w:id="1761"/>
      <w:bookmarkEnd w:id="1762"/>
      <w:bookmarkEnd w:id="1764"/>
    </w:p>
    <w:p>
      <w:pPr>
        <w:pStyle w:val="Style28"/>
        <w:keepNext/>
        <w:keepLines/>
        <w:widowControl w:val="0"/>
        <w:shd w:val="clear" w:color="auto" w:fill="auto"/>
        <w:bidi w:val="0"/>
        <w:spacing w:before="0" w:after="36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1</w:t>
      </w:r>
      <w:bookmarkEnd w:id="1767"/>
      <w:r>
        <w:rPr>
          <w:color w:val="000000"/>
          <w:spacing w:val="0"/>
          <w:w w:val="100"/>
          <w:position w:val="0"/>
        </w:rPr>
        <w:t>、非同一控制下企业合并</w:t>
      </w:r>
      <w:bookmarkEnd w:id="1765"/>
      <w:bookmarkEnd w:id="1766"/>
      <w:bookmarkEnd w:id="1768"/>
    </w:p>
    <w:p>
      <w:pPr>
        <w:pStyle w:val="Style38"/>
        <w:keepNext/>
        <w:keepLines/>
        <w:widowControl w:val="0"/>
        <w:shd w:val="clear" w:color="auto" w:fill="auto"/>
        <w:tabs>
          <w:tab w:pos="493" w:val="left"/>
        </w:tabs>
        <w:bidi w:val="0"/>
        <w:spacing w:before="0" w:after="36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769"/>
      <w:bookmarkEnd w:id="1770"/>
      <w:bookmarkEnd w:id="1772"/>
    </w:p>
    <w:p>
      <w:pPr>
        <w:pStyle w:val="Style38"/>
        <w:keepNext/>
        <w:keepLines/>
        <w:widowControl w:val="0"/>
        <w:shd w:val="clear" w:color="auto" w:fill="auto"/>
        <w:tabs>
          <w:tab w:pos="493" w:val="left"/>
        </w:tabs>
        <w:bidi w:val="0"/>
        <w:spacing w:before="0" w:after="36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773"/>
      <w:bookmarkEnd w:id="1774"/>
      <w:bookmarkEnd w:id="1776"/>
    </w:p>
    <w:p>
      <w:pPr>
        <w:pStyle w:val="Style38"/>
        <w:keepNext/>
        <w:keepLines/>
        <w:widowControl w:val="0"/>
        <w:shd w:val="clear" w:color="auto" w:fill="auto"/>
        <w:tabs>
          <w:tab w:pos="493" w:val="left"/>
        </w:tabs>
        <w:bidi w:val="0"/>
        <w:spacing w:before="0" w:after="36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777"/>
      <w:bookmarkEnd w:id="1778"/>
      <w:bookmarkEnd w:id="1780"/>
    </w:p>
    <w:p>
      <w:pPr>
        <w:pStyle w:val="Style38"/>
        <w:keepNext/>
        <w:keepLines/>
        <w:widowControl w:val="0"/>
        <w:shd w:val="clear" w:color="auto" w:fill="auto"/>
        <w:tabs>
          <w:tab w:pos="493" w:val="left"/>
        </w:tabs>
        <w:bidi w:val="0"/>
        <w:spacing w:before="0" w:after="36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w:t>
      </w:r>
      <w:bookmarkEnd w:id="1783"/>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81"/>
      <w:bookmarkEnd w:id="1782"/>
      <w:bookmarkEnd w:id="1784"/>
    </w:p>
    <w:p>
      <w:pPr>
        <w:pStyle w:val="Style38"/>
        <w:keepNext/>
        <w:keepLines/>
        <w:widowControl w:val="0"/>
        <w:shd w:val="clear" w:color="auto" w:fill="auto"/>
        <w:tabs>
          <w:tab w:pos="493" w:val="left"/>
        </w:tabs>
        <w:bidi w:val="0"/>
        <w:spacing w:before="0" w:after="36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785"/>
      <w:bookmarkEnd w:id="1786"/>
      <w:bookmarkEnd w:id="1788"/>
    </w:p>
    <w:p>
      <w:pPr>
        <w:pStyle w:val="Style38"/>
        <w:keepNext/>
        <w:keepLines/>
        <w:widowControl w:val="0"/>
        <w:shd w:val="clear" w:color="auto" w:fill="auto"/>
        <w:tabs>
          <w:tab w:pos="493" w:val="left"/>
        </w:tabs>
        <w:bidi w:val="0"/>
        <w:spacing w:before="0" w:after="36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89"/>
      <w:bookmarkEnd w:id="1790"/>
      <w:bookmarkEnd w:id="1792"/>
    </w:p>
    <w:p>
      <w:pPr>
        <w:pStyle w:val="Style18"/>
        <w:keepNext w:val="0"/>
        <w:keepLines w:val="0"/>
        <w:widowControl w:val="0"/>
        <w:shd w:val="clear" w:color="auto" w:fill="auto"/>
        <w:tabs>
          <w:tab w:pos="387" w:val="left"/>
        </w:tabs>
        <w:bidi w:val="0"/>
        <w:spacing w:before="0" w:after="0" w:line="240" w:lineRule="auto"/>
        <w:ind w:left="0" w:right="0" w:firstLine="0"/>
        <w:jc w:val="left"/>
      </w:pPr>
      <w:bookmarkStart w:id="1793" w:name="bookmark1793"/>
      <w:r>
        <w:rPr>
          <w:rFonts w:ascii="Times New Roman" w:eastAsia="Times New Roman" w:hAnsi="Times New Roman" w:cs="Times New Roman"/>
          <w:b/>
          <w:bCs/>
          <w:color w:val="000000"/>
          <w:spacing w:val="0"/>
          <w:w w:val="100"/>
          <w:position w:val="0"/>
        </w:rPr>
        <w:t>1</w:t>
      </w:r>
      <w:bookmarkEnd w:id="1793"/>
      <w:r>
        <w:rPr>
          <w:b/>
          <w:bCs/>
          <w:color w:val="000000"/>
          <w:spacing w:val="0"/>
          <w:w w:val="100"/>
          <w:position w:val="0"/>
        </w:rPr>
        <w:t>、</w:t>
        <w:tab/>
      </w:r>
      <w:r>
        <w:rPr>
          <w:b/>
          <w:bCs/>
          <w:color w:val="000000"/>
          <w:spacing w:val="0"/>
          <w:w w:val="100"/>
          <w:position w:val="0"/>
        </w:rPr>
        <w:t>新设子公司</w:t>
      </w:r>
    </w:p>
    <w:p>
      <w:pPr>
        <w:pStyle w:val="Style25"/>
        <w:keepNext w:val="0"/>
        <w:keepLines w:val="0"/>
        <w:widowControl w:val="0"/>
        <w:shd w:val="clear" w:color="auto" w:fill="auto"/>
        <w:bidi w:val="0"/>
        <w:spacing w:before="0" w:after="360" w:line="317" w:lineRule="exact"/>
        <w:ind w:left="0" w:right="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4</w:t>
      </w:r>
      <w:r>
        <w:rPr>
          <w:color w:val="000000"/>
          <w:spacing w:val="0"/>
          <w:w w:val="100"/>
          <w:position w:val="0"/>
        </w:rPr>
        <w:t>日，子公司浙江银江智慧城市信息技术研究院有限公司新设</w:t>
      </w:r>
      <w:r>
        <w:rPr>
          <w:color w:val="000000"/>
          <w:spacing w:val="0"/>
          <w:w w:val="100"/>
          <w:position w:val="0"/>
          <w:sz w:val="18"/>
          <w:szCs w:val="18"/>
        </w:rPr>
        <w:t>100%</w:t>
      </w:r>
      <w:r>
        <w:rPr>
          <w:color w:val="000000"/>
          <w:spacing w:val="0"/>
          <w:w w:val="100"/>
          <w:position w:val="0"/>
        </w:rPr>
        <w:t>控股公司浙江银江人工智能数据科技有限公 司。</w:t>
      </w:r>
    </w:p>
    <w:p>
      <w:pPr>
        <w:pStyle w:val="Style28"/>
        <w:keepNext/>
        <w:keepLines/>
        <w:widowControl w:val="0"/>
        <w:shd w:val="clear" w:color="auto" w:fill="auto"/>
        <w:tabs>
          <w:tab w:pos="387" w:val="left"/>
        </w:tabs>
        <w:bidi w:val="0"/>
        <w:spacing w:before="0" w:after="36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2</w:t>
      </w:r>
      <w:bookmarkEnd w:id="1796"/>
      <w:r>
        <w:rPr>
          <w:color w:val="000000"/>
          <w:spacing w:val="0"/>
          <w:w w:val="100"/>
          <w:position w:val="0"/>
        </w:rPr>
        <w:t>、</w:t>
        <w:tab/>
        <w:t>同一控制下企业合并</w:t>
      </w:r>
      <w:bookmarkEnd w:id="1794"/>
      <w:bookmarkEnd w:id="1795"/>
      <w:bookmarkEnd w:id="1797"/>
    </w:p>
    <w:p>
      <w:pPr>
        <w:pStyle w:val="Style38"/>
        <w:keepNext/>
        <w:keepLines/>
        <w:widowControl w:val="0"/>
        <w:shd w:val="clear" w:color="auto" w:fill="auto"/>
        <w:tabs>
          <w:tab w:pos="493" w:val="left"/>
        </w:tabs>
        <w:bidi w:val="0"/>
        <w:spacing w:before="0" w:after="36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798"/>
      <w:bookmarkEnd w:id="1799"/>
      <w:bookmarkEnd w:id="1801"/>
    </w:p>
    <w:p>
      <w:pPr>
        <w:pStyle w:val="Style38"/>
        <w:keepNext/>
        <w:keepLines/>
        <w:widowControl w:val="0"/>
        <w:shd w:val="clear" w:color="auto" w:fill="auto"/>
        <w:tabs>
          <w:tab w:pos="493" w:val="left"/>
        </w:tabs>
        <w:bidi w:val="0"/>
        <w:spacing w:before="0" w:after="36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802"/>
      <w:bookmarkEnd w:id="1803"/>
      <w:bookmarkEnd w:id="1805"/>
    </w:p>
    <w:p>
      <w:pPr>
        <w:pStyle w:val="Style38"/>
        <w:keepNext/>
        <w:keepLines/>
        <w:widowControl w:val="0"/>
        <w:shd w:val="clear" w:color="auto" w:fill="auto"/>
        <w:tabs>
          <w:tab w:pos="493" w:val="left"/>
        </w:tabs>
        <w:bidi w:val="0"/>
        <w:spacing w:before="0" w:after="36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806"/>
      <w:bookmarkEnd w:id="1807"/>
      <w:bookmarkEnd w:id="1809"/>
    </w:p>
    <w:p>
      <w:pPr>
        <w:pStyle w:val="Style28"/>
        <w:keepNext/>
        <w:keepLines/>
        <w:widowControl w:val="0"/>
        <w:shd w:val="clear" w:color="auto" w:fill="auto"/>
        <w:tabs>
          <w:tab w:pos="387" w:val="left"/>
        </w:tabs>
        <w:bidi w:val="0"/>
        <w:spacing w:before="0" w:after="26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3</w:t>
      </w:r>
      <w:bookmarkEnd w:id="1812"/>
      <w:r>
        <w:rPr>
          <w:color w:val="000000"/>
          <w:spacing w:val="0"/>
          <w:w w:val="100"/>
          <w:position w:val="0"/>
        </w:rPr>
        <w:t>、</w:t>
        <w:tab/>
        <w:t>反向购买</w:t>
      </w:r>
      <w:bookmarkEnd w:id="1810"/>
      <w:bookmarkEnd w:id="1811"/>
      <w:bookmarkEnd w:id="1813"/>
    </w:p>
    <w:p>
      <w:pPr>
        <w:pStyle w:val="Style2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8"/>
        <w:keepNext/>
        <w:keepLines/>
        <w:widowControl w:val="0"/>
        <w:shd w:val="clear" w:color="auto" w:fill="auto"/>
        <w:tabs>
          <w:tab w:pos="387" w:val="left"/>
        </w:tabs>
        <w:bidi w:val="0"/>
        <w:spacing w:before="0" w:after="26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4</w:t>
      </w:r>
      <w:bookmarkEnd w:id="1816"/>
      <w:r>
        <w:rPr>
          <w:color w:val="000000"/>
          <w:spacing w:val="0"/>
          <w:w w:val="100"/>
          <w:position w:val="0"/>
        </w:rPr>
        <w:t>、</w:t>
        <w:tab/>
        <w:t>处置子公司</w:t>
      </w:r>
      <w:bookmarkEnd w:id="1814"/>
      <w:bookmarkEnd w:id="1815"/>
      <w:bookmarkEnd w:id="1817"/>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8"/>
        <w:keepNext/>
        <w:keepLines/>
        <w:widowControl w:val="0"/>
        <w:shd w:val="clear" w:color="auto" w:fill="auto"/>
        <w:tabs>
          <w:tab w:pos="378" w:val="left"/>
        </w:tabs>
        <w:bidi w:val="0"/>
        <w:spacing w:before="0" w:after="36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5</w:t>
      </w:r>
      <w:bookmarkEnd w:id="1820"/>
      <w:r>
        <w:rPr>
          <w:color w:val="000000"/>
          <w:spacing w:val="0"/>
          <w:w w:val="100"/>
          <w:position w:val="0"/>
        </w:rPr>
        <w:t>、</w:t>
        <w:tab/>
        <w:t>其他原因的合并范围变动</w:t>
      </w:r>
      <w:bookmarkEnd w:id="1818"/>
      <w:bookmarkEnd w:id="1819"/>
      <w:bookmarkEnd w:id="1821"/>
    </w:p>
    <w:p>
      <w:pPr>
        <w:pStyle w:val="Style28"/>
        <w:keepNext/>
        <w:keepLines/>
        <w:widowControl w:val="0"/>
        <w:shd w:val="clear" w:color="auto" w:fill="auto"/>
        <w:tabs>
          <w:tab w:pos="378" w:val="left"/>
        </w:tabs>
        <w:bidi w:val="0"/>
        <w:spacing w:before="0" w:after="36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6</w:t>
      </w:r>
      <w:bookmarkEnd w:id="1824"/>
      <w:r>
        <w:rPr>
          <w:color w:val="000000"/>
          <w:spacing w:val="0"/>
          <w:w w:val="100"/>
          <w:position w:val="0"/>
        </w:rPr>
        <w:t>、</w:t>
        <w:tab/>
        <w:t>其他</w:t>
      </w:r>
      <w:bookmarkEnd w:id="1822"/>
      <w:bookmarkEnd w:id="1823"/>
      <w:bookmarkEnd w:id="1825"/>
    </w:p>
    <w:p>
      <w:pPr>
        <w:pStyle w:val="Style21"/>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九</w:t>
      </w:r>
      <w:bookmarkEnd w:id="1828"/>
      <w:r>
        <w:rPr>
          <w:color w:val="000000"/>
          <w:spacing w:val="0"/>
          <w:w w:val="100"/>
          <w:position w:val="0"/>
        </w:rPr>
        <w:t>、在其他主体中的权益</w:t>
      </w:r>
      <w:bookmarkEnd w:id="1826"/>
      <w:bookmarkEnd w:id="1827"/>
      <w:bookmarkEnd w:id="1829"/>
    </w:p>
    <w:p>
      <w:pPr>
        <w:pStyle w:val="Style28"/>
        <w:keepNext/>
        <w:keepLines/>
        <w:widowControl w:val="0"/>
        <w:shd w:val="clear" w:color="auto" w:fill="auto"/>
        <w:bidi w:val="0"/>
        <w:spacing w:before="0" w:after="360" w:line="240" w:lineRule="auto"/>
        <w:ind w:left="0" w:right="0" w:firstLine="0"/>
        <w:jc w:val="left"/>
      </w:pPr>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30"/>
      <w:bookmarkEnd w:id="1831"/>
      <w:bookmarkEnd w:id="1832"/>
    </w:p>
    <w:p>
      <w:pPr>
        <w:pStyle w:val="Style38"/>
        <w:keepNext/>
        <w:keepLines/>
        <w:widowControl w:val="0"/>
        <w:shd w:val="clear" w:color="auto" w:fill="auto"/>
        <w:bidi w:val="0"/>
        <w:spacing w:before="0" w:after="360" w:line="240" w:lineRule="auto"/>
        <w:ind w:left="0" w:right="0" w:firstLine="0"/>
        <w:jc w:val="left"/>
      </w:pPr>
      <w:bookmarkStart w:id="1833" w:name="bookmark1833"/>
      <w:bookmarkStart w:id="1834" w:name="bookmark1834"/>
      <w:bookmarkStart w:id="1835" w:name="bookmark18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33"/>
      <w:bookmarkEnd w:id="1834"/>
      <w:bookmarkEnd w:id="1835"/>
    </w:p>
    <w:tbl>
      <w:tblPr>
        <w:tblOverlap w:val="never"/>
        <w:jc w:val="center"/>
        <w:tblLayout w:type="fixed"/>
      </w:tblPr>
      <w:tblGrid>
        <w:gridCol w:w="3835"/>
        <w:gridCol w:w="994"/>
        <w:gridCol w:w="710"/>
        <w:gridCol w:w="1272"/>
        <w:gridCol w:w="994"/>
        <w:gridCol w:w="850"/>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山东银江交通技术有限公司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江苏银江交通技术有限公司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福建银江智慧城市信息技术有限公司（注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江西银江智慧城市信息技术有限公司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安徽银江智慧城市技术有限公司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同一控制 下企业合 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广东银江智慧城市建设技术有限公司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西安银江智慧城市技术有限公司（注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湖南银江交通技术有限公司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山西银江交通信息技术有限公司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杭州银江智慧健康集团有限公司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医疗技术开发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浙江浙大健康管理有限公司（注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杭州银江智慧城市技术集团有限公司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北京银江智慧城市技术有限公司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吉林银江智慧城市信息技术有限公司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弱电技术开发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软件技术开发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健康宝互联网技术有限公司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物联网技术服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3835"/>
        <w:gridCol w:w="994"/>
        <w:gridCol w:w="710"/>
        <w:gridCol w:w="1272"/>
        <w:gridCol w:w="994"/>
        <w:gridCol w:w="850"/>
        <w:gridCol w:w="93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青岛银江智慧城市技术有限公司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东丰银江智慧城市技术有限公司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重庆银江智慧城市信息技术有限公司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贵阳银江智慧城市技术有限公司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浙江城市宝互联网技术有限公司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软件技术开发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河南银江智慧城市技术有限公司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焦作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焦作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四川银江智慧城市信息技术有限公司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湖南银江智慧城市信息技术有限公司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江苏银江智慧城市信息技术有限公司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湖北银江智慧城市技术有限公司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济南银江信息技术有限公司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沈阳智享大健康信息科技有限公司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浙江银江智慧医疗研究院有限公司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浙江银江智慧交通工程技术研究院有限公司（注</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浙江银江智慧城市信息技术研究院有限公司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浙江银江人工智能数据科技有限公司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本公司对浙江浙大健康管理有限公司投资</w:t>
      </w:r>
      <w:r>
        <w:rPr>
          <w:color w:val="000000"/>
          <w:spacing w:val="0"/>
          <w:w w:val="100"/>
          <w:position w:val="0"/>
          <w:sz w:val="18"/>
          <w:szCs w:val="18"/>
        </w:rPr>
        <w:t>307.622</w:t>
      </w:r>
      <w:r>
        <w:rPr>
          <w:color w:val="000000"/>
          <w:spacing w:val="0"/>
          <w:w w:val="100"/>
          <w:position w:val="0"/>
        </w:rPr>
        <w:t>万元，占被投资单位注册资本总额的</w:t>
      </w:r>
      <w:r>
        <w:rPr>
          <w:color w:val="000000"/>
          <w:spacing w:val="0"/>
          <w:w w:val="100"/>
          <w:position w:val="0"/>
          <w:sz w:val="18"/>
          <w:szCs w:val="18"/>
        </w:rPr>
        <w:t>49%</w:t>
      </w:r>
      <w:r>
        <w:rPr>
          <w:color w:val="000000"/>
          <w:spacing w:val="0"/>
          <w:w w:val="100"/>
          <w:position w:val="0"/>
        </w:rPr>
        <w:t>，根据浙江浙大健康管 理有限公司章程第十五条规定，公司设董事会，其成员为七人，其中本公司推选四名董事；根据</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日股东会决议， 七名董事中本公司推选的董事超过半数成员。因此认定公司能实际控制该公司，初始投资成本按非同一控制下企业合并取得 的长期股权投资确定，后续计量按成本法核算。</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福建银江智慧城市信息技术有限公司（以下简称“福建银江”）按照工商资料显示福建银江注册资本</w:t>
      </w:r>
      <w:r>
        <w:rPr>
          <w:color w:val="000000"/>
          <w:spacing w:val="0"/>
          <w:w w:val="100"/>
          <w:position w:val="0"/>
          <w:sz w:val="18"/>
          <w:szCs w:val="18"/>
        </w:rPr>
        <w:t>1,111</w:t>
      </w:r>
      <w:r>
        <w:rPr>
          <w:color w:val="000000"/>
          <w:spacing w:val="0"/>
          <w:w w:val="100"/>
          <w:position w:val="0"/>
        </w:rPr>
        <w:t>万元， 其中本公司出资</w:t>
      </w:r>
      <w:r>
        <w:rPr>
          <w:color w:val="000000"/>
          <w:spacing w:val="0"/>
          <w:w w:val="100"/>
          <w:position w:val="0"/>
          <w:sz w:val="18"/>
          <w:szCs w:val="18"/>
        </w:rPr>
        <w:t>1,000</w:t>
      </w:r>
      <w:r>
        <w:rPr>
          <w:color w:val="000000"/>
          <w:spacing w:val="0"/>
          <w:w w:val="100"/>
          <w:position w:val="0"/>
        </w:rPr>
        <w:t>万元，持股比例为</w:t>
      </w:r>
      <w:r>
        <w:rPr>
          <w:color w:val="000000"/>
          <w:spacing w:val="0"/>
          <w:w w:val="100"/>
          <w:position w:val="0"/>
          <w:sz w:val="18"/>
          <w:szCs w:val="18"/>
        </w:rPr>
        <w:t>90.01%</w:t>
      </w:r>
      <w:r>
        <w:rPr>
          <w:color w:val="000000"/>
          <w:spacing w:val="0"/>
          <w:w w:val="100"/>
          <w:position w:val="0"/>
        </w:rPr>
        <w:t>，其他少数股东出资</w:t>
      </w:r>
      <w:r>
        <w:rPr>
          <w:color w:val="000000"/>
          <w:spacing w:val="0"/>
          <w:w w:val="100"/>
          <w:position w:val="0"/>
          <w:sz w:val="18"/>
          <w:szCs w:val="18"/>
        </w:rPr>
        <w:t>111</w:t>
      </w:r>
      <w:r>
        <w:rPr>
          <w:color w:val="000000"/>
          <w:spacing w:val="0"/>
          <w:w w:val="100"/>
          <w:position w:val="0"/>
        </w:rPr>
        <w:t>万元，持股</w:t>
      </w:r>
      <w:r>
        <w:rPr>
          <w:color w:val="000000"/>
          <w:spacing w:val="0"/>
          <w:w w:val="100"/>
          <w:position w:val="0"/>
          <w:sz w:val="18"/>
          <w:szCs w:val="18"/>
        </w:rPr>
        <w:t>9.99%</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日，少数股东 实际出资</w:t>
      </w:r>
      <w:r>
        <w:rPr>
          <w:color w:val="000000"/>
          <w:spacing w:val="0"/>
          <w:w w:val="100"/>
          <w:position w:val="0"/>
          <w:sz w:val="18"/>
          <w:szCs w:val="18"/>
        </w:rPr>
        <w:t>33.30</w:t>
      </w:r>
      <w:r>
        <w:rPr>
          <w:color w:val="000000"/>
          <w:spacing w:val="0"/>
          <w:w w:val="100"/>
          <w:position w:val="0"/>
        </w:rPr>
        <w:t>万元，本期按照实际出资比例纳入合并财务报表，按照实际出资口径计算本公司期末对福建银江的持股比例 为</w:t>
      </w:r>
      <w:r>
        <w:rPr>
          <w:color w:val="000000"/>
          <w:spacing w:val="0"/>
          <w:w w:val="100"/>
          <w:position w:val="0"/>
          <w:sz w:val="18"/>
          <w:szCs w:val="18"/>
        </w:rPr>
        <w:t>96.78%</w:t>
      </w:r>
      <w:r>
        <w:rPr>
          <w:color w:val="000000"/>
          <w:spacing w:val="0"/>
          <w:w w:val="100"/>
          <w:position w:val="0"/>
        </w:rPr>
        <w:t>。</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西安银江智慧城市技术有限公司（以下简称“西安银江”</w:t>
      </w:r>
      <w:r>
        <w:rPr>
          <w:color w:val="000000"/>
          <w:spacing w:val="0"/>
          <w:w w:val="100"/>
          <w:position w:val="0"/>
          <w:sz w:val="18"/>
          <w:szCs w:val="18"/>
        </w:rPr>
        <w:t>）</w:t>
      </w:r>
      <w:r>
        <w:rPr>
          <w:color w:val="000000"/>
          <w:spacing w:val="0"/>
          <w:w w:val="100"/>
          <w:position w:val="0"/>
        </w:rPr>
        <w:t>按照工商资料显示西安银江注册资本</w:t>
      </w:r>
      <w:r>
        <w:rPr>
          <w:color w:val="000000"/>
          <w:spacing w:val="0"/>
          <w:w w:val="100"/>
          <w:position w:val="0"/>
          <w:sz w:val="18"/>
          <w:szCs w:val="18"/>
        </w:rPr>
        <w:t>1,111</w:t>
      </w:r>
      <w:r>
        <w:rPr>
          <w:color w:val="000000"/>
          <w:spacing w:val="0"/>
          <w:w w:val="100"/>
          <w:position w:val="0"/>
        </w:rPr>
        <w:t>万元，其中 本公司出资</w:t>
      </w:r>
      <w:r>
        <w:rPr>
          <w:color w:val="000000"/>
          <w:spacing w:val="0"/>
          <w:w w:val="100"/>
          <w:position w:val="0"/>
          <w:sz w:val="18"/>
          <w:szCs w:val="18"/>
        </w:rPr>
        <w:t>1,000</w:t>
      </w:r>
      <w:r>
        <w:rPr>
          <w:color w:val="000000"/>
          <w:spacing w:val="0"/>
          <w:w w:val="100"/>
          <w:position w:val="0"/>
        </w:rPr>
        <w:t>万元，持股比例为</w:t>
      </w:r>
      <w:r>
        <w:rPr>
          <w:color w:val="000000"/>
          <w:spacing w:val="0"/>
          <w:w w:val="100"/>
          <w:position w:val="0"/>
          <w:sz w:val="18"/>
          <w:szCs w:val="18"/>
        </w:rPr>
        <w:t>90.01%</w:t>
      </w:r>
      <w:r>
        <w:rPr>
          <w:color w:val="000000"/>
          <w:spacing w:val="0"/>
          <w:w w:val="100"/>
          <w:position w:val="0"/>
        </w:rPr>
        <w:t>，其他少数股东出资</w:t>
      </w:r>
      <w:r>
        <w:rPr>
          <w:color w:val="000000"/>
          <w:spacing w:val="0"/>
          <w:w w:val="100"/>
          <w:position w:val="0"/>
          <w:sz w:val="18"/>
          <w:szCs w:val="18"/>
        </w:rPr>
        <w:t>111</w:t>
      </w:r>
      <w:r>
        <w:rPr>
          <w:color w:val="000000"/>
          <w:spacing w:val="0"/>
          <w:w w:val="100"/>
          <w:position w:val="0"/>
        </w:rPr>
        <w:t>万元，持股</w:t>
      </w:r>
      <w:r>
        <w:rPr>
          <w:color w:val="000000"/>
          <w:spacing w:val="0"/>
          <w:w w:val="100"/>
          <w:position w:val="0"/>
          <w:sz w:val="18"/>
          <w:szCs w:val="18"/>
        </w:rPr>
        <w:t xml:space="preserve">9. </w:t>
      </w:r>
      <w:r>
        <w:rPr>
          <w:color w:val="000000"/>
          <w:spacing w:val="0"/>
          <w:w w:val="100"/>
          <w:position w:val="0"/>
          <w:sz w:val="18"/>
          <w:szCs w:val="18"/>
        </w:rPr>
        <w:t>99%</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日，少数股东实际 出资</w:t>
      </w:r>
      <w:r>
        <w:rPr>
          <w:color w:val="000000"/>
          <w:spacing w:val="0"/>
          <w:w w:val="100"/>
          <w:position w:val="0"/>
          <w:sz w:val="18"/>
          <w:szCs w:val="18"/>
        </w:rPr>
        <w:t>33.3</w:t>
      </w:r>
      <w:r>
        <w:rPr>
          <w:color w:val="000000"/>
          <w:spacing w:val="0"/>
          <w:w w:val="100"/>
          <w:position w:val="0"/>
          <w:sz w:val="18"/>
          <w:szCs w:val="18"/>
        </w:rPr>
        <w:t>0</w:t>
      </w:r>
      <w:r>
        <w:rPr>
          <w:color w:val="000000"/>
          <w:spacing w:val="0"/>
          <w:w w:val="100"/>
          <w:position w:val="0"/>
        </w:rPr>
        <w:t xml:space="preserve">万元，本期按照实际出资比例纳入合并财务报表，按照实际出资口径计算本公司期末对西安银江的持股比例为 </w:t>
      </w:r>
      <w:r>
        <w:rPr>
          <w:color w:val="000000"/>
          <w:spacing w:val="0"/>
          <w:w w:val="100"/>
          <w:position w:val="0"/>
          <w:sz w:val="18"/>
          <w:szCs w:val="18"/>
        </w:rPr>
        <w:t>96.78%</w:t>
      </w:r>
      <w:r>
        <w:rPr>
          <w:color w:val="000000"/>
          <w:spacing w:val="0"/>
          <w:w w:val="100"/>
          <w:position w:val="0"/>
        </w:rPr>
        <w:t>。</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color w:val="000000"/>
          <w:spacing w:val="0"/>
          <w:w w:val="100"/>
          <w:position w:val="0"/>
          <w:sz w:val="18"/>
          <w:szCs w:val="18"/>
        </w:rPr>
        <w:t>4： 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日，浙江银江智慧交通集团有限公司和浙江银江研究院有限公司合计转让</w:t>
      </w:r>
      <w:r>
        <w:rPr>
          <w:color w:val="000000"/>
          <w:spacing w:val="0"/>
          <w:w w:val="100"/>
          <w:position w:val="0"/>
          <w:sz w:val="18"/>
          <w:szCs w:val="18"/>
        </w:rPr>
        <w:t>20%</w:t>
      </w:r>
      <w:r>
        <w:rPr>
          <w:color w:val="000000"/>
          <w:spacing w:val="0"/>
          <w:w w:val="100"/>
          <w:position w:val="0"/>
        </w:rPr>
        <w:t>浙江银江智慧交通工程 技术研究院有限公司股权，其中</w:t>
      </w:r>
      <w:r>
        <w:rPr>
          <w:color w:val="000000"/>
          <w:spacing w:val="0"/>
          <w:w w:val="100"/>
          <w:position w:val="0"/>
          <w:sz w:val="18"/>
          <w:szCs w:val="18"/>
        </w:rPr>
        <w:t>17%</w:t>
      </w:r>
      <w:r>
        <w:rPr>
          <w:color w:val="000000"/>
          <w:spacing w:val="0"/>
          <w:w w:val="100"/>
          <w:position w:val="0"/>
        </w:rPr>
        <w:t>股权转让至杭州同律企业咨询合伙企业（有限合伙）</w:t>
      </w:r>
      <w:r>
        <w:rPr>
          <w:color w:val="000000"/>
          <w:spacing w:val="0"/>
          <w:w w:val="100"/>
          <w:position w:val="0"/>
          <w:sz w:val="18"/>
          <w:szCs w:val="18"/>
        </w:rPr>
        <w:t>，3%</w:t>
      </w:r>
      <w:r>
        <w:rPr>
          <w:color w:val="000000"/>
          <w:spacing w:val="0"/>
          <w:w w:val="100"/>
          <w:position w:val="0"/>
        </w:rPr>
        <w:t>股权转让至吴越。转让后，本公 司对浙江银江智慧交通工程技术研究院有限公司的持股比例由</w:t>
      </w:r>
      <w:r>
        <w:rPr>
          <w:color w:val="000000"/>
          <w:spacing w:val="0"/>
          <w:w w:val="100"/>
          <w:position w:val="0"/>
          <w:sz w:val="18"/>
          <w:szCs w:val="18"/>
        </w:rPr>
        <w:t>100%</w:t>
      </w:r>
      <w:r>
        <w:rPr>
          <w:color w:val="000000"/>
          <w:spacing w:val="0"/>
          <w:w w:val="100"/>
          <w:position w:val="0"/>
        </w:rPr>
        <w:t>变更至</w:t>
      </w:r>
      <w:r>
        <w:rPr>
          <w:color w:val="000000"/>
          <w:spacing w:val="0"/>
          <w:w w:val="100"/>
          <w:position w:val="0"/>
          <w:sz w:val="18"/>
          <w:szCs w:val="18"/>
        </w:rPr>
        <w:t>80%</w:t>
      </w:r>
      <w:r>
        <w:rPr>
          <w:color w:val="000000"/>
          <w:spacing w:val="0"/>
          <w:w w:val="100"/>
          <w:position w:val="0"/>
        </w:rPr>
        <w:t>。</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对于纳入合并范围的重要的结构化主体，控制的依据：</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确定公司是代理人还是委托人的依据：</w:t>
      </w: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36"/>
      <w:bookmarkEnd w:id="1837"/>
      <w:bookmarkEnd w:id="183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1435"/>
        <w:gridCol w:w="1435"/>
        <w:gridCol w:w="1435"/>
        <w:gridCol w:w="1450"/>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 益余额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山东银江交通技术有限公司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-289,085.54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4,925,632.80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山西银江交通信息技术有限公司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4,109,977.75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福建银江智慧城市信息技术有限公司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-191,737.69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江西银江智慧城市信息技术有限公司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-490,695.62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-1,206,760.36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西安银江智慧城市技术有限公司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-139,388.51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湖南银江交通技术有限公司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-422,992.42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-914,949.20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浙江浙大健康管理有限公司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-1,782,834.03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-101,374.22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2,178,484.37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济南银江信息技术有限公司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247,470.67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671,999.21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沈阳智享大健康信息科技有限公司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-2,124,437.26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21,811,029.24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浙江银江智慧交通工程技术研究院有限公司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-239,100.92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-239,100.92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38"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-3,327,538.05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29,297,987.33</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31"/>
        </w:numPr>
        <w:shd w:val="clear" w:color="auto" w:fill="auto"/>
        <w:bidi w:val="0"/>
        <w:spacing w:before="0" w:line="240" w:lineRule="auto"/>
        <w:ind w:left="0" w:right="0" w:firstLine="0"/>
        <w:jc w:val="left"/>
      </w:pPr>
      <w:bookmarkStart w:id="1839" w:name="bookmark1839"/>
      <w:bookmarkStart w:id="1840" w:name="bookmark1840"/>
      <w:bookmarkStart w:id="1841" w:name="bookmark1841"/>
      <w:bookmarkStart w:id="1842" w:name="bookmark1842"/>
      <w:bookmarkEnd w:id="1841"/>
      <w:r>
        <w:rPr>
          <w:color w:val="000000"/>
          <w:spacing w:val="0"/>
          <w:w w:val="100"/>
          <w:position w:val="0"/>
        </w:rPr>
        <w:t>重要非全资子公司的主要财务信息</w:t>
      </w:r>
      <w:bookmarkEnd w:id="1839"/>
      <w:bookmarkEnd w:id="1840"/>
      <w:bookmarkEnd w:id="1842"/>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山东银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江交通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14,707,7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63,501.3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14,771,2</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4,720,09</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福建银 江智慧 城市信 息技术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2,303,78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2,467,35</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8,416,97</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江西银 江智慧 城市信 息技术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5,335,79</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169,252.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5,505,04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17,572,6</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13,599,5</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00.87</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西安银</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江智慧 城市技 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8,975,57</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5,685,13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14,660,7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16,638,9</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9,349,27</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19,796,9</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17,450,0</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湖南银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江交通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2,713,15</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2,713,15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山西银</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江交通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15,114,6</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1,806,72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16,921,3</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7,425,50</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1,411,35</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12,378,9</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浙江浙</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大健康</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管理有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3,515,14</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3,515,14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健康宝 互联网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13,428,4</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953,801.</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14,382,2</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8,787,06</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8,787,06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1,239,61</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15,929,2</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济南银</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101,390, </w:t>
            </w:r>
            <w:r>
              <w:rPr>
                <w:rFonts w:ascii="Times New Roman" w:eastAsia="Times New Roman" w:hAnsi="Times New Roman" w:cs="Times New Roman"/>
                <w:color w:val="000000"/>
                <w:spacing w:val="0"/>
                <w:w w:val="100"/>
                <w:position w:val="0"/>
                <w:sz w:val="18"/>
                <w:szCs w:val="18"/>
              </w:rPr>
              <w:t>063.61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378,816.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101,768,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88,328,8</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88,328,8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沈阳智 享大健 康信息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10,282,1</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109,990,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120,273,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15,396,0</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15,251,8</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浙江银</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江智慧 交通工 程技术 研究院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4,183,43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4,183,43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1,878,93</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1,878,93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山东银江交</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通技术有限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-589,902.95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-589,902.95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-1,143,132.00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174,313.59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-7,253,834.27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-7,253,834.27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-1,598,867.26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福建银江智 慧城市信息 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594,059.40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-224,476.76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-224,476.76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-363,759.62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636,391.56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-1,271,175.12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-1,271,175.12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76,810.06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江西银江智 慧城市信息 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608,821.36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-4,906,956.21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-4,906,956.21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-1,201,866.63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19,411,660.1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-3,221,794.54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-3,221,794.54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577,244.10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西安银江智 慧城市技术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3,496,217.70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-4,325,229.53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-4,325,229.53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5,930,404.84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-677,283.24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3,397,448.99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湖南银江交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通技术有限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188,679.24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-1,057,481.06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-1,057,481.06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-1,145,433.98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-1,145,433.98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-586,285.51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山西银江交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通信息技术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11,982,431.7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495,761.65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495,761.65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-678,149.24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18,797,210.7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1,557,312.63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1,557,312.63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1,112,669.48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浙江浙大健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康管理有限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-7,104.44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11,329,277.9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健康宝互联 网技术有限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1,132,075.44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-506,871.12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-506,871.12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-584,482.50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-1,877,124.26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-1,877,124.26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-2,674,640.61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济南银江信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88,055,045.8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4,949,413.35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4,949,413.35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-7,397,287.86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623,905.71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-509,496.80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93,021.29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沈阳智享大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健康信息科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2,607,227.00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-10,213,561.7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-10,213,561.7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-915,553.68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1,312,296.25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-10,928,443.4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-10,928,443.4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-4,226,211.82</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浙江银江智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慧交通工程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786,792.44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-1,195,504.61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-1,195,504.61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-1,981,526.11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70"/>
        <w:gridCol w:w="1061"/>
        <w:gridCol w:w="1061"/>
        <w:gridCol w:w="1066"/>
        <w:gridCol w:w="1066"/>
        <w:gridCol w:w="1061"/>
        <w:gridCol w:w="1066"/>
        <w:gridCol w:w="1061"/>
        <w:gridCol w:w="1075"/>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技术研究院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380" w:line="240" w:lineRule="auto"/>
        <w:ind w:left="0" w:right="0"/>
        <w:jc w:val="left"/>
      </w:pPr>
      <w:r>
        <w:rPr>
          <w:color w:val="000000"/>
          <w:spacing w:val="0"/>
          <w:w w:val="100"/>
          <w:position w:val="0"/>
        </w:rPr>
        <w:t>注：浙江银江智慧交通工程技术研究院有限公司于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日由全资控股子公司变更为非全资控股子公司。</w:t>
      </w:r>
    </w:p>
    <w:p>
      <w:pPr>
        <w:pStyle w:val="Style38"/>
        <w:keepNext/>
        <w:keepLines/>
        <w:widowControl w:val="0"/>
        <w:shd w:val="clear" w:color="auto" w:fill="auto"/>
        <w:tabs>
          <w:tab w:pos="493" w:val="left"/>
        </w:tabs>
        <w:bidi w:val="0"/>
        <w:spacing w:before="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43"/>
      <w:bookmarkEnd w:id="1844"/>
      <w:bookmarkEnd w:id="1846"/>
    </w:p>
    <w:p>
      <w:pPr>
        <w:pStyle w:val="Style38"/>
        <w:keepNext/>
        <w:keepLines/>
        <w:widowControl w:val="0"/>
        <w:shd w:val="clear" w:color="auto" w:fill="auto"/>
        <w:tabs>
          <w:tab w:pos="493" w:val="left"/>
        </w:tabs>
        <w:bidi w:val="0"/>
        <w:spacing w:before="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47"/>
      <w:bookmarkEnd w:id="1848"/>
      <w:bookmarkEnd w:id="185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82" w:val="left"/>
        </w:tabs>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2</w:t>
      </w:r>
      <w:bookmarkEnd w:id="1853"/>
      <w:r>
        <w:rPr>
          <w:color w:val="000000"/>
          <w:spacing w:val="0"/>
          <w:w w:val="100"/>
          <w:position w:val="0"/>
        </w:rPr>
        <w:t>、</w:t>
        <w:tab/>
        <w:t>在子公司的所有者权益份额发生变化且仍控制子公司的交易</w:t>
      </w:r>
      <w:bookmarkEnd w:id="1851"/>
      <w:bookmarkEnd w:id="1852"/>
      <w:bookmarkEnd w:id="1854"/>
    </w:p>
    <w:p>
      <w:pPr>
        <w:pStyle w:val="Style38"/>
        <w:keepNext/>
        <w:keepLines/>
        <w:widowControl w:val="0"/>
        <w:shd w:val="clear" w:color="auto" w:fill="auto"/>
        <w:tabs>
          <w:tab w:pos="493" w:val="left"/>
        </w:tabs>
        <w:bidi w:val="0"/>
        <w:spacing w:before="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w:t>
      </w:r>
      <w:bookmarkEnd w:id="185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55"/>
      <w:bookmarkEnd w:id="1856"/>
      <w:bookmarkEnd w:id="1858"/>
    </w:p>
    <w:p>
      <w:pPr>
        <w:pStyle w:val="Style38"/>
        <w:keepNext/>
        <w:keepLines/>
        <w:widowControl w:val="0"/>
        <w:shd w:val="clear" w:color="auto" w:fill="auto"/>
        <w:tabs>
          <w:tab w:pos="493" w:val="left"/>
        </w:tabs>
        <w:bidi w:val="0"/>
        <w:spacing w:before="0" w:line="240" w:lineRule="auto"/>
        <w:ind w:left="0" w:right="0" w:firstLine="0"/>
        <w:jc w:val="left"/>
      </w:pPr>
      <w:bookmarkStart w:id="1859" w:name="bookmark1859"/>
      <w:bookmarkStart w:id="1860" w:name="bookmark1860"/>
      <w:bookmarkStart w:id="1861" w:name="bookmark1861"/>
      <w:bookmarkStart w:id="1862" w:name="bookmark1862"/>
      <w:r>
        <w:rPr>
          <w:color w:val="000000"/>
          <w:spacing w:val="0"/>
          <w:w w:val="100"/>
          <w:position w:val="0"/>
        </w:rPr>
        <w:t>（</w:t>
      </w:r>
      <w:bookmarkEnd w:id="186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59"/>
      <w:bookmarkEnd w:id="1860"/>
      <w:bookmarkEnd w:id="1862"/>
    </w:p>
    <w:p>
      <w:pPr>
        <w:pStyle w:val="Style28"/>
        <w:keepNext/>
        <w:keepLines/>
        <w:widowControl w:val="0"/>
        <w:shd w:val="clear" w:color="auto" w:fill="auto"/>
        <w:tabs>
          <w:tab w:pos="382" w:val="left"/>
        </w:tabs>
        <w:bidi w:val="0"/>
        <w:spacing w:before="0" w:after="38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3</w:t>
      </w:r>
      <w:bookmarkEnd w:id="1865"/>
      <w:r>
        <w:rPr>
          <w:color w:val="000000"/>
          <w:spacing w:val="0"/>
          <w:w w:val="100"/>
          <w:position w:val="0"/>
        </w:rPr>
        <w:t>、</w:t>
        <w:tab/>
        <w:t>在合营安排或联营企业中的权益</w:t>
      </w:r>
      <w:bookmarkEnd w:id="1863"/>
      <w:bookmarkEnd w:id="1864"/>
      <w:bookmarkEnd w:id="1866"/>
    </w:p>
    <w:p>
      <w:pPr>
        <w:pStyle w:val="Style38"/>
        <w:keepNext/>
        <w:keepLines/>
        <w:widowControl w:val="0"/>
        <w:shd w:val="clear" w:color="auto" w:fill="auto"/>
        <w:bidi w:val="0"/>
        <w:spacing w:before="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67"/>
      <w:bookmarkEnd w:id="1868"/>
      <w:bookmarkEnd w:id="1869"/>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杭州银江智慧产 业创业投资合伙 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25"/>
        <w:keepNext w:val="0"/>
        <w:keepLines w:val="0"/>
        <w:widowControl w:val="0"/>
        <w:shd w:val="clear" w:color="auto" w:fill="auto"/>
        <w:bidi w:val="0"/>
        <w:spacing w:before="0" w:after="0" w:line="305" w:lineRule="exact"/>
        <w:ind w:left="0" w:right="0"/>
        <w:jc w:val="both"/>
      </w:pPr>
      <w:r>
        <w:rPr>
          <w:color w:val="000000"/>
          <w:spacing w:val="0"/>
          <w:w w:val="100"/>
          <w:position w:val="0"/>
        </w:rPr>
        <w:t>注：持股比例系依据合伙协议中各合伙人认缴的出资比例。由于部分合伙人的出资额定向投资于特定项目（以下称定投 合伙人）</w:t>
      </w:r>
      <w:r>
        <w:rPr>
          <w:color w:val="000000"/>
          <w:spacing w:val="0"/>
          <w:w w:val="100"/>
          <w:position w:val="0"/>
          <w:sz w:val="18"/>
          <w:szCs w:val="18"/>
        </w:rPr>
        <w:t>，</w:t>
      </w:r>
      <w:r>
        <w:rPr>
          <w:color w:val="000000"/>
          <w:spacing w:val="0"/>
          <w:w w:val="100"/>
          <w:position w:val="0"/>
        </w:rPr>
        <w:t>不参与其他投资项目的收益分配和亏损承担，本公司期末实际享有该联营企业的权益比例为</w:t>
      </w:r>
      <w:r>
        <w:rPr>
          <w:color w:val="000000"/>
          <w:spacing w:val="0"/>
          <w:w w:val="100"/>
          <w:position w:val="0"/>
          <w:sz w:val="18"/>
          <w:szCs w:val="18"/>
        </w:rPr>
        <w:t>71.85%（</w:t>
      </w:r>
      <w:r>
        <w:rPr>
          <w:color w:val="000000"/>
          <w:spacing w:val="0"/>
          <w:w w:val="100"/>
          <w:position w:val="0"/>
        </w:rPr>
        <w:t xml:space="preserve">期初权益比 例为 </w:t>
      </w:r>
      <w:r>
        <w:rPr>
          <w:color w:val="000000"/>
          <w:spacing w:val="0"/>
          <w:w w:val="100"/>
          <w:position w:val="0"/>
          <w:sz w:val="18"/>
          <w:szCs w:val="18"/>
        </w:rPr>
        <w:t>71.85%）</w:t>
      </w:r>
      <w:r>
        <w:rPr>
          <w:color w:val="000000"/>
          <w:spacing w:val="0"/>
          <w:w w:val="100"/>
          <w:position w:val="0"/>
        </w:rPr>
        <w:t>。</w:t>
      </w:r>
    </w:p>
    <w:p>
      <w:pPr>
        <w:pStyle w:val="Style25"/>
        <w:keepNext w:val="0"/>
        <w:keepLines w:val="0"/>
        <w:widowControl w:val="0"/>
        <w:shd w:val="clear" w:color="auto" w:fill="auto"/>
        <w:bidi w:val="0"/>
        <w:spacing w:before="0" w:after="380" w:line="305"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8"/>
        <w:keepNext/>
        <w:keepLines/>
        <w:widowControl w:val="0"/>
        <w:shd w:val="clear" w:color="auto" w:fill="auto"/>
        <w:tabs>
          <w:tab w:pos="493" w:val="left"/>
        </w:tabs>
        <w:bidi w:val="0"/>
        <w:spacing w:before="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70"/>
      <w:bookmarkEnd w:id="1871"/>
      <w:bookmarkEnd w:id="1873"/>
    </w:p>
    <w:p>
      <w:pPr>
        <w:pStyle w:val="Style38"/>
        <w:keepNext/>
        <w:keepLines/>
        <w:widowControl w:val="0"/>
        <w:shd w:val="clear" w:color="auto" w:fill="auto"/>
        <w:tabs>
          <w:tab w:pos="493" w:val="left"/>
        </w:tabs>
        <w:bidi w:val="0"/>
        <w:spacing w:before="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74"/>
      <w:bookmarkEnd w:id="1875"/>
      <w:bookmarkEnd w:id="187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杭州银江智慧产业创业投资合伙企业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杭州银江智慧产业创业投资合伙企业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439,468,221.79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439,345,266.22</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212,967,215.43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219,588,853.66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652,435,437.22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658,934,119.88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2,473,592.83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2,126,966.83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2,473,592.83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2,126,966.83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91,700,435.40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91,700,435.40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558,261,408.99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565,106,717.65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460,005,299.99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439,345,266.22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58,903,528.23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58,903,528.23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460,005,299.99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464,923,543.29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-6,845,308.66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-23,297,635.81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注：联营企业部分合伙人出资未实缴到位，本公司对联营企业的权益按照本公司实缴出资额加上本公司按认缴出资比例 应享有的留存收益金额确认。</w:t>
      </w:r>
    </w:p>
    <w:p>
      <w:pPr>
        <w:pStyle w:val="Style38"/>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78"/>
      <w:bookmarkEnd w:id="1879"/>
      <w:bookmarkEnd w:id="188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129,938,744.62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127,407,450.28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803,432.50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1,048,423.44</w:t>
            </w:r>
          </w:p>
        </w:tc>
      </w:tr>
    </w:tbl>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803,432.50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1,048,423.44</w:t>
            </w:r>
          </w:p>
        </w:tc>
      </w:tr>
    </w:tbl>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8"/>
        <w:keepNext/>
        <w:keepLines/>
        <w:widowControl w:val="0"/>
        <w:shd w:val="clear" w:color="auto" w:fill="auto"/>
        <w:tabs>
          <w:tab w:pos="493" w:val="left"/>
        </w:tabs>
        <w:bidi w:val="0"/>
        <w:spacing w:before="0" w:after="36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82"/>
      <w:bookmarkEnd w:id="1883"/>
      <w:bookmarkEnd w:id="1885"/>
    </w:p>
    <w:p>
      <w:pPr>
        <w:pStyle w:val="Style38"/>
        <w:keepNext/>
        <w:keepLines/>
        <w:widowControl w:val="0"/>
        <w:shd w:val="clear" w:color="auto" w:fill="auto"/>
        <w:tabs>
          <w:tab w:pos="493" w:val="left"/>
        </w:tabs>
        <w:bidi w:val="0"/>
        <w:spacing w:before="0" w:after="36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86"/>
      <w:bookmarkEnd w:id="1887"/>
      <w:bookmarkEnd w:id="1889"/>
    </w:p>
    <w:p>
      <w:pPr>
        <w:pStyle w:val="Style38"/>
        <w:keepNext/>
        <w:keepLines/>
        <w:widowControl w:val="0"/>
        <w:shd w:val="clear" w:color="auto" w:fill="auto"/>
        <w:tabs>
          <w:tab w:pos="493" w:val="left"/>
        </w:tabs>
        <w:bidi w:val="0"/>
        <w:spacing w:before="0" w:after="36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90"/>
      <w:bookmarkEnd w:id="1891"/>
      <w:bookmarkEnd w:id="1893"/>
    </w:p>
    <w:p>
      <w:pPr>
        <w:pStyle w:val="Style38"/>
        <w:keepNext/>
        <w:keepLines/>
        <w:widowControl w:val="0"/>
        <w:shd w:val="clear" w:color="auto" w:fill="auto"/>
        <w:tabs>
          <w:tab w:pos="493" w:val="left"/>
        </w:tabs>
        <w:bidi w:val="0"/>
        <w:spacing w:before="0" w:after="36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94"/>
      <w:bookmarkEnd w:id="1895"/>
      <w:bookmarkEnd w:id="1897"/>
    </w:p>
    <w:p>
      <w:pPr>
        <w:pStyle w:val="Style28"/>
        <w:keepNext/>
        <w:keepLines/>
        <w:widowControl w:val="0"/>
        <w:shd w:val="clear" w:color="auto" w:fill="auto"/>
        <w:tabs>
          <w:tab w:pos="378" w:val="left"/>
        </w:tabs>
        <w:bidi w:val="0"/>
        <w:spacing w:before="0" w:after="36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4</w:t>
      </w:r>
      <w:bookmarkEnd w:id="1900"/>
      <w:r>
        <w:rPr>
          <w:color w:val="000000"/>
          <w:spacing w:val="0"/>
          <w:w w:val="100"/>
          <w:position w:val="0"/>
        </w:rPr>
        <w:t>、</w:t>
        <w:tab/>
        <w:t>重要的共同经营</w:t>
      </w:r>
      <w:bookmarkEnd w:id="1898"/>
      <w:bookmarkEnd w:id="1899"/>
      <w:bookmarkEnd w:id="1901"/>
    </w:p>
    <w:p>
      <w:pPr>
        <w:pStyle w:val="Style28"/>
        <w:keepNext/>
        <w:keepLines/>
        <w:widowControl w:val="0"/>
        <w:shd w:val="clear" w:color="auto" w:fill="auto"/>
        <w:tabs>
          <w:tab w:pos="378" w:val="left"/>
        </w:tabs>
        <w:bidi w:val="0"/>
        <w:spacing w:before="0" w:after="36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5</w:t>
      </w:r>
      <w:bookmarkEnd w:id="1904"/>
      <w:r>
        <w:rPr>
          <w:color w:val="000000"/>
          <w:spacing w:val="0"/>
          <w:w w:val="100"/>
          <w:position w:val="0"/>
        </w:rPr>
        <w:t>、</w:t>
        <w:tab/>
        <w:t>在未纳入合并财务报表范围的结构化主体中的权益</w:t>
      </w:r>
      <w:bookmarkEnd w:id="1902"/>
      <w:bookmarkEnd w:id="1903"/>
      <w:bookmarkEnd w:id="1905"/>
    </w:p>
    <w:p>
      <w:pPr>
        <w:pStyle w:val="Style28"/>
        <w:keepNext/>
        <w:keepLines/>
        <w:widowControl w:val="0"/>
        <w:shd w:val="clear" w:color="auto" w:fill="auto"/>
        <w:tabs>
          <w:tab w:pos="378" w:val="left"/>
        </w:tabs>
        <w:bidi w:val="0"/>
        <w:spacing w:before="0" w:after="36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6</w:t>
      </w:r>
      <w:bookmarkEnd w:id="1908"/>
      <w:r>
        <w:rPr>
          <w:color w:val="000000"/>
          <w:spacing w:val="0"/>
          <w:w w:val="100"/>
          <w:position w:val="0"/>
        </w:rPr>
        <w:t>、</w:t>
        <w:tab/>
        <w:t>其他</w:t>
      </w:r>
      <w:bookmarkEnd w:id="1906"/>
      <w:bookmarkEnd w:id="1907"/>
      <w:bookmarkEnd w:id="1909"/>
    </w:p>
    <w:p>
      <w:pPr>
        <w:pStyle w:val="Style21"/>
        <w:keepNext/>
        <w:keepLines/>
        <w:widowControl w:val="0"/>
        <w:shd w:val="clear" w:color="auto" w:fill="auto"/>
        <w:bidi w:val="0"/>
        <w:spacing w:before="0" w:after="260" w:line="240" w:lineRule="auto"/>
        <w:ind w:left="0" w:right="0" w:firstLine="0"/>
        <w:jc w:val="left"/>
      </w:pPr>
      <w:bookmarkStart w:id="1910" w:name="bookmark1910"/>
      <w:bookmarkStart w:id="1911" w:name="bookmark1911"/>
      <w:bookmarkStart w:id="1912" w:name="bookmark1912"/>
      <w:r>
        <w:rPr>
          <w:color w:val="000000"/>
          <w:spacing w:val="0"/>
          <w:w w:val="100"/>
          <w:position w:val="0"/>
        </w:rPr>
        <w:t>十、与金融工具相关的风险</w:t>
      </w:r>
      <w:bookmarkEnd w:id="1910"/>
      <w:bookmarkEnd w:id="1911"/>
      <w:bookmarkEnd w:id="1912"/>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本集团的主要金融工具包括股权投资、借款、应收账款、应付账款等，各项金融工具的详细情况说明见本附注六相关项 目。与这些金融工具有关的风险，以及本集团为降低这些风险所采取的风险管理政策如下所述。本集团管理层对这些风险敞 口进行管理和监控以确保将上述风险控制在限定的范围之内。</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风险管理目标和政策</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外汇风险</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外汇风险指因汇率变动产生损失的风险。本公司承受外汇风险主要与欧元、港元、美元有关，公司期末拥有金额较小的 外币资产，该等外币余额的资产产生的外汇风险对本公司的经营业绩不会产生重要影响。</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利率风险一现金流量变动风险</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利率风险，是指金融工具的公允价值或未来现金流量因市场利率变动而发生波动的风险。本公司面临的利率风险主要来 源于银行短期借款。</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日，公司短期借款余额</w:t>
      </w:r>
      <w:r>
        <w:rPr>
          <w:color w:val="000000"/>
          <w:spacing w:val="0"/>
          <w:w w:val="100"/>
          <w:position w:val="0"/>
          <w:sz w:val="18"/>
          <w:szCs w:val="18"/>
        </w:rPr>
        <w:t xml:space="preserve">165,200. </w:t>
      </w:r>
      <w:r>
        <w:rPr>
          <w:color w:val="000000"/>
          <w:spacing w:val="0"/>
          <w:w w:val="100"/>
          <w:position w:val="0"/>
          <w:sz w:val="18"/>
          <w:szCs w:val="18"/>
        </w:rPr>
        <w:t>00</w:t>
      </w:r>
      <w:r>
        <w:rPr>
          <w:color w:val="000000"/>
          <w:spacing w:val="0"/>
          <w:w w:val="100"/>
          <w:position w:val="0"/>
        </w:rPr>
        <w:t>万元，利率维持在</w:t>
      </w:r>
      <w:r>
        <w:rPr>
          <w:color w:val="000000"/>
          <w:spacing w:val="0"/>
          <w:w w:val="100"/>
          <w:position w:val="0"/>
          <w:sz w:val="18"/>
          <w:szCs w:val="18"/>
        </w:rPr>
        <w:t xml:space="preserve">2. </w:t>
      </w:r>
      <w:r>
        <w:rPr>
          <w:color w:val="000000"/>
          <w:spacing w:val="0"/>
          <w:w w:val="100"/>
          <w:position w:val="0"/>
          <w:sz w:val="18"/>
          <w:szCs w:val="18"/>
        </w:rPr>
        <w:t>85%-6. 58%</w:t>
      </w:r>
      <w:r>
        <w:rPr>
          <w:color w:val="000000"/>
          <w:spacing w:val="0"/>
          <w:w w:val="100"/>
          <w:position w:val="0"/>
        </w:rPr>
        <w:t>。如未来贷款利率上升或下降</w:t>
      </w:r>
      <w:r>
        <w:rPr>
          <w:color w:val="000000"/>
          <w:spacing w:val="0"/>
          <w:w w:val="100"/>
          <w:position w:val="0"/>
          <w:sz w:val="18"/>
          <w:szCs w:val="18"/>
        </w:rPr>
        <w:t xml:space="preserve">10. </w:t>
      </w:r>
      <w:r>
        <w:rPr>
          <w:color w:val="000000"/>
          <w:spacing w:val="0"/>
          <w:w w:val="100"/>
          <w:position w:val="0"/>
          <w:sz w:val="18"/>
          <w:szCs w:val="18"/>
        </w:rPr>
        <w:t xml:space="preserve">00%， </w:t>
      </w:r>
      <w:r>
        <w:rPr>
          <w:color w:val="000000"/>
          <w:spacing w:val="0"/>
          <w:w w:val="100"/>
          <w:position w:val="0"/>
        </w:rPr>
        <w:t>则本公司的净利润将减少或增加</w:t>
      </w:r>
      <w:r>
        <w:rPr>
          <w:color w:val="000000"/>
          <w:spacing w:val="0"/>
          <w:w w:val="100"/>
          <w:position w:val="0"/>
          <w:sz w:val="18"/>
          <w:szCs w:val="18"/>
        </w:rPr>
        <w:t>77,891,800.0</w:t>
      </w:r>
      <w:r>
        <w:rPr>
          <w:color w:val="000000"/>
          <w:spacing w:val="0"/>
          <w:w w:val="100"/>
          <w:position w:val="0"/>
          <w:sz w:val="18"/>
          <w:szCs w:val="18"/>
        </w:rPr>
        <w:t>0</w:t>
      </w:r>
      <w:r>
        <w:rPr>
          <w:color w:val="000000"/>
          <w:spacing w:val="0"/>
          <w:w w:val="100"/>
          <w:position w:val="0"/>
        </w:rPr>
        <w:t>元。管理层认为</w:t>
      </w:r>
      <w:r>
        <w:rPr>
          <w:color w:val="000000"/>
          <w:spacing w:val="0"/>
          <w:w w:val="100"/>
          <w:position w:val="0"/>
          <w:sz w:val="18"/>
          <w:szCs w:val="18"/>
        </w:rPr>
        <w:t>10.00%</w:t>
      </w:r>
      <w:r>
        <w:rPr>
          <w:color w:val="000000"/>
          <w:spacing w:val="0"/>
          <w:w w:val="100"/>
          <w:position w:val="0"/>
        </w:rPr>
        <w:t>波动比例合理反映了下一年度利率可能发生变动的合 理范围。</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其他价格风险</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本集团持有的分类为以公允价值计量且其变动计入当期损益、以公允价值计量且其变动计入其他综合收益的金融资产的 投资在资产负债表日以公允价值计量。因此，本集团承担着证券市场变动的风险。本集团采取持有多种权益证券组合的方式 降低权益证券投资的价格风险。</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信用风险</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公司通过对已有客户信用评级的季度监控以及应收账款账龄分析的月度审核来确保公司的整体信用风险在可控的范围</w:t>
        <w:br w:type="page"/>
      </w:r>
      <w:r>
        <w:rPr>
          <w:color w:val="000000"/>
          <w:spacing w:val="0"/>
          <w:w w:val="100"/>
          <w:position w:val="0"/>
        </w:rPr>
        <w:t>内。</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流动风险</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管理流动风险时，本集团保持管理层认为充分的现金及现金等价物并对其进行监控，以满足本集团经营需要，并降低现</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金流量波动的影响。本集团管理层对银行借款的使用情况进行监控并确保遵守借款协议。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日，本集团持有的金融负债按未折现剩余合同义务的到期期限分析如下:</w:t>
      </w:r>
    </w:p>
    <w:tbl>
      <w:tblPr>
        <w:tblOverlap w:val="never"/>
        <w:jc w:val="center"/>
        <w:tblLayout w:type="fixed"/>
      </w:tblPr>
      <w:tblGrid>
        <w:gridCol w:w="1426"/>
        <w:gridCol w:w="1805"/>
        <w:gridCol w:w="1325"/>
        <w:gridCol w:w="1373"/>
        <w:gridCol w:w="1334"/>
        <w:gridCol w:w="1973"/>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60"/>
              <w:jc w:val="left"/>
              <w:rPr>
                <w:sz w:val="18"/>
                <w:szCs w:val="18"/>
              </w:rPr>
            </w:pPr>
            <w:r>
              <w:rPr>
                <w:color w:val="000000"/>
                <w:spacing w:val="0"/>
                <w:w w:val="100"/>
                <w:position w:val="0"/>
                <w:sz w:val="18"/>
                <w:szCs w:val="18"/>
              </w:rPr>
              <w:t xml:space="preserve">1,654, 090, </w:t>
            </w:r>
            <w:r>
              <w:rPr>
                <w:color w:val="000000"/>
                <w:spacing w:val="0"/>
                <w:w w:val="100"/>
                <w:position w:val="0"/>
                <w:sz w:val="18"/>
                <w:szCs w:val="18"/>
              </w:rPr>
              <w:t xml:space="preserve">908. </w:t>
            </w:r>
            <w:r>
              <w:rPr>
                <w:color w:val="000000"/>
                <w:spacing w:val="0"/>
                <w:w w:val="100"/>
                <w:position w:val="0"/>
                <w:sz w:val="18"/>
                <w:szCs w:val="18"/>
              </w:rPr>
              <w:t>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1,654, 090, </w:t>
            </w:r>
            <w:r>
              <w:rPr>
                <w:color w:val="000000"/>
                <w:spacing w:val="0"/>
                <w:w w:val="100"/>
                <w:position w:val="0"/>
                <w:sz w:val="18"/>
                <w:szCs w:val="18"/>
              </w:rPr>
              <w:t xml:space="preserve">908. </w:t>
            </w:r>
            <w:r>
              <w:rPr>
                <w:color w:val="000000"/>
                <w:spacing w:val="0"/>
                <w:w w:val="100"/>
                <w:position w:val="0"/>
                <w:sz w:val="18"/>
                <w:szCs w:val="18"/>
              </w:rPr>
              <w:t>02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149, 972, </w:t>
            </w:r>
            <w:r>
              <w:rPr>
                <w:color w:val="000000"/>
                <w:spacing w:val="0"/>
                <w:w w:val="100"/>
                <w:position w:val="0"/>
                <w:sz w:val="18"/>
                <w:szCs w:val="18"/>
              </w:rPr>
              <w:t xml:space="preserve">037.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149,972,</w:t>
            </w:r>
            <w:r>
              <w:rPr>
                <w:color w:val="000000"/>
                <w:spacing w:val="0"/>
                <w:w w:val="100"/>
                <w:position w:val="0"/>
                <w:sz w:val="18"/>
                <w:szCs w:val="18"/>
              </w:rPr>
              <w:t>037.</w:t>
            </w:r>
            <w:r>
              <w:rPr>
                <w:color w:val="000000"/>
                <w:spacing w:val="0"/>
                <w:w w:val="100"/>
                <w:position w:val="0"/>
                <w:sz w:val="18"/>
                <w:szCs w:val="18"/>
              </w:rPr>
              <w:t>03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806, 470, </w:t>
            </w:r>
            <w:r>
              <w:rPr>
                <w:color w:val="000000"/>
                <w:spacing w:val="0"/>
                <w:w w:val="100"/>
                <w:position w:val="0"/>
                <w:sz w:val="18"/>
                <w:szCs w:val="18"/>
              </w:rPr>
              <w:t xml:space="preserve">970.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806, 470, </w:t>
            </w:r>
            <w:r>
              <w:rPr>
                <w:color w:val="000000"/>
                <w:spacing w:val="0"/>
                <w:w w:val="100"/>
                <w:position w:val="0"/>
                <w:sz w:val="18"/>
                <w:szCs w:val="18"/>
              </w:rPr>
              <w:t xml:space="preserve">970. </w:t>
            </w:r>
            <w:r>
              <w:rPr>
                <w:color w:val="000000"/>
                <w:spacing w:val="0"/>
                <w:w w:val="100"/>
                <w:position w:val="0"/>
                <w:sz w:val="18"/>
                <w:szCs w:val="18"/>
              </w:rPr>
              <w:t>55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102, </w:t>
            </w:r>
            <w:r>
              <w:rPr>
                <w:color w:val="000000"/>
                <w:spacing w:val="0"/>
                <w:w w:val="100"/>
                <w:position w:val="0"/>
                <w:sz w:val="18"/>
                <w:szCs w:val="18"/>
              </w:rPr>
              <w:t>701,766.91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102,701,766.91</w:t>
            </w:r>
          </w:p>
        </w:tc>
      </w:tr>
    </w:tbl>
    <w:p>
      <w:pPr>
        <w:pStyle w:val="Style23"/>
        <w:keepNext w:val="0"/>
        <w:keepLines w:val="0"/>
        <w:widowControl w:val="0"/>
        <w:shd w:val="clear" w:color="auto" w:fill="auto"/>
        <w:bidi w:val="0"/>
        <w:spacing w:before="0" w:after="0" w:line="240" w:lineRule="auto"/>
        <w:ind w:left="370" w:right="0" w:firstLine="0"/>
        <w:jc w:val="left"/>
      </w:pPr>
      <w:r>
        <w:rPr>
          <w:color w:val="000000"/>
          <w:spacing w:val="0"/>
          <w:w w:val="100"/>
          <w:position w:val="0"/>
        </w:rPr>
        <w:t>（续）</w:t>
      </w:r>
    </w:p>
    <w:tbl>
      <w:tblPr>
        <w:tblOverlap w:val="never"/>
        <w:jc w:val="center"/>
        <w:tblLayout w:type="fixed"/>
      </w:tblPr>
      <w:tblGrid>
        <w:gridCol w:w="1426"/>
        <w:gridCol w:w="1987"/>
        <w:gridCol w:w="1147"/>
        <w:gridCol w:w="1373"/>
        <w:gridCol w:w="1320"/>
        <w:gridCol w:w="1982"/>
      </w:tblGrid>
      <w:tr>
        <w:trPr>
          <w:trHeight w:val="34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1,737,724,263.22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1,737,724,263.22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115, 456, </w:t>
            </w:r>
            <w:r>
              <w:rPr>
                <w:color w:val="000000"/>
                <w:spacing w:val="0"/>
                <w:w w:val="100"/>
                <w:position w:val="0"/>
                <w:sz w:val="18"/>
                <w:szCs w:val="18"/>
              </w:rPr>
              <w:t xml:space="preserve">130.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115,456, </w:t>
            </w:r>
            <w:r>
              <w:rPr>
                <w:color w:val="000000"/>
                <w:spacing w:val="0"/>
                <w:w w:val="100"/>
                <w:position w:val="0"/>
                <w:sz w:val="18"/>
                <w:szCs w:val="18"/>
              </w:rPr>
              <w:t xml:space="preserve">130. </w:t>
            </w:r>
            <w:r>
              <w:rPr>
                <w:color w:val="000000"/>
                <w:spacing w:val="0"/>
                <w:w w:val="100"/>
                <w:position w:val="0"/>
                <w:sz w:val="18"/>
                <w:szCs w:val="18"/>
              </w:rPr>
              <w:t>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996, </w:t>
            </w:r>
            <w:r>
              <w:rPr>
                <w:color w:val="000000"/>
                <w:spacing w:val="0"/>
                <w:w w:val="100"/>
                <w:position w:val="0"/>
                <w:sz w:val="18"/>
                <w:szCs w:val="18"/>
              </w:rPr>
              <w:t xml:space="preserve">307,485. </w:t>
            </w: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996, </w:t>
            </w:r>
            <w:r>
              <w:rPr>
                <w:color w:val="000000"/>
                <w:spacing w:val="0"/>
                <w:w w:val="100"/>
                <w:position w:val="0"/>
                <w:sz w:val="18"/>
                <w:szCs w:val="18"/>
              </w:rPr>
              <w:t xml:space="preserve">307,485. </w:t>
            </w:r>
            <w:r>
              <w:rPr>
                <w:color w:val="000000"/>
                <w:spacing w:val="0"/>
                <w:w w:val="100"/>
                <w:position w:val="0"/>
                <w:sz w:val="18"/>
                <w:szCs w:val="18"/>
              </w:rPr>
              <w:t>66</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148, </w:t>
            </w:r>
            <w:r>
              <w:rPr>
                <w:color w:val="000000"/>
                <w:spacing w:val="0"/>
                <w:w w:val="100"/>
                <w:position w:val="0"/>
                <w:sz w:val="18"/>
                <w:szCs w:val="18"/>
              </w:rPr>
              <w:t xml:space="preserve">743,411. </w:t>
            </w:r>
            <w:r>
              <w:rPr>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148, </w:t>
            </w:r>
            <w:r>
              <w:rPr>
                <w:color w:val="000000"/>
                <w:spacing w:val="0"/>
                <w:w w:val="100"/>
                <w:position w:val="0"/>
                <w:sz w:val="18"/>
                <w:szCs w:val="18"/>
              </w:rPr>
              <w:t xml:space="preserve">743,411. </w:t>
            </w:r>
            <w:r>
              <w:rPr>
                <w:color w:val="000000"/>
                <w:spacing w:val="0"/>
                <w:w w:val="100"/>
                <w:position w:val="0"/>
                <w:sz w:val="18"/>
                <w:szCs w:val="18"/>
              </w:rPr>
              <w:t>35</w:t>
            </w:r>
          </w:p>
        </w:tc>
      </w:tr>
    </w:tbl>
    <w:p>
      <w:pPr>
        <w:widowControl w:val="0"/>
        <w:spacing w:after="639" w:line="1" w:lineRule="exact"/>
      </w:pPr>
    </w:p>
    <w:p>
      <w:pPr>
        <w:pStyle w:val="Style21"/>
        <w:keepNext/>
        <w:keepLines/>
        <w:widowControl w:val="0"/>
        <w:shd w:val="clear" w:color="auto" w:fill="auto"/>
        <w:bidi w:val="0"/>
        <w:spacing w:before="0" w:line="240" w:lineRule="auto"/>
        <w:ind w:left="0" w:right="0" w:firstLine="0"/>
        <w:jc w:val="left"/>
      </w:pPr>
      <w:bookmarkStart w:id="1913" w:name="bookmark1913"/>
      <w:bookmarkStart w:id="1914" w:name="bookmark1914"/>
      <w:bookmarkStart w:id="1915" w:name="bookmark1915"/>
      <w:r>
        <w:rPr>
          <w:color w:val="000000"/>
          <w:spacing w:val="0"/>
          <w:w w:val="100"/>
          <w:position w:val="0"/>
        </w:rPr>
        <w:t>十一、公允价值的披露</w:t>
      </w:r>
      <w:bookmarkEnd w:id="1913"/>
      <w:bookmarkEnd w:id="1914"/>
      <w:bookmarkEnd w:id="1915"/>
    </w:p>
    <w:p>
      <w:pPr>
        <w:pStyle w:val="Style28"/>
        <w:keepNext/>
        <w:keepLines/>
        <w:widowControl w:val="0"/>
        <w:shd w:val="clear" w:color="auto" w:fill="auto"/>
        <w:bidi w:val="0"/>
        <w:spacing w:before="0" w:after="360" w:line="240" w:lineRule="auto"/>
        <w:ind w:left="0" w:right="0" w:firstLine="0"/>
        <w:jc w:val="left"/>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16"/>
      <w:bookmarkEnd w:id="1917"/>
      <w:bookmarkEnd w:id="191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982"/>
        <w:gridCol w:w="1987"/>
        <w:gridCol w:w="1982"/>
        <w:gridCol w:w="15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1,077,318.16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90,373,960.00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91,451,278.16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2,816,000.00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持续以公允价值计量的资 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1,077,318.16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95,189,960.00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96,267,278.16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919"/>
      <w:bookmarkEnd w:id="1920"/>
      <w:bookmarkEnd w:id="1921"/>
    </w:p>
    <w:p>
      <w:pPr>
        <w:pStyle w:val="Style25"/>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公司持有的其他权益工具投资中的上市公司股票投资，年末公允价值按资产负债表日公开交易市场的收盘价确定。</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3</w:t>
      </w:r>
      <w:bookmarkEnd w:id="1924"/>
      <w:r>
        <w:rPr>
          <w:color w:val="000000"/>
          <w:spacing w:val="0"/>
          <w:w w:val="100"/>
          <w:position w:val="0"/>
        </w:rPr>
        <w:t>、</w:t>
        <w:tab/>
        <w:t>持续和非持续第二层次公允价值计量项目，采用的估值技术和重要参数的定性及定量信息</w:t>
      </w:r>
      <w:bookmarkEnd w:id="1922"/>
      <w:bookmarkEnd w:id="1923"/>
      <w:bookmarkEnd w:id="1925"/>
    </w:p>
    <w:p>
      <w:pPr>
        <w:pStyle w:val="Style28"/>
        <w:keepNext/>
        <w:keepLines/>
        <w:widowControl w:val="0"/>
        <w:shd w:val="clear" w:color="auto" w:fill="auto"/>
        <w:tabs>
          <w:tab w:pos="378" w:val="left"/>
        </w:tabs>
        <w:bidi w:val="0"/>
        <w:spacing w:before="0" w:after="36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4</w:t>
      </w:r>
      <w:bookmarkEnd w:id="1928"/>
      <w:r>
        <w:rPr>
          <w:color w:val="000000"/>
          <w:spacing w:val="0"/>
          <w:w w:val="100"/>
          <w:position w:val="0"/>
        </w:rPr>
        <w:t>、</w:t>
        <w:tab/>
        <w:t>持续和非持续第三层次公允价值计量项目，采用的估值技术和重要参数的定性及定量信息</w:t>
      </w:r>
      <w:bookmarkEnd w:id="1926"/>
      <w:bookmarkEnd w:id="1927"/>
      <w:bookmarkEnd w:id="1929"/>
    </w:p>
    <w:p>
      <w:pPr>
        <w:pStyle w:val="Style25"/>
        <w:keepNext w:val="0"/>
        <w:keepLines w:val="0"/>
        <w:widowControl w:val="0"/>
        <w:shd w:val="clear" w:color="auto" w:fill="auto"/>
        <w:bidi w:val="0"/>
        <w:spacing w:before="0" w:after="360" w:line="240" w:lineRule="auto"/>
        <w:ind w:left="0" w:right="0"/>
        <w:jc w:val="left"/>
      </w:pPr>
      <w:r>
        <w:rPr>
          <w:color w:val="000000"/>
          <w:spacing w:val="0"/>
          <w:w w:val="100"/>
          <w:position w:val="0"/>
        </w:rPr>
        <w:t>公司以预计该项权益工具投资预期未来给公司带来现金流量净流入的最佳估计数作为其公允价值的确定。</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5</w:t>
      </w:r>
      <w:bookmarkEnd w:id="1932"/>
      <w:r>
        <w:rPr>
          <w:color w:val="000000"/>
          <w:spacing w:val="0"/>
          <w:w w:val="100"/>
          <w:position w:val="0"/>
        </w:rPr>
        <w:t>、</w:t>
        <w:tab/>
        <w:t>持续的第三层次公允价值计量项目，期初与期末账面价值间的调节信息及不可观察参数敏感性分析</w:t>
      </w:r>
      <w:bookmarkEnd w:id="1930"/>
      <w:bookmarkEnd w:id="1931"/>
      <w:bookmarkEnd w:id="1933"/>
    </w:p>
    <w:p>
      <w:pPr>
        <w:pStyle w:val="Style28"/>
        <w:keepNext/>
        <w:keepLines/>
        <w:widowControl w:val="0"/>
        <w:shd w:val="clear" w:color="auto" w:fill="auto"/>
        <w:tabs>
          <w:tab w:pos="378" w:val="left"/>
        </w:tabs>
        <w:bidi w:val="0"/>
        <w:spacing w:before="0" w:after="36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6</w:t>
      </w:r>
      <w:bookmarkEnd w:id="1936"/>
      <w:r>
        <w:rPr>
          <w:color w:val="000000"/>
          <w:spacing w:val="0"/>
          <w:w w:val="100"/>
          <w:position w:val="0"/>
        </w:rPr>
        <w:t>、</w:t>
        <w:tab/>
        <w:t>持续的公允价值计量项目，本期内发生各层级之间转换的，转换的原因及确定转换时点的政策</w:t>
      </w:r>
      <w:bookmarkEnd w:id="1934"/>
      <w:bookmarkEnd w:id="1935"/>
      <w:bookmarkEnd w:id="1937"/>
    </w:p>
    <w:p>
      <w:pPr>
        <w:pStyle w:val="Style28"/>
        <w:keepNext/>
        <w:keepLines/>
        <w:widowControl w:val="0"/>
        <w:shd w:val="clear" w:color="auto" w:fill="auto"/>
        <w:tabs>
          <w:tab w:pos="378" w:val="left"/>
        </w:tabs>
        <w:bidi w:val="0"/>
        <w:spacing w:before="0" w:after="36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7</w:t>
      </w:r>
      <w:bookmarkEnd w:id="1940"/>
      <w:r>
        <w:rPr>
          <w:color w:val="000000"/>
          <w:spacing w:val="0"/>
          <w:w w:val="100"/>
          <w:position w:val="0"/>
        </w:rPr>
        <w:t>、</w:t>
        <w:tab/>
        <w:t>本期内发生的估值技术变更及变更原因</w:t>
      </w:r>
      <w:bookmarkEnd w:id="1938"/>
      <w:bookmarkEnd w:id="1939"/>
      <w:bookmarkEnd w:id="1941"/>
    </w:p>
    <w:p>
      <w:pPr>
        <w:pStyle w:val="Style28"/>
        <w:keepNext/>
        <w:keepLines/>
        <w:widowControl w:val="0"/>
        <w:shd w:val="clear" w:color="auto" w:fill="auto"/>
        <w:tabs>
          <w:tab w:pos="378" w:val="left"/>
        </w:tabs>
        <w:bidi w:val="0"/>
        <w:spacing w:before="0" w:after="36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8</w:t>
      </w:r>
      <w:bookmarkEnd w:id="1944"/>
      <w:r>
        <w:rPr>
          <w:color w:val="000000"/>
          <w:spacing w:val="0"/>
          <w:w w:val="100"/>
          <w:position w:val="0"/>
        </w:rPr>
        <w:t>、</w:t>
        <w:tab/>
        <w:t>不以公允价值计量的金融资产和金融负债的公允价值情况</w:t>
      </w:r>
      <w:bookmarkEnd w:id="1942"/>
      <w:bookmarkEnd w:id="1943"/>
      <w:bookmarkEnd w:id="1945"/>
    </w:p>
    <w:p>
      <w:pPr>
        <w:pStyle w:val="Style28"/>
        <w:keepNext/>
        <w:keepLines/>
        <w:widowControl w:val="0"/>
        <w:shd w:val="clear" w:color="auto" w:fill="auto"/>
        <w:tabs>
          <w:tab w:pos="378" w:val="left"/>
        </w:tabs>
        <w:bidi w:val="0"/>
        <w:spacing w:before="0" w:after="36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9</w:t>
      </w:r>
      <w:bookmarkEnd w:id="1948"/>
      <w:r>
        <w:rPr>
          <w:color w:val="000000"/>
          <w:spacing w:val="0"/>
          <w:w w:val="100"/>
          <w:position w:val="0"/>
        </w:rPr>
        <w:t>、</w:t>
        <w:tab/>
        <w:t>其他</w:t>
      </w:r>
      <w:bookmarkEnd w:id="1946"/>
      <w:bookmarkEnd w:id="1947"/>
      <w:bookmarkEnd w:id="1949"/>
    </w:p>
    <w:p>
      <w:pPr>
        <w:pStyle w:val="Style21"/>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2" w:name="bookmark1952"/>
      <w:r>
        <w:rPr>
          <w:color w:val="000000"/>
          <w:spacing w:val="0"/>
          <w:w w:val="100"/>
          <w:position w:val="0"/>
        </w:rPr>
        <w:t>十二、关联方及关联交易</w:t>
      </w:r>
      <w:bookmarkEnd w:id="1950"/>
      <w:bookmarkEnd w:id="1951"/>
      <w:bookmarkEnd w:id="1952"/>
    </w:p>
    <w:p>
      <w:pPr>
        <w:pStyle w:val="Style28"/>
        <w:keepNext/>
        <w:keepLines/>
        <w:widowControl w:val="0"/>
        <w:shd w:val="clear" w:color="auto" w:fill="auto"/>
        <w:bidi w:val="0"/>
        <w:spacing w:before="0" w:after="360" w:line="240" w:lineRule="auto"/>
        <w:ind w:left="0" w:right="0" w:firstLine="0"/>
        <w:jc w:val="left"/>
      </w:pPr>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53"/>
      <w:bookmarkEnd w:id="1954"/>
      <w:bookmarkEnd w:id="1955"/>
    </w:p>
    <w:tbl>
      <w:tblPr>
        <w:tblOverlap w:val="never"/>
        <w:jc w:val="center"/>
        <w:tblLayout w:type="fixed"/>
      </w:tblPr>
      <w:tblGrid>
        <w:gridCol w:w="1992"/>
        <w:gridCol w:w="1205"/>
        <w:gridCol w:w="1776"/>
        <w:gridCol w:w="1411"/>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电子智能、投资开发等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本企业最终控制方是王辉、刘健。</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2</w:t>
      </w:r>
      <w:bookmarkEnd w:id="1958"/>
      <w:r>
        <w:rPr>
          <w:color w:val="000000"/>
          <w:spacing w:val="0"/>
          <w:w w:val="100"/>
          <w:position w:val="0"/>
        </w:rPr>
        <w:t>、</w:t>
        <w:tab/>
        <w:t>本企业的子公司情况</w:t>
      </w:r>
      <w:bookmarkEnd w:id="1956"/>
      <w:bookmarkEnd w:id="1957"/>
      <w:bookmarkEnd w:id="195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3</w:t>
      </w:r>
      <w:bookmarkEnd w:id="1962"/>
      <w:r>
        <w:rPr>
          <w:color w:val="000000"/>
          <w:spacing w:val="0"/>
          <w:w w:val="100"/>
          <w:position w:val="0"/>
        </w:rPr>
        <w:t>、</w:t>
        <w:tab/>
        <w:t>本企业合营和联营企业情况</w:t>
      </w:r>
      <w:bookmarkEnd w:id="1960"/>
      <w:bookmarkEnd w:id="1961"/>
      <w:bookmarkEnd w:id="196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本企业重要的合营或联营企业详见附注附注九、</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、在合营安排或联营企业中的权益。。</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杭州银江医联网技术股份有限公司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北京欧迈特科技股份有限公司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厦门银江智慧城市技术股份有限公司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浙江贤谷互联网技术有限公司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杭州清普信息技术有限公司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北京银江瑞讯科技有限公司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杭州银江智慧产业创业投资合伙企业（有限合伙）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安徽新网讯科技发展有限公司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2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4</w:t>
      </w:r>
      <w:bookmarkEnd w:id="1966"/>
      <w:r>
        <w:rPr>
          <w:color w:val="000000"/>
          <w:spacing w:val="0"/>
          <w:w w:val="100"/>
          <w:position w:val="0"/>
        </w:rPr>
        <w:t>、其他关联方情况</w:t>
      </w:r>
      <w:bookmarkEnd w:id="1964"/>
      <w:bookmarkEnd w:id="1965"/>
      <w:bookmarkEnd w:id="1967"/>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重庆市银江国超科技有限公司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青岛银云互联网技术有限公司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福桥保险经纪股份有限公司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系本公司参股公司（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年已注销）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杭州天迈网络有限公司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湖南欧迈特网络科技有限公司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美国华人执业医生网络医院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山东博安智能科技股份有限公司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浙江万朋教育科技股份有限公司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浙江银江云计算技术有限公司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杭州动享互联网技术有限公司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系银江科技集团有限公司的联营企业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浙江银创教育宝科技有限公司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浙江银创旅游宝科技有限公司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杭州奢享互联网技术有限公司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交通宝互联网技术有限公司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城市宝互联网技术有限公司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智谷创业园有限公司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浙江桃源七里酒店管理有限公司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浙江银江创业服务研究院有限公司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浙江镭蒙机器人技术有限公司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杭州创享互联网技术有限公司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浙江中网智慧水务科技有限公司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杭州优橙科技有限公司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系杭州银江智慧产业创业投资合伙企业（有限合伙）参股的公司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江苏谷德运维信息技术有限公司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系杭州银江智慧产业创业投资合伙企业（有限合伙）参股的公司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银川银戈信息技术有限公司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系杭州银江智慧产业创业投资合伙企业（有限合伙）参股的公司</w:t>
            </w:r>
          </w:p>
        </w:tc>
      </w:tr>
    </w:tbl>
    <w:p>
      <w:pPr>
        <w:spacing w:lineRule="exact" w:line="1"/>
        <w:rPr>
          <w:sz w:val="2"/>
          <w:szCs w:val="2"/>
        </w:rPr>
      </w:pPr>
      <w:r>
        <w:br w:type="page"/>
      </w:r>
    </w:p>
    <w:tbl>
      <w:tblPr>
        <w:tblOverlap w:val="never"/>
        <w:jc w:val="center"/>
        <w:tblLayout w:type="fixed"/>
      </w:tblPr>
      <w:tblGrid>
        <w:gridCol w:w="4402"/>
        <w:gridCol w:w="518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杭州攻壳科技有限公司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系杭州银江智慧产业创业投资合伙企业（有限合伙）参股的公司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杭州思言信息技术有限公司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系杭州银江智慧产业创业投资合伙企业（有限合伙）参股的公司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杭州英杰电子有限公司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系杭州银江智慧产业创业投资合伙企业（有限合伙）参股的公司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潍坊城市云网络科技有限公司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系杭州银江智慧产业创业投资合伙企业（有限合伙）参股的公司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福州银江智慧城市信息技术有限公司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系联营企业控制的公司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浙江辰时科技集团有限公司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秦浪控制的企业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杭州安恒信息技术股份有限公司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赵新建担任董事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银江科技集团有限公司工会委员会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赵新建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张芸芸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秦俊峰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韩振兴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孔桦桦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5</w:t>
      </w:r>
      <w:bookmarkEnd w:id="1970"/>
      <w:r>
        <w:rPr>
          <w:color w:val="000000"/>
          <w:spacing w:val="0"/>
          <w:w w:val="100"/>
          <w:position w:val="0"/>
        </w:rPr>
        <w:t>、关联交易情况</w:t>
      </w:r>
      <w:bookmarkEnd w:id="1968"/>
      <w:bookmarkEnd w:id="1969"/>
      <w:bookmarkEnd w:id="1971"/>
    </w:p>
    <w:p>
      <w:pPr>
        <w:pStyle w:val="Style38"/>
        <w:keepNext/>
        <w:keepLines/>
        <w:widowControl w:val="0"/>
        <w:shd w:val="clear" w:color="auto" w:fill="auto"/>
        <w:bidi w:val="0"/>
        <w:spacing w:before="0" w:line="240" w:lineRule="auto"/>
        <w:ind w:left="0" w:right="0" w:firstLine="0"/>
        <w:jc w:val="left"/>
      </w:pPr>
      <w:bookmarkStart w:id="1972" w:name="bookmark1972"/>
      <w:bookmarkStart w:id="1973" w:name="bookmark1973"/>
      <w:bookmarkStart w:id="1974" w:name="bookmark19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72"/>
      <w:bookmarkEnd w:id="1973"/>
      <w:bookmarkEnd w:id="197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277"/>
        <w:gridCol w:w="1133"/>
        <w:gridCol w:w="1416"/>
        <w:gridCol w:w="1560"/>
        <w:gridCol w:w="12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30,629,478.66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27,404,653.00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杭州动享互联网技术有限公司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1,122,415.80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1,041,484.50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浙江中网智慧水务科技有限公司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3,800,901.90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1,866,000.00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厦门银江智慧城市技术股份有限公司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6,588,082.74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交通宝互联网技术有限公司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810,725.87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223,566.57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安徽新网讯科技发展有限公司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8,368,583.50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北京银江瑞讯科技有限公司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62,971,966.65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36,028,391.91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杭州奢享互联网技术有限公司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杭州天迈网络有限公司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588,657.25</w:t>
            </w:r>
          </w:p>
        </w:tc>
      </w:tr>
    </w:tbl>
    <w:p>
      <w:pPr>
        <w:spacing w:lineRule="exact" w:line="1"/>
        <w:rPr>
          <w:sz w:val="2"/>
          <w:szCs w:val="2"/>
        </w:rPr>
      </w:pPr>
      <w:r>
        <w:br w:type="page"/>
      </w:r>
    </w:p>
    <w:tbl>
      <w:tblPr>
        <w:tblOverlap w:val="never"/>
        <w:jc w:val="center"/>
        <w:tblLayout w:type="fixed"/>
      </w:tblPr>
      <w:tblGrid>
        <w:gridCol w:w="2986"/>
        <w:gridCol w:w="1277"/>
        <w:gridCol w:w="1133"/>
        <w:gridCol w:w="1416"/>
        <w:gridCol w:w="1560"/>
        <w:gridCol w:w="12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杭州优橙科技有限公司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1,808,358.66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13,785,520.00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江苏谷德运维信息技术有限公司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青岛银云互联网技术有限公司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4,798,063.03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浙江桃源七里酒店管理有限公司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浙江银创教育宝科技有限公司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浙江银江创业服务研究院有限公司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9,958,943.01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2,196,043.50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重庆市银江国超科技有限公司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1,430,087.36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4,142,330.51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杭州叙简科技股份有限公司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580,796.43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湖南欧迈特网络科技有限公司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银川银戈信息技术有限公司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3,103,184.86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潍坊城市云网络科技有限公司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2,241,660.04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浙江银江云计算技术有限公司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262"/>
        <w:gridCol w:w="1843"/>
        <w:gridCol w:w="1843"/>
        <w:gridCol w:w="163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浙江银创教育宝科技有限公司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浙江银创旅游宝科技有限公司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浙江中网智慧水务科技有限公司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城市宝互联网技术有限公司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厦门银江智慧城市技术股份有限公司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1,406,890.57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智谷创业园有限公司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江苏谷德运维信息技术有限公司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银川银戈信息技术有限公司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6,924,500.00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w:t>
      </w:r>
      <w:bookmarkEnd w:id="1977"/>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75"/>
      <w:bookmarkEnd w:id="1976"/>
      <w:bookmarkEnd w:id="1978"/>
    </w:p>
    <w:p>
      <w:pPr>
        <w:pStyle w:val="Style38"/>
        <w:keepNext/>
        <w:keepLines/>
        <w:widowControl w:val="0"/>
        <w:shd w:val="clear" w:color="auto" w:fill="auto"/>
        <w:tabs>
          <w:tab w:pos="493" w:val="left"/>
        </w:tabs>
        <w:bidi w:val="0"/>
        <w:spacing w:before="0" w:after="36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79"/>
      <w:bookmarkEnd w:id="1980"/>
      <w:bookmarkEnd w:id="1982"/>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702"/>
        <w:gridCol w:w="2270"/>
        <w:gridCol w:w="2213"/>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spacing w:lineRule="exact" w:line="1"/>
        <w:rPr>
          <w:sz w:val="2"/>
          <w:szCs w:val="2"/>
        </w:rPr>
      </w:pPr>
      <w:r>
        <w:br w:type="page"/>
      </w:r>
    </w:p>
    <w:tbl>
      <w:tblPr>
        <w:tblOverlap w:val="never"/>
        <w:jc w:val="center"/>
        <w:tblLayout w:type="fixed"/>
      </w:tblPr>
      <w:tblGrid>
        <w:gridCol w:w="2702"/>
        <w:gridCol w:w="2270"/>
        <w:gridCol w:w="2213"/>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经营租出资产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杭州创享互联网技术有限公司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经营租出资产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城市宝互联网技术有限公司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经营租出资产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both"/>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83"/>
      <w:bookmarkEnd w:id="1984"/>
      <w:bookmarkEnd w:id="1986"/>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本公司作为被担保方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560"/>
        <w:gridCol w:w="1843"/>
        <w:gridCol w:w="156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19" w:line="1" w:lineRule="exact"/>
      </w:pPr>
    </w:p>
    <w:p>
      <w:pPr>
        <w:pStyle w:val="Style38"/>
        <w:keepNext/>
        <w:keepLines/>
        <w:widowControl w:val="0"/>
        <w:shd w:val="clear" w:color="auto" w:fill="auto"/>
        <w:tabs>
          <w:tab w:pos="493" w:val="left"/>
        </w:tabs>
        <w:bidi w:val="0"/>
        <w:spacing w:before="0" w:after="320" w:line="240" w:lineRule="auto"/>
        <w:ind w:left="0" w:right="0" w:firstLine="0"/>
        <w:jc w:val="both"/>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987"/>
      <w:bookmarkEnd w:id="1988"/>
      <w:bookmarkEnd w:id="1990"/>
    </w:p>
    <w:p>
      <w:pPr>
        <w:pStyle w:val="Style38"/>
        <w:keepNext/>
        <w:keepLines/>
        <w:widowControl w:val="0"/>
        <w:shd w:val="clear" w:color="auto" w:fill="auto"/>
        <w:tabs>
          <w:tab w:pos="493" w:val="left"/>
        </w:tabs>
        <w:bidi w:val="0"/>
        <w:spacing w:before="0" w:line="240" w:lineRule="auto"/>
        <w:ind w:left="0" w:right="0" w:firstLine="0"/>
        <w:jc w:val="both"/>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991"/>
      <w:bookmarkEnd w:id="1992"/>
      <w:bookmarkEnd w:id="1994"/>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842"/>
        <w:gridCol w:w="2410"/>
        <w:gridCol w:w="2126"/>
        <w:gridCol w:w="22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浙江万朋教育科技股份有限公司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股权回购款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24,501,814.27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both"/>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95"/>
      <w:bookmarkEnd w:id="1996"/>
      <w:bookmarkEnd w:id="1998"/>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4,858,600.00</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99"/>
      <w:bookmarkEnd w:id="2000"/>
      <w:bookmarkEnd w:id="2002"/>
    </w:p>
    <w:p>
      <w:pPr>
        <w:pStyle w:val="Style28"/>
        <w:keepNext/>
        <w:keepLines/>
        <w:widowControl w:val="0"/>
        <w:shd w:val="clear" w:color="auto" w:fill="auto"/>
        <w:bidi w:val="0"/>
        <w:spacing w:before="0" w:after="38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6</w:t>
      </w:r>
      <w:bookmarkEnd w:id="2005"/>
      <w:r>
        <w:rPr>
          <w:color w:val="000000"/>
          <w:spacing w:val="0"/>
          <w:w w:val="100"/>
          <w:position w:val="0"/>
        </w:rPr>
        <w:t>、关联方应收应付款项</w:t>
      </w:r>
      <w:bookmarkEnd w:id="2003"/>
      <w:bookmarkEnd w:id="2004"/>
      <w:bookmarkEnd w:id="2006"/>
    </w:p>
    <w:p>
      <w:pPr>
        <w:pStyle w:val="Style38"/>
        <w:keepNext/>
        <w:keepLines/>
        <w:widowControl w:val="0"/>
        <w:shd w:val="clear" w:color="auto" w:fill="auto"/>
        <w:bidi w:val="0"/>
        <w:spacing w:before="0" w:line="240" w:lineRule="auto"/>
        <w:ind w:left="0" w:right="0" w:firstLine="0"/>
        <w:jc w:val="left"/>
      </w:pPr>
      <w:bookmarkStart w:id="2007" w:name="bookmark2007"/>
      <w:bookmarkStart w:id="2008" w:name="bookmark2008"/>
      <w:bookmarkStart w:id="2009" w:name="bookmark20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07"/>
      <w:bookmarkEnd w:id="2008"/>
      <w:bookmarkEnd w:id="200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3542"/>
        <w:gridCol w:w="1277"/>
        <w:gridCol w:w="1133"/>
        <w:gridCol w:w="1277"/>
        <w:gridCol w:w="12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1,850,104.94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185,010.49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3,637,163.17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181,858.16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浙江银创教育宝科技有限公司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交通宝互联网技术有限公司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76,832.85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城市宝互联网技术有限公司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1,535,021.76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76,751.09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2,765,943.39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276,594.34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智谷创业园有限公司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杭州攻壳科技有限公司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3,912,940.00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3,912,940.00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195,647.00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杭州思言信息技术有限公司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江苏谷德运维信息技术有限公司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483,678.73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763,678.73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38,183.94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银川银戈信息技术有限公司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5,996,981.14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599,698.11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5,996,981.14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浙江镭蒙机器人技术有限公司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杭州创享互联网技术有限公司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2,929,459.65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184,715.66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764,853.62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76,485.36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中视新影（杭州）文化传媒有限公司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94,339.63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厦门银江智慧城市技术股份有限公司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2,767,283.50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北京银江瑞讯科技有限公司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9,272,211.85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城市宝互联网技术有限公司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228,168.53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江苏谷德运维信息技术有限公司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青岛银云互联网技术有限公司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2,233,171.78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2,150,755.99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472,148.53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浙江银江云计算技术有限公司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1,017,878.00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山东博安智能科技股份有限公司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147,370.04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浙江辰时科技集团有限公司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716,850.28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浙江贤谷互联网技术有限公司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448,250.75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44,825.08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浙江银创旅游宝科技有限公司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74,267.50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3,713.38</w:t>
            </w:r>
          </w:p>
        </w:tc>
      </w:tr>
    </w:tbl>
    <w:p>
      <w:pPr>
        <w:spacing w:lineRule="exact" w:line="1"/>
        <w:rPr>
          <w:sz w:val="2"/>
          <w:szCs w:val="2"/>
        </w:rPr>
      </w:pPr>
      <w:r>
        <w:br w:type="page"/>
      </w:r>
    </w:p>
    <w:tbl>
      <w:tblPr>
        <w:tblOverlap w:val="never"/>
        <w:jc w:val="center"/>
        <w:tblLayout w:type="fixed"/>
      </w:tblPr>
      <w:tblGrid>
        <w:gridCol w:w="1142"/>
        <w:gridCol w:w="3542"/>
        <w:gridCol w:w="1277"/>
        <w:gridCol w:w="1133"/>
        <w:gridCol w:w="1277"/>
        <w:gridCol w:w="12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福桥保险经纪股份有限公司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浙江银江云计算技术有限公司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浙江万朋教育科技股份有限公司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24,501,814.27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1,225,090.71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杭州动享互联网技术有限公司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孔桦桦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310,704.91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166,026.39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81,171.09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韩振兴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46,858.00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2,342.90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2010" w:name="bookmark2010"/>
      <w:bookmarkStart w:id="2011" w:name="bookmark2011"/>
      <w:bookmarkStart w:id="2012" w:name="bookmark20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10"/>
      <w:bookmarkEnd w:id="2011"/>
      <w:bookmarkEnd w:id="201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3648"/>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北京欧迈特科技股份有限公司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杭州银江医联网技术股份有限公司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149,558.80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交通宝互联网技术有限公司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112,833.71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1,995,540.71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浙江中网智慧水务科技有限公司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1,761,711.00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1,761,711.00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杭州动享互联网技术有限公司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杭州天迈网络有限公司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545,032.25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杭州优橙科技有限公司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1,380,261.49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9,033,302.42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浙江银创教育宝科技有限公司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浙江银创旅游宝科技有限公司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440,887.50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519,655.00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重庆市银江国超科技有限公司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786,610.08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2,364,337.18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北京银江瑞讯科技有限公司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24,000,366.03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杭州叙简科技股份有限公司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188,055.83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湖南欧迈特网络科技有限公司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133,505.00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青岛银云互联网技术有限公司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564,891.25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厦门银江智慧城市技术股份有限公司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2,084,832.32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212,502.81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4,194,001.87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银川银戈信息技术有限公司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2,544,062.36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潍坊城市云网络科技有限公司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641,660.04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银江科技集团有限公司工会委员会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浙江印享文化传播有限公司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福州银江智慧城市信息技术有限公司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40,461.13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3648"/>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杭州叙简科技股份有限公司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580,796.43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杭州动享互联网技术有限公司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35,846.47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65,322.33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杭州清普信息技术有限公司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浙江中网智慧水务科技有限公司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杭州银江医联网技术股份有限公司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北京欧迈特科技股份有限公司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杭州天迈网络有限公司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114,227.36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杭州英杰电子有限公司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潍坊城市云网络科技有限公司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浙江银创教育宝科技有限公司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杭州安恒信息技术股份有限公司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杭州优橙科技有限公司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166,396.00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银江科技集团有限公司工会委员会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江苏谷德运维信息技术有限公司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美国华人执业医生网络医院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324,582.54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张芸芸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19,319.40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秦俊峰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tabs>
          <w:tab w:pos="373" w:val="left"/>
        </w:tabs>
        <w:bidi w:val="0"/>
        <w:spacing w:before="0" w:after="36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7</w:t>
      </w:r>
      <w:bookmarkEnd w:id="2015"/>
      <w:r>
        <w:rPr>
          <w:color w:val="000000"/>
          <w:spacing w:val="0"/>
          <w:w w:val="100"/>
          <w:position w:val="0"/>
        </w:rPr>
        <w:t>、</w:t>
        <w:tab/>
        <w:t>关联方承诺</w:t>
      </w:r>
      <w:bookmarkEnd w:id="2013"/>
      <w:bookmarkEnd w:id="2014"/>
      <w:bookmarkEnd w:id="2016"/>
    </w:p>
    <w:p>
      <w:pPr>
        <w:pStyle w:val="Style28"/>
        <w:keepNext/>
        <w:keepLines/>
        <w:widowControl w:val="0"/>
        <w:shd w:val="clear" w:color="auto" w:fill="auto"/>
        <w:tabs>
          <w:tab w:pos="378" w:val="left"/>
        </w:tabs>
        <w:bidi w:val="0"/>
        <w:spacing w:before="0" w:after="36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8</w:t>
      </w:r>
      <w:bookmarkEnd w:id="2019"/>
      <w:r>
        <w:rPr>
          <w:color w:val="000000"/>
          <w:spacing w:val="0"/>
          <w:w w:val="100"/>
          <w:position w:val="0"/>
        </w:rPr>
        <w:t>、</w:t>
        <w:tab/>
        <w:t>其他</w:t>
      </w:r>
      <w:bookmarkEnd w:id="2017"/>
      <w:bookmarkEnd w:id="2018"/>
      <w:bookmarkEnd w:id="2020"/>
    </w:p>
    <w:p>
      <w:pPr>
        <w:pStyle w:val="Style21"/>
        <w:keepNext/>
        <w:keepLines/>
        <w:widowControl w:val="0"/>
        <w:shd w:val="clear" w:color="auto" w:fill="auto"/>
        <w:bidi w:val="0"/>
        <w:spacing w:before="0" w:line="240" w:lineRule="auto"/>
        <w:ind w:left="0" w:right="0" w:firstLine="0"/>
        <w:jc w:val="left"/>
      </w:pPr>
      <w:bookmarkStart w:id="2021" w:name="bookmark2021"/>
      <w:bookmarkStart w:id="2022" w:name="bookmark2022"/>
      <w:bookmarkStart w:id="2023" w:name="bookmark2023"/>
      <w:r>
        <w:rPr>
          <w:color w:val="000000"/>
          <w:spacing w:val="0"/>
          <w:w w:val="100"/>
          <w:position w:val="0"/>
        </w:rPr>
        <w:t>十三、股份支付</w:t>
      </w:r>
      <w:bookmarkEnd w:id="2021"/>
      <w:bookmarkEnd w:id="2022"/>
      <w:bookmarkEnd w:id="2023"/>
    </w:p>
    <w:p>
      <w:pPr>
        <w:pStyle w:val="Style28"/>
        <w:keepNext/>
        <w:keepLines/>
        <w:widowControl w:val="0"/>
        <w:shd w:val="clear" w:color="auto" w:fill="auto"/>
        <w:bidi w:val="0"/>
        <w:spacing w:before="0" w:after="360" w:line="240" w:lineRule="auto"/>
        <w:ind w:left="0" w:right="0" w:firstLine="0"/>
        <w:jc w:val="left"/>
      </w:pPr>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24"/>
      <w:bookmarkEnd w:id="2025"/>
      <w:bookmarkEnd w:id="202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23,193,400.00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6,958,020.00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7.55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r>
    </w:tbl>
    <w:tbl>
      <w:tblPr>
        <w:tblOverlap w:val="never"/>
        <w:jc w:val="center"/>
        <w:tblLayout w:type="fixed"/>
      </w:tblPr>
      <w:tblGrid>
        <w:gridCol w:w="5462"/>
        <w:gridCol w:w="412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其他说明</w:t>
      </w:r>
    </w:p>
    <w:p>
      <w:pPr>
        <w:pStyle w:val="Style25"/>
        <w:keepNext w:val="0"/>
        <w:keepLines w:val="0"/>
        <w:widowControl w:val="0"/>
        <w:shd w:val="clear" w:color="auto" w:fill="auto"/>
        <w:tabs>
          <w:tab w:pos="651" w:val="left"/>
        </w:tabs>
        <w:bidi w:val="0"/>
        <w:spacing w:before="0" w:after="0" w:line="315" w:lineRule="exact"/>
        <w:ind w:left="0" w:right="0"/>
        <w:jc w:val="both"/>
      </w:pPr>
      <w:bookmarkStart w:id="2027" w:name="bookmark2027"/>
      <w:r>
        <w:rPr>
          <w:color w:val="000000"/>
          <w:spacing w:val="0"/>
          <w:w w:val="100"/>
          <w:position w:val="0"/>
          <w:sz w:val="18"/>
          <w:szCs w:val="18"/>
        </w:rPr>
        <w:t>1</w:t>
      </w:r>
      <w:bookmarkEnd w:id="2027"/>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日，公司召开第五届董事会第十四次会议，审议通过了《关于〈银江技术股份有限公司</w:t>
      </w:r>
      <w:r>
        <w:rPr>
          <w:color w:val="000000"/>
          <w:spacing w:val="0"/>
          <w:w w:val="100"/>
          <w:position w:val="0"/>
          <w:sz w:val="18"/>
          <w:szCs w:val="18"/>
        </w:rPr>
        <w:t>2021</w:t>
      </w:r>
      <w:r>
        <w:rPr>
          <w:color w:val="000000"/>
          <w:spacing w:val="0"/>
          <w:w w:val="100"/>
          <w:position w:val="0"/>
        </w:rPr>
        <w:t>年股票期权 激励计划（草案）〉及其摘要的议案》、《关于〈银江技术股份有限公司</w:t>
      </w:r>
      <w:r>
        <w:rPr>
          <w:color w:val="000000"/>
          <w:spacing w:val="0"/>
          <w:w w:val="100"/>
          <w:position w:val="0"/>
          <w:sz w:val="18"/>
          <w:szCs w:val="18"/>
        </w:rPr>
        <w:t>2021</w:t>
      </w:r>
      <w:r>
        <w:rPr>
          <w:color w:val="000000"/>
          <w:spacing w:val="0"/>
          <w:w w:val="100"/>
          <w:position w:val="0"/>
        </w:rPr>
        <w:t>年股票期权激励计划实施考核管理办法〉的议案》、</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《关于提请股东大会授权董事会办理公司</w:t>
      </w:r>
      <w:r>
        <w:rPr>
          <w:color w:val="000000"/>
          <w:spacing w:val="0"/>
          <w:w w:val="100"/>
          <w:position w:val="0"/>
          <w:sz w:val="18"/>
          <w:szCs w:val="18"/>
        </w:rPr>
        <w:t>2021</w:t>
      </w:r>
      <w:r>
        <w:rPr>
          <w:color w:val="000000"/>
          <w:spacing w:val="0"/>
          <w:w w:val="100"/>
          <w:position w:val="0"/>
        </w:rPr>
        <w:t>年股票期权激励计划有关事项的议案》、《关于召开</w:t>
      </w:r>
      <w:r>
        <w:rPr>
          <w:color w:val="000000"/>
          <w:spacing w:val="0"/>
          <w:w w:val="100"/>
          <w:position w:val="0"/>
          <w:sz w:val="18"/>
          <w:szCs w:val="18"/>
        </w:rPr>
        <w:t>2021</w:t>
      </w:r>
      <w:r>
        <w:rPr>
          <w:color w:val="000000"/>
          <w:spacing w:val="0"/>
          <w:w w:val="100"/>
          <w:position w:val="0"/>
        </w:rPr>
        <w:t>年第四次临时股东大 会的议案》，公司独立董事对本次激励计划及其他相关议案发表了独立意见。</w:t>
      </w:r>
    </w:p>
    <w:p>
      <w:pPr>
        <w:pStyle w:val="Style25"/>
        <w:keepNext w:val="0"/>
        <w:keepLines w:val="0"/>
        <w:widowControl w:val="0"/>
        <w:shd w:val="clear" w:color="auto" w:fill="auto"/>
        <w:tabs>
          <w:tab w:pos="651" w:val="left"/>
        </w:tabs>
        <w:bidi w:val="0"/>
        <w:spacing w:before="0" w:after="0" w:line="315" w:lineRule="exact"/>
        <w:ind w:left="0" w:right="0"/>
        <w:jc w:val="both"/>
      </w:pPr>
      <w:bookmarkStart w:id="2028" w:name="bookmark2028"/>
      <w:r>
        <w:rPr>
          <w:color w:val="000000"/>
          <w:spacing w:val="0"/>
          <w:w w:val="100"/>
          <w:position w:val="0"/>
          <w:sz w:val="18"/>
          <w:szCs w:val="18"/>
        </w:rPr>
        <w:t>2</w:t>
      </w:r>
      <w:bookmarkEnd w:id="2028"/>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日，公司召开第五届监事会第十三次会议，审议通过了《关于〈银江技术股份有限公司</w:t>
      </w:r>
      <w:r>
        <w:rPr>
          <w:color w:val="000000"/>
          <w:spacing w:val="0"/>
          <w:w w:val="100"/>
          <w:position w:val="0"/>
          <w:sz w:val="18"/>
          <w:szCs w:val="18"/>
        </w:rPr>
        <w:t>2021</w:t>
      </w:r>
      <w:r>
        <w:rPr>
          <w:color w:val="000000"/>
          <w:spacing w:val="0"/>
          <w:w w:val="100"/>
          <w:position w:val="0"/>
        </w:rPr>
        <w:t>年股票期权 激励计划（草案）〉及其摘要的议案》、《关于〈银江技术股份有限公司</w:t>
      </w:r>
      <w:r>
        <w:rPr>
          <w:color w:val="000000"/>
          <w:spacing w:val="0"/>
          <w:w w:val="100"/>
          <w:position w:val="0"/>
          <w:sz w:val="18"/>
          <w:szCs w:val="18"/>
        </w:rPr>
        <w:t>2021</w:t>
      </w:r>
      <w:r>
        <w:rPr>
          <w:color w:val="000000"/>
          <w:spacing w:val="0"/>
          <w:w w:val="100"/>
          <w:position w:val="0"/>
        </w:rPr>
        <w:t>年股票期权激励计划实施考核管理办法〉的议案》、</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《关于〈银江技术股份有限公司</w:t>
      </w:r>
      <w:r>
        <w:rPr>
          <w:color w:val="000000"/>
          <w:spacing w:val="0"/>
          <w:w w:val="100"/>
          <w:position w:val="0"/>
          <w:sz w:val="18"/>
          <w:szCs w:val="18"/>
        </w:rPr>
        <w:t>2021</w:t>
      </w:r>
      <w:r>
        <w:rPr>
          <w:color w:val="000000"/>
          <w:spacing w:val="0"/>
          <w:w w:val="100"/>
          <w:position w:val="0"/>
        </w:rPr>
        <w:t>年股票期权激励计划首次授予激励对象名单〉的议案》。</w:t>
      </w:r>
    </w:p>
    <w:p>
      <w:pPr>
        <w:pStyle w:val="Style25"/>
        <w:keepNext w:val="0"/>
        <w:keepLines w:val="0"/>
        <w:widowControl w:val="0"/>
        <w:shd w:val="clear" w:color="auto" w:fill="auto"/>
        <w:tabs>
          <w:tab w:pos="651" w:val="left"/>
        </w:tabs>
        <w:bidi w:val="0"/>
        <w:spacing w:before="0" w:after="0" w:line="315" w:lineRule="exact"/>
        <w:ind w:left="0" w:right="0"/>
        <w:jc w:val="both"/>
      </w:pPr>
      <w:bookmarkStart w:id="2029" w:name="bookmark2029"/>
      <w:r>
        <w:rPr>
          <w:color w:val="000000"/>
          <w:spacing w:val="0"/>
          <w:w w:val="100"/>
          <w:position w:val="0"/>
          <w:sz w:val="18"/>
          <w:szCs w:val="18"/>
        </w:rPr>
        <w:t>3</w:t>
      </w:r>
      <w:bookmarkEnd w:id="2029"/>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日，公司对授予的激励对象名单的姓名和职务在公司内部进行了公示，在公示期内， 没有任何组织或个人提出异议或不良反映。</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日，公司监事会对本次授予股票期权的激励对象名单进行了核实并 发表了《监事会关于公司</w:t>
      </w:r>
      <w:r>
        <w:rPr>
          <w:color w:val="000000"/>
          <w:spacing w:val="0"/>
          <w:w w:val="100"/>
          <w:position w:val="0"/>
          <w:sz w:val="18"/>
          <w:szCs w:val="18"/>
        </w:rPr>
        <w:t>2021</w:t>
      </w:r>
      <w:r>
        <w:rPr>
          <w:color w:val="000000"/>
          <w:spacing w:val="0"/>
          <w:w w:val="100"/>
          <w:position w:val="0"/>
        </w:rPr>
        <w:t>年股票期权激励计划首次授予激励对象名单的审核意见及公示情况说明》。</w:t>
      </w:r>
    </w:p>
    <w:p>
      <w:pPr>
        <w:pStyle w:val="Style25"/>
        <w:keepNext w:val="0"/>
        <w:keepLines w:val="0"/>
        <w:widowControl w:val="0"/>
        <w:shd w:val="clear" w:color="auto" w:fill="auto"/>
        <w:tabs>
          <w:tab w:pos="651" w:val="left"/>
        </w:tabs>
        <w:bidi w:val="0"/>
        <w:spacing w:before="0" w:after="0" w:line="315" w:lineRule="exact"/>
        <w:ind w:left="0" w:right="0"/>
        <w:jc w:val="both"/>
      </w:pPr>
      <w:bookmarkStart w:id="2030" w:name="bookmark2030"/>
      <w:r>
        <w:rPr>
          <w:color w:val="000000"/>
          <w:spacing w:val="0"/>
          <w:w w:val="100"/>
          <w:position w:val="0"/>
          <w:sz w:val="18"/>
          <w:szCs w:val="18"/>
        </w:rPr>
        <w:t>4</w:t>
      </w:r>
      <w:bookmarkEnd w:id="2030"/>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年第四次临时股东大会，审议通过了《关于〈银江技术股份有限公司</w:t>
      </w:r>
      <w:r>
        <w:rPr>
          <w:color w:val="000000"/>
          <w:spacing w:val="0"/>
          <w:w w:val="100"/>
          <w:position w:val="0"/>
          <w:sz w:val="18"/>
          <w:szCs w:val="18"/>
        </w:rPr>
        <w:t>2021</w:t>
      </w:r>
      <w:r>
        <w:rPr>
          <w:color w:val="000000"/>
          <w:spacing w:val="0"/>
          <w:w w:val="100"/>
          <w:position w:val="0"/>
        </w:rPr>
        <w:t>年股票期权 激励计划（草案）〉及其摘要的议案》、《关于〈银江技术股份有限公司</w:t>
      </w:r>
      <w:r>
        <w:rPr>
          <w:color w:val="000000"/>
          <w:spacing w:val="0"/>
          <w:w w:val="100"/>
          <w:position w:val="0"/>
          <w:sz w:val="18"/>
          <w:szCs w:val="18"/>
        </w:rPr>
        <w:t>2021</w:t>
      </w:r>
      <w:r>
        <w:rPr>
          <w:color w:val="000000"/>
          <w:spacing w:val="0"/>
          <w:w w:val="100"/>
          <w:position w:val="0"/>
        </w:rPr>
        <w:t>年股票期权激励计划实施考核管理办法〉的议案》、</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《关于提请股东大会授权董事会办理公司</w:t>
      </w:r>
      <w:r>
        <w:rPr>
          <w:color w:val="000000"/>
          <w:spacing w:val="0"/>
          <w:w w:val="100"/>
          <w:position w:val="0"/>
          <w:sz w:val="18"/>
          <w:szCs w:val="18"/>
        </w:rPr>
        <w:t>2021</w:t>
      </w:r>
      <w:r>
        <w:rPr>
          <w:color w:val="000000"/>
          <w:spacing w:val="0"/>
          <w:w w:val="100"/>
          <w:position w:val="0"/>
        </w:rPr>
        <w:t>年股票期权激励计划有关事项的议案》</w:t>
      </w:r>
      <w:r>
        <w:rPr>
          <w:color w:val="000000"/>
          <w:spacing w:val="0"/>
          <w:w w:val="100"/>
          <w:position w:val="0"/>
          <w:sz w:val="18"/>
          <w:szCs w:val="18"/>
        </w:rPr>
        <w:t>，</w:t>
      </w:r>
      <w:r>
        <w:rPr>
          <w:color w:val="000000"/>
          <w:spacing w:val="0"/>
          <w:w w:val="100"/>
          <w:position w:val="0"/>
        </w:rPr>
        <w:t>并披露了《关于</w:t>
      </w:r>
      <w:r>
        <w:rPr>
          <w:color w:val="000000"/>
          <w:spacing w:val="0"/>
          <w:w w:val="100"/>
          <w:position w:val="0"/>
          <w:sz w:val="18"/>
          <w:szCs w:val="18"/>
        </w:rPr>
        <w:t>2021</w:t>
      </w:r>
      <w:r>
        <w:rPr>
          <w:color w:val="000000"/>
          <w:spacing w:val="0"/>
          <w:w w:val="100"/>
          <w:position w:val="0"/>
        </w:rPr>
        <w:t>年股票期权激励 计划内幕信息知情人买卖公司股票情况的自查报告》。</w:t>
      </w:r>
    </w:p>
    <w:p>
      <w:pPr>
        <w:pStyle w:val="Style25"/>
        <w:keepNext w:val="0"/>
        <w:keepLines w:val="0"/>
        <w:widowControl w:val="0"/>
        <w:shd w:val="clear" w:color="auto" w:fill="auto"/>
        <w:tabs>
          <w:tab w:pos="656" w:val="left"/>
        </w:tabs>
        <w:bidi w:val="0"/>
        <w:spacing w:before="0" w:after="0" w:line="315" w:lineRule="exact"/>
        <w:ind w:left="0" w:right="0"/>
        <w:jc w:val="both"/>
      </w:pPr>
      <w:bookmarkStart w:id="2031" w:name="bookmark2031"/>
      <w:r>
        <w:rPr>
          <w:color w:val="000000"/>
          <w:spacing w:val="0"/>
          <w:w w:val="100"/>
          <w:position w:val="0"/>
          <w:sz w:val="18"/>
          <w:szCs w:val="18"/>
        </w:rPr>
        <w:t>5</w:t>
      </w:r>
      <w:bookmarkEnd w:id="2031"/>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日，公司分别召开第五届董事会第十五次会议和第五届监事会第十四次会议，审议通过了《关于向</w:t>
      </w:r>
      <w:r>
        <w:rPr>
          <w:color w:val="000000"/>
          <w:spacing w:val="0"/>
          <w:w w:val="100"/>
          <w:position w:val="0"/>
          <w:sz w:val="18"/>
          <w:szCs w:val="18"/>
        </w:rPr>
        <w:t xml:space="preserve">2021 </w:t>
      </w:r>
      <w:r>
        <w:rPr>
          <w:color w:val="000000"/>
          <w:spacing w:val="0"/>
          <w:w w:val="100"/>
          <w:position w:val="0"/>
        </w:rPr>
        <w:t>年股票期权激励计划激励对象首次授予股票期权的议案》</w:t>
      </w:r>
      <w:r>
        <w:rPr>
          <w:color w:val="000000"/>
          <w:spacing w:val="0"/>
          <w:w w:val="100"/>
          <w:position w:val="0"/>
          <w:sz w:val="18"/>
          <w:szCs w:val="18"/>
        </w:rPr>
        <w:t>，</w:t>
      </w:r>
      <w:r>
        <w:rPr>
          <w:color w:val="000000"/>
          <w:spacing w:val="0"/>
          <w:w w:val="100"/>
          <w:position w:val="0"/>
        </w:rPr>
        <w:t>确定以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日作为激励计划的首次授予日，向符合条件 的</w:t>
      </w:r>
      <w:r>
        <w:rPr>
          <w:color w:val="000000"/>
          <w:spacing w:val="0"/>
          <w:w w:val="100"/>
          <w:position w:val="0"/>
          <w:sz w:val="18"/>
          <w:szCs w:val="18"/>
        </w:rPr>
        <w:t>247</w:t>
      </w:r>
      <w:r>
        <w:rPr>
          <w:color w:val="000000"/>
          <w:spacing w:val="0"/>
          <w:w w:val="100"/>
          <w:position w:val="0"/>
        </w:rPr>
        <w:t>名激励对象授予</w:t>
      </w:r>
      <w:r>
        <w:rPr>
          <w:color w:val="000000"/>
          <w:spacing w:val="0"/>
          <w:w w:val="100"/>
          <w:position w:val="0"/>
          <w:sz w:val="18"/>
          <w:szCs w:val="18"/>
        </w:rPr>
        <w:t>1472</w:t>
      </w:r>
      <w:r>
        <w:rPr>
          <w:color w:val="000000"/>
          <w:spacing w:val="0"/>
          <w:w w:val="100"/>
          <w:position w:val="0"/>
        </w:rPr>
        <w:t>万份股票期权。公司独立董事对相关事项发表了独立意见。</w:t>
      </w:r>
    </w:p>
    <w:p>
      <w:pPr>
        <w:pStyle w:val="Style25"/>
        <w:keepNext w:val="0"/>
        <w:keepLines w:val="0"/>
        <w:widowControl w:val="0"/>
        <w:shd w:val="clear" w:color="auto" w:fill="auto"/>
        <w:tabs>
          <w:tab w:pos="651" w:val="left"/>
        </w:tabs>
        <w:bidi w:val="0"/>
        <w:spacing w:before="0" w:after="0" w:line="315" w:lineRule="exact"/>
        <w:ind w:left="0" w:right="0"/>
        <w:jc w:val="both"/>
      </w:pPr>
      <w:bookmarkStart w:id="2032" w:name="bookmark2032"/>
      <w:r>
        <w:rPr>
          <w:color w:val="000000"/>
          <w:spacing w:val="0"/>
          <w:w w:val="100"/>
          <w:position w:val="0"/>
          <w:sz w:val="18"/>
          <w:szCs w:val="18"/>
        </w:rPr>
        <w:t>6</w:t>
      </w:r>
      <w:bookmarkEnd w:id="2032"/>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日，公司分别召开第五届董事会第十六次会议和第五届监事会第十五次会议，审议通过了《关于调整 公司</w:t>
      </w:r>
      <w:r>
        <w:rPr>
          <w:color w:val="000000"/>
          <w:spacing w:val="0"/>
          <w:w w:val="100"/>
          <w:position w:val="0"/>
          <w:sz w:val="18"/>
          <w:szCs w:val="18"/>
        </w:rPr>
        <w:t>2021</w:t>
      </w:r>
      <w:r>
        <w:rPr>
          <w:color w:val="000000"/>
          <w:spacing w:val="0"/>
          <w:w w:val="100"/>
          <w:position w:val="0"/>
        </w:rPr>
        <w:t>年股票期权激励计划授予激励对象名单及授予数量的议案》，鉴于公司董事会确定本激励计划的首次授予日后股票 期权登记前，</w:t>
      </w:r>
      <w:r>
        <w:rPr>
          <w:color w:val="000000"/>
          <w:spacing w:val="0"/>
          <w:w w:val="100"/>
          <w:position w:val="0"/>
          <w:sz w:val="18"/>
          <w:szCs w:val="18"/>
        </w:rPr>
        <w:t>11</w:t>
      </w:r>
      <w:r>
        <w:rPr>
          <w:color w:val="000000"/>
          <w:spacing w:val="0"/>
          <w:w w:val="100"/>
          <w:position w:val="0"/>
        </w:rPr>
        <w:t>名激励对象因个人原因离职或自愿放弃而失去激励资格，公司对授予激励对象名单及授予数量进行调整，首 次授予激励对象人数由</w:t>
      </w:r>
      <w:r>
        <w:rPr>
          <w:color w:val="000000"/>
          <w:spacing w:val="0"/>
          <w:w w:val="100"/>
          <w:position w:val="0"/>
          <w:sz w:val="18"/>
          <w:szCs w:val="18"/>
        </w:rPr>
        <w:t>247</w:t>
      </w:r>
      <w:r>
        <w:rPr>
          <w:color w:val="000000"/>
          <w:spacing w:val="0"/>
          <w:w w:val="100"/>
          <w:position w:val="0"/>
        </w:rPr>
        <w:t>人调整为</w:t>
      </w:r>
      <w:r>
        <w:rPr>
          <w:color w:val="000000"/>
          <w:spacing w:val="0"/>
          <w:w w:val="100"/>
          <w:position w:val="0"/>
          <w:sz w:val="18"/>
          <w:szCs w:val="18"/>
        </w:rPr>
        <w:t>236</w:t>
      </w:r>
      <w:r>
        <w:rPr>
          <w:color w:val="000000"/>
          <w:spacing w:val="0"/>
          <w:w w:val="100"/>
          <w:position w:val="0"/>
        </w:rPr>
        <w:t>人，首次授予的股票期权数量由</w:t>
      </w:r>
      <w:r>
        <w:rPr>
          <w:color w:val="000000"/>
          <w:spacing w:val="0"/>
          <w:w w:val="100"/>
          <w:position w:val="0"/>
          <w:sz w:val="18"/>
          <w:szCs w:val="18"/>
        </w:rPr>
        <w:t>1472</w:t>
      </w:r>
      <w:r>
        <w:rPr>
          <w:color w:val="000000"/>
          <w:spacing w:val="0"/>
          <w:w w:val="100"/>
          <w:position w:val="0"/>
        </w:rPr>
        <w:t>万份调整为</w:t>
      </w:r>
      <w:r>
        <w:rPr>
          <w:color w:val="000000"/>
          <w:spacing w:val="0"/>
          <w:w w:val="100"/>
          <w:position w:val="0"/>
          <w:sz w:val="18"/>
          <w:szCs w:val="18"/>
        </w:rPr>
        <w:t>1447</w:t>
      </w:r>
      <w:r>
        <w:rPr>
          <w:color w:val="000000"/>
          <w:spacing w:val="0"/>
          <w:w w:val="100"/>
          <w:position w:val="0"/>
        </w:rPr>
        <w:t>万份，预留的股票期权数量由</w:t>
      </w:r>
      <w:r>
        <w:rPr>
          <w:color w:val="000000"/>
          <w:spacing w:val="0"/>
          <w:w w:val="100"/>
          <w:position w:val="0"/>
          <w:sz w:val="18"/>
          <w:szCs w:val="18"/>
        </w:rPr>
        <w:t xml:space="preserve">300 </w:t>
      </w:r>
      <w:r>
        <w:rPr>
          <w:color w:val="000000"/>
          <w:spacing w:val="0"/>
          <w:w w:val="100"/>
          <w:position w:val="0"/>
        </w:rPr>
        <w:t>万份调整为</w:t>
      </w:r>
      <w:r>
        <w:rPr>
          <w:color w:val="000000"/>
          <w:spacing w:val="0"/>
          <w:w w:val="100"/>
          <w:position w:val="0"/>
          <w:sz w:val="18"/>
          <w:szCs w:val="18"/>
        </w:rPr>
        <w:t>325</w:t>
      </w:r>
      <w:r>
        <w:rPr>
          <w:color w:val="000000"/>
          <w:spacing w:val="0"/>
          <w:w w:val="100"/>
          <w:position w:val="0"/>
        </w:rPr>
        <w:t>万份，授予总量不变。公司独立董事对此发表了同意的独立意见。</w:t>
      </w:r>
    </w:p>
    <w:p>
      <w:pPr>
        <w:pStyle w:val="Style25"/>
        <w:keepNext w:val="0"/>
        <w:keepLines w:val="0"/>
        <w:widowControl w:val="0"/>
        <w:shd w:val="clear" w:color="auto" w:fill="auto"/>
        <w:tabs>
          <w:tab w:pos="651" w:val="left"/>
        </w:tabs>
        <w:bidi w:val="0"/>
        <w:spacing w:before="0" w:after="0" w:line="315" w:lineRule="exact"/>
        <w:ind w:left="0" w:right="0"/>
        <w:jc w:val="both"/>
      </w:pPr>
      <w:bookmarkStart w:id="2033" w:name="bookmark2033"/>
      <w:r>
        <w:rPr>
          <w:color w:val="000000"/>
          <w:spacing w:val="0"/>
          <w:w w:val="100"/>
          <w:position w:val="0"/>
          <w:sz w:val="18"/>
          <w:szCs w:val="18"/>
        </w:rPr>
        <w:t>7</w:t>
      </w:r>
      <w:bookmarkEnd w:id="2033"/>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日，公司分别召开第五届董事会第十七次会议和第五届监事会第十六次会议，审议通过了《关于调整 公司</w:t>
      </w:r>
      <w:r>
        <w:rPr>
          <w:color w:val="000000"/>
          <w:spacing w:val="0"/>
          <w:w w:val="100"/>
          <w:position w:val="0"/>
          <w:sz w:val="18"/>
          <w:szCs w:val="18"/>
        </w:rPr>
        <w:t>2021</w:t>
      </w:r>
      <w:r>
        <w:rPr>
          <w:color w:val="000000"/>
          <w:spacing w:val="0"/>
          <w:w w:val="100"/>
          <w:position w:val="0"/>
        </w:rPr>
        <w:t>年股票期权激励计划授予数量的议案》</w:t>
      </w:r>
      <w:r>
        <w:rPr>
          <w:color w:val="000000"/>
          <w:spacing w:val="0"/>
          <w:w w:val="100"/>
          <w:position w:val="0"/>
          <w:sz w:val="18"/>
          <w:szCs w:val="18"/>
        </w:rPr>
        <w:t>，</w:t>
      </w:r>
      <w:r>
        <w:rPr>
          <w:color w:val="000000"/>
          <w:spacing w:val="0"/>
          <w:w w:val="100"/>
          <w:position w:val="0"/>
        </w:rPr>
        <w:t>将预留的股票期权数量由</w:t>
      </w:r>
      <w:r>
        <w:rPr>
          <w:color w:val="000000"/>
          <w:spacing w:val="0"/>
          <w:w w:val="100"/>
          <w:position w:val="0"/>
          <w:sz w:val="18"/>
          <w:szCs w:val="18"/>
        </w:rPr>
        <w:t>325</w:t>
      </w:r>
      <w:r>
        <w:rPr>
          <w:color w:val="000000"/>
          <w:spacing w:val="0"/>
          <w:w w:val="100"/>
          <w:position w:val="0"/>
        </w:rPr>
        <w:t>万份调整为</w:t>
      </w:r>
      <w:r>
        <w:rPr>
          <w:color w:val="000000"/>
          <w:spacing w:val="0"/>
          <w:w w:val="100"/>
          <w:position w:val="0"/>
          <w:sz w:val="18"/>
          <w:szCs w:val="18"/>
        </w:rPr>
        <w:t>300</w:t>
      </w:r>
      <w:r>
        <w:rPr>
          <w:color w:val="000000"/>
          <w:spacing w:val="0"/>
          <w:w w:val="100"/>
          <w:position w:val="0"/>
        </w:rPr>
        <w:t xml:space="preserve">万份，首次授予激励对象人数 </w:t>
      </w:r>
      <w:r>
        <w:rPr>
          <w:color w:val="000000"/>
          <w:spacing w:val="0"/>
          <w:w w:val="100"/>
          <w:position w:val="0"/>
          <w:sz w:val="18"/>
          <w:szCs w:val="18"/>
        </w:rPr>
        <w:t>236</w:t>
      </w:r>
      <w:r>
        <w:rPr>
          <w:color w:val="000000"/>
          <w:spacing w:val="0"/>
          <w:w w:val="100"/>
          <w:position w:val="0"/>
        </w:rPr>
        <w:t>人、首次授予的股票期权数量</w:t>
      </w:r>
      <w:r>
        <w:rPr>
          <w:color w:val="000000"/>
          <w:spacing w:val="0"/>
          <w:w w:val="100"/>
          <w:position w:val="0"/>
          <w:sz w:val="18"/>
          <w:szCs w:val="18"/>
        </w:rPr>
        <w:t>1447</w:t>
      </w:r>
      <w:r>
        <w:rPr>
          <w:color w:val="000000"/>
          <w:spacing w:val="0"/>
          <w:w w:val="100"/>
          <w:position w:val="0"/>
        </w:rPr>
        <w:t>万份保持不变，授予总量由</w:t>
      </w:r>
      <w:r>
        <w:rPr>
          <w:color w:val="000000"/>
          <w:spacing w:val="0"/>
          <w:w w:val="100"/>
          <w:position w:val="0"/>
          <w:sz w:val="18"/>
          <w:szCs w:val="18"/>
        </w:rPr>
        <w:t>1772</w:t>
      </w:r>
      <w:r>
        <w:rPr>
          <w:color w:val="000000"/>
          <w:spacing w:val="0"/>
          <w:w w:val="100"/>
          <w:position w:val="0"/>
        </w:rPr>
        <w:t>万份调整为</w:t>
      </w:r>
      <w:r>
        <w:rPr>
          <w:color w:val="000000"/>
          <w:spacing w:val="0"/>
          <w:w w:val="100"/>
          <w:position w:val="0"/>
          <w:sz w:val="18"/>
          <w:szCs w:val="18"/>
        </w:rPr>
        <w:t>1747</w:t>
      </w:r>
      <w:r>
        <w:rPr>
          <w:color w:val="000000"/>
          <w:spacing w:val="0"/>
          <w:w w:val="100"/>
          <w:position w:val="0"/>
        </w:rPr>
        <w:t>万份。公司独立董事对此发表了同意 的独立意见。</w:t>
      </w:r>
    </w:p>
    <w:p>
      <w:pPr>
        <w:pStyle w:val="Style25"/>
        <w:keepNext w:val="0"/>
        <w:keepLines w:val="0"/>
        <w:widowControl w:val="0"/>
        <w:shd w:val="clear" w:color="auto" w:fill="auto"/>
        <w:tabs>
          <w:tab w:pos="651" w:val="left"/>
        </w:tabs>
        <w:bidi w:val="0"/>
        <w:spacing w:before="0" w:after="400" w:line="315" w:lineRule="exact"/>
        <w:ind w:left="0" w:right="0"/>
        <w:jc w:val="both"/>
      </w:pPr>
      <w:bookmarkStart w:id="2034" w:name="bookmark2034"/>
      <w:r>
        <w:rPr>
          <w:color w:val="000000"/>
          <w:spacing w:val="0"/>
          <w:w w:val="100"/>
          <w:position w:val="0"/>
          <w:sz w:val="18"/>
          <w:szCs w:val="18"/>
        </w:rPr>
        <w:t>8</w:t>
      </w:r>
      <w:bookmarkEnd w:id="2034"/>
      <w:r>
        <w:rPr>
          <w:color w:val="000000"/>
          <w:spacing w:val="0"/>
          <w:w w:val="100"/>
          <w:position w:val="0"/>
        </w:rPr>
        <w:t>、</w:t>
        <w:tab/>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日，公司第四期股票期权激励计划经深圳证券交易所、中国证券登记结算有限责任公司深圳分公司审核 确认，银江股份有限公司（以下简称“公司”</w:t>
      </w:r>
      <w:r>
        <w:rPr>
          <w:color w:val="000000"/>
          <w:spacing w:val="0"/>
          <w:w w:val="100"/>
          <w:position w:val="0"/>
          <w:sz w:val="18"/>
          <w:szCs w:val="18"/>
        </w:rPr>
        <w:t>）</w:t>
      </w:r>
      <w:r>
        <w:rPr>
          <w:color w:val="000000"/>
          <w:spacing w:val="0"/>
          <w:w w:val="100"/>
          <w:position w:val="0"/>
        </w:rPr>
        <w:t>已完成《</w:t>
      </w:r>
      <w:r>
        <w:rPr>
          <w:color w:val="000000"/>
          <w:spacing w:val="0"/>
          <w:w w:val="100"/>
          <w:position w:val="0"/>
          <w:sz w:val="18"/>
          <w:szCs w:val="18"/>
        </w:rPr>
        <w:t>2021</w:t>
      </w:r>
      <w:r>
        <w:rPr>
          <w:color w:val="000000"/>
          <w:spacing w:val="0"/>
          <w:w w:val="100"/>
          <w:position w:val="0"/>
        </w:rPr>
        <w:t>年股票期权激励计划（草案）》股票期权的授予登记工作，期 权简称：银江</w:t>
      </w:r>
      <w:r>
        <w:rPr>
          <w:color w:val="000000"/>
          <w:spacing w:val="0"/>
          <w:w w:val="100"/>
          <w:position w:val="0"/>
          <w:sz w:val="18"/>
          <w:szCs w:val="18"/>
        </w:rPr>
        <w:t>JLC4</w:t>
      </w:r>
      <w:r>
        <w:rPr>
          <w:color w:val="000000"/>
          <w:spacing w:val="0"/>
          <w:w w:val="100"/>
          <w:position w:val="0"/>
        </w:rPr>
        <w:t>，期权代码：</w:t>
      </w:r>
      <w:r>
        <w:rPr>
          <w:color w:val="000000"/>
          <w:spacing w:val="0"/>
          <w:w w:val="100"/>
          <w:position w:val="0"/>
          <w:sz w:val="18"/>
          <w:szCs w:val="18"/>
        </w:rPr>
        <w:t>036479</w:t>
      </w:r>
      <w:r>
        <w:rPr>
          <w:color w:val="000000"/>
          <w:spacing w:val="0"/>
          <w:w w:val="100"/>
          <w:position w:val="0"/>
        </w:rPr>
        <w:t>。</w:t>
      </w:r>
    </w:p>
    <w:p>
      <w:pPr>
        <w:pStyle w:val="Style28"/>
        <w:keepNext/>
        <w:keepLines/>
        <w:widowControl w:val="0"/>
        <w:shd w:val="clear" w:color="auto" w:fill="auto"/>
        <w:bidi w:val="0"/>
        <w:spacing w:before="0" w:after="280" w:line="240" w:lineRule="auto"/>
        <w:ind w:left="0" w:right="0" w:firstLine="0"/>
        <w:jc w:val="left"/>
      </w:pPr>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35"/>
      <w:bookmarkEnd w:id="2036"/>
      <w:bookmarkEnd w:id="2037"/>
    </w:p>
    <w:p>
      <w:pPr>
        <w:pStyle w:val="Style25"/>
        <w:keepNext w:val="0"/>
        <w:keepLines w:val="0"/>
        <w:widowControl w:val="0"/>
        <w:shd w:val="clear" w:color="auto" w:fill="auto"/>
        <w:bidi w:val="0"/>
        <w:spacing w:before="0" w:after="14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570,118.00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570,118.00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3</w:t>
      </w:r>
      <w:bookmarkEnd w:id="2040"/>
      <w:r>
        <w:rPr>
          <w:color w:val="000000"/>
          <w:spacing w:val="0"/>
          <w:w w:val="100"/>
          <w:position w:val="0"/>
        </w:rPr>
        <w:t>、</w:t>
        <w:tab/>
        <w:t>以现金结算的股份支付情况</w:t>
      </w:r>
      <w:bookmarkEnd w:id="2038"/>
      <w:bookmarkEnd w:id="2039"/>
      <w:bookmarkEnd w:id="2041"/>
    </w:p>
    <w:p>
      <w:pPr>
        <w:pStyle w:val="Style28"/>
        <w:keepNext/>
        <w:keepLines/>
        <w:widowControl w:val="0"/>
        <w:shd w:val="clear" w:color="auto" w:fill="auto"/>
        <w:tabs>
          <w:tab w:pos="378" w:val="left"/>
        </w:tabs>
        <w:bidi w:val="0"/>
        <w:spacing w:before="0" w:after="36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4</w:t>
      </w:r>
      <w:bookmarkEnd w:id="2044"/>
      <w:r>
        <w:rPr>
          <w:color w:val="000000"/>
          <w:spacing w:val="0"/>
          <w:w w:val="100"/>
          <w:position w:val="0"/>
        </w:rPr>
        <w:t>、</w:t>
        <w:tab/>
        <w:t>股份支付的修改、终止情况</w:t>
      </w:r>
      <w:bookmarkEnd w:id="2042"/>
      <w:bookmarkEnd w:id="2043"/>
      <w:bookmarkEnd w:id="2045"/>
    </w:p>
    <w:p>
      <w:pPr>
        <w:pStyle w:val="Style28"/>
        <w:keepNext/>
        <w:keepLines/>
        <w:widowControl w:val="0"/>
        <w:shd w:val="clear" w:color="auto" w:fill="auto"/>
        <w:tabs>
          <w:tab w:pos="378" w:val="left"/>
        </w:tabs>
        <w:bidi w:val="0"/>
        <w:spacing w:before="0" w:after="36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5</w:t>
      </w:r>
      <w:bookmarkEnd w:id="2048"/>
      <w:r>
        <w:rPr>
          <w:color w:val="000000"/>
          <w:spacing w:val="0"/>
          <w:w w:val="100"/>
          <w:position w:val="0"/>
        </w:rPr>
        <w:t>、</w:t>
        <w:tab/>
        <w:t>其他</w:t>
      </w:r>
      <w:bookmarkEnd w:id="2046"/>
      <w:bookmarkEnd w:id="2047"/>
      <w:bookmarkEnd w:id="2049"/>
    </w:p>
    <w:p>
      <w:pPr>
        <w:pStyle w:val="Style21"/>
        <w:keepNext/>
        <w:keepLines/>
        <w:widowControl w:val="0"/>
        <w:shd w:val="clear" w:color="auto" w:fill="auto"/>
        <w:bidi w:val="0"/>
        <w:spacing w:before="0" w:line="240" w:lineRule="auto"/>
        <w:ind w:left="0" w:right="0" w:firstLine="0"/>
        <w:jc w:val="left"/>
      </w:pPr>
      <w:bookmarkStart w:id="2050" w:name="bookmark2050"/>
      <w:bookmarkStart w:id="2051" w:name="bookmark2051"/>
      <w:bookmarkStart w:id="2052" w:name="bookmark2052"/>
      <w:r>
        <w:rPr>
          <w:color w:val="000000"/>
          <w:spacing w:val="0"/>
          <w:w w:val="100"/>
          <w:position w:val="0"/>
        </w:rPr>
        <w:t>十四、承诺及或有事项</w:t>
      </w:r>
      <w:bookmarkEnd w:id="2050"/>
      <w:bookmarkEnd w:id="2051"/>
      <w:bookmarkEnd w:id="2052"/>
    </w:p>
    <w:p>
      <w:pPr>
        <w:pStyle w:val="Style28"/>
        <w:keepNext/>
        <w:keepLines/>
        <w:widowControl w:val="0"/>
        <w:shd w:val="clear" w:color="auto" w:fill="auto"/>
        <w:tabs>
          <w:tab w:pos="368" w:val="left"/>
        </w:tabs>
        <w:bidi w:val="0"/>
        <w:spacing w:before="0" w:after="360" w:line="240" w:lineRule="auto"/>
        <w:ind w:left="0" w:right="0" w:firstLine="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1</w:t>
      </w:r>
      <w:bookmarkEnd w:id="2055"/>
      <w:r>
        <w:rPr>
          <w:color w:val="000000"/>
          <w:spacing w:val="0"/>
          <w:w w:val="100"/>
          <w:position w:val="0"/>
        </w:rPr>
        <w:t>、</w:t>
        <w:tab/>
        <w:t>重要承诺事项</w:t>
      </w:r>
      <w:bookmarkEnd w:id="2053"/>
      <w:bookmarkEnd w:id="2054"/>
      <w:bookmarkEnd w:id="205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5"/>
        <w:keepNext w:val="0"/>
        <w:keepLines w:val="0"/>
        <w:widowControl w:val="0"/>
        <w:shd w:val="clear" w:color="auto" w:fill="auto"/>
        <w:bidi w:val="0"/>
        <w:spacing w:before="0" w:after="360" w:line="240" w:lineRule="auto"/>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日，本集团无需要披露的重大承诺事项。</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2</w:t>
      </w:r>
      <w:bookmarkEnd w:id="2059"/>
      <w:r>
        <w:rPr>
          <w:color w:val="000000"/>
          <w:spacing w:val="0"/>
          <w:w w:val="100"/>
          <w:position w:val="0"/>
        </w:rPr>
        <w:t>、</w:t>
        <w:tab/>
        <w:t>或有事项</w:t>
      </w:r>
      <w:bookmarkEnd w:id="2057"/>
      <w:bookmarkEnd w:id="2058"/>
      <w:bookmarkEnd w:id="2060"/>
    </w:p>
    <w:p>
      <w:pPr>
        <w:pStyle w:val="Style38"/>
        <w:keepNext/>
        <w:keepLines/>
        <w:widowControl w:val="0"/>
        <w:shd w:val="clear" w:color="auto" w:fill="auto"/>
        <w:tabs>
          <w:tab w:pos="493" w:val="left"/>
        </w:tabs>
        <w:bidi w:val="0"/>
        <w:spacing w:before="0" w:after="360" w:line="240" w:lineRule="auto"/>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w:t>
      </w:r>
      <w:bookmarkEnd w:id="206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61"/>
      <w:bookmarkEnd w:id="2062"/>
      <w:bookmarkEnd w:id="2064"/>
    </w:p>
    <w:p>
      <w:pPr>
        <w:pStyle w:val="Style25"/>
        <w:keepNext w:val="0"/>
        <w:keepLines w:val="0"/>
        <w:widowControl w:val="0"/>
        <w:shd w:val="clear" w:color="auto" w:fill="auto"/>
        <w:bidi w:val="0"/>
        <w:spacing w:before="0" w:after="360" w:line="240" w:lineRule="auto"/>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日，本集团无需要披露的重大或有事项。</w:t>
      </w:r>
    </w:p>
    <w:p>
      <w:pPr>
        <w:pStyle w:val="Style38"/>
        <w:keepNext/>
        <w:keepLines/>
        <w:widowControl w:val="0"/>
        <w:shd w:val="clear" w:color="auto" w:fill="auto"/>
        <w:tabs>
          <w:tab w:pos="493" w:val="left"/>
        </w:tabs>
        <w:bidi w:val="0"/>
        <w:spacing w:before="0" w:after="360" w:line="240" w:lineRule="auto"/>
        <w:ind w:left="0" w:right="0" w:firstLine="0"/>
        <w:jc w:val="left"/>
      </w:pPr>
      <w:bookmarkStart w:id="2065" w:name="bookmark2065"/>
      <w:bookmarkStart w:id="2066" w:name="bookmark2066"/>
      <w:bookmarkStart w:id="2067" w:name="bookmark2067"/>
      <w:bookmarkStart w:id="2068" w:name="bookmark2068"/>
      <w:r>
        <w:rPr>
          <w:color w:val="000000"/>
          <w:spacing w:val="0"/>
          <w:w w:val="100"/>
          <w:position w:val="0"/>
        </w:rPr>
        <w:t>（</w:t>
      </w:r>
      <w:bookmarkEnd w:id="206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65"/>
      <w:bookmarkEnd w:id="2066"/>
      <w:bookmarkEnd w:id="2068"/>
    </w:p>
    <w:p>
      <w:pPr>
        <w:pStyle w:val="Style25"/>
        <w:keepNext w:val="0"/>
        <w:keepLines w:val="0"/>
        <w:widowControl w:val="0"/>
        <w:shd w:val="clear" w:color="auto" w:fill="auto"/>
        <w:bidi w:val="0"/>
        <w:spacing w:before="0" w:after="360" w:line="240" w:lineRule="auto"/>
        <w:ind w:left="0" w:right="0"/>
        <w:jc w:val="left"/>
      </w:pPr>
      <w:r>
        <w:rPr>
          <w:color w:val="000000"/>
          <w:spacing w:val="0"/>
          <w:w w:val="100"/>
          <w:position w:val="0"/>
        </w:rPr>
        <w:t>公司不存在需要披露的重要或有事项。</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3</w:t>
      </w:r>
      <w:bookmarkEnd w:id="2071"/>
      <w:r>
        <w:rPr>
          <w:color w:val="000000"/>
          <w:spacing w:val="0"/>
          <w:w w:val="100"/>
          <w:position w:val="0"/>
        </w:rPr>
        <w:t>、</w:t>
        <w:tab/>
        <w:t>其他</w:t>
      </w:r>
      <w:bookmarkEnd w:id="2069"/>
      <w:bookmarkEnd w:id="2070"/>
      <w:bookmarkEnd w:id="2072"/>
    </w:p>
    <w:p>
      <w:pPr>
        <w:pStyle w:val="Style21"/>
        <w:keepNext/>
        <w:keepLines/>
        <w:widowControl w:val="0"/>
        <w:shd w:val="clear" w:color="auto" w:fill="auto"/>
        <w:bidi w:val="0"/>
        <w:spacing w:before="0" w:line="240" w:lineRule="auto"/>
        <w:ind w:left="0" w:right="0" w:firstLine="0"/>
        <w:jc w:val="left"/>
      </w:pPr>
      <w:bookmarkStart w:id="2073" w:name="bookmark2073"/>
      <w:bookmarkStart w:id="2074" w:name="bookmark2074"/>
      <w:bookmarkStart w:id="2075" w:name="bookmark2075"/>
      <w:r>
        <w:rPr>
          <w:color w:val="000000"/>
          <w:spacing w:val="0"/>
          <w:w w:val="100"/>
          <w:position w:val="0"/>
        </w:rPr>
        <w:t>十五、资产负债表日后事项</w:t>
      </w:r>
      <w:bookmarkEnd w:id="2073"/>
      <w:bookmarkEnd w:id="2074"/>
      <w:bookmarkEnd w:id="2075"/>
    </w:p>
    <w:p>
      <w:pPr>
        <w:pStyle w:val="Style28"/>
        <w:keepNext/>
        <w:keepLines/>
        <w:widowControl w:val="0"/>
        <w:shd w:val="clear" w:color="auto" w:fill="auto"/>
        <w:bidi w:val="0"/>
        <w:spacing w:before="0" w:after="360" w:line="240" w:lineRule="auto"/>
        <w:ind w:left="0" w:right="0" w:firstLine="0"/>
        <w:jc w:val="left"/>
      </w:pPr>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76"/>
      <w:bookmarkEnd w:id="2077"/>
      <w:bookmarkEnd w:id="207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5952"/>
        <w:gridCol w:w="1421"/>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对财务状况和经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营成果的影响数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无法估计影 响数的原因</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股票和债券 的发行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日，公司召开第五届董事会第十八次会议，审议通过《关于 终止非公开发行股票事项的议案》，鉴于公司非公开发行股票事项授权期即 将届满，同时公司综合考虑资本市场环境等因素并结合公司发展实际情况的 变化，此次非公开募集资金投向计划已不能完全契合公司发展规划，为全面 切实维护全体股东的利益，经与中介机构认真研究论证，公司决定暂时终止 公司此次非公开发行股票事项，后续相关计划公司将另行公告。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79"/>
      <w:bookmarkEnd w:id="2080"/>
      <w:bookmarkEnd w:id="208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22,952,618.01</w:t>
            </w:r>
          </w:p>
        </w:tc>
      </w:tr>
    </w:tbl>
    <w:p>
      <w:pPr>
        <w:pStyle w:val="Style28"/>
        <w:keepNext/>
        <w:keepLines/>
        <w:widowControl w:val="0"/>
        <w:shd w:val="clear" w:color="auto" w:fill="auto"/>
        <w:tabs>
          <w:tab w:pos="378" w:val="left"/>
        </w:tabs>
        <w:bidi w:val="0"/>
        <w:spacing w:before="0" w:after="36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3</w:t>
      </w:r>
      <w:bookmarkEnd w:id="2084"/>
      <w:r>
        <w:rPr>
          <w:color w:val="000000"/>
          <w:spacing w:val="0"/>
          <w:w w:val="100"/>
          <w:position w:val="0"/>
        </w:rPr>
        <w:t>、</w:t>
        <w:tab/>
        <w:t>销售退回</w:t>
      </w:r>
      <w:bookmarkEnd w:id="2082"/>
      <w:bookmarkEnd w:id="2083"/>
      <w:bookmarkEnd w:id="2085"/>
    </w:p>
    <w:p>
      <w:pPr>
        <w:pStyle w:val="Style28"/>
        <w:keepNext/>
        <w:keepLines/>
        <w:widowControl w:val="0"/>
        <w:shd w:val="clear" w:color="auto" w:fill="auto"/>
        <w:tabs>
          <w:tab w:pos="378" w:val="left"/>
        </w:tabs>
        <w:bidi w:val="0"/>
        <w:spacing w:before="0" w:after="360" w:line="240" w:lineRule="auto"/>
        <w:ind w:left="0" w:right="0" w:firstLine="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4</w:t>
      </w:r>
      <w:bookmarkEnd w:id="2088"/>
      <w:r>
        <w:rPr>
          <w:color w:val="000000"/>
          <w:spacing w:val="0"/>
          <w:w w:val="100"/>
          <w:position w:val="0"/>
        </w:rPr>
        <w:t>、</w:t>
        <w:tab/>
        <w:t>其他资产负债表日后事项说明</w:t>
      </w:r>
      <w:bookmarkEnd w:id="2086"/>
      <w:bookmarkEnd w:id="2087"/>
      <w:bookmarkEnd w:id="2089"/>
    </w:p>
    <w:p>
      <w:pPr>
        <w:pStyle w:val="Style21"/>
        <w:keepNext/>
        <w:keepLines/>
        <w:widowControl w:val="0"/>
        <w:shd w:val="clear" w:color="auto" w:fill="auto"/>
        <w:bidi w:val="0"/>
        <w:spacing w:before="0" w:line="240" w:lineRule="auto"/>
        <w:ind w:left="0" w:right="0" w:firstLine="0"/>
        <w:jc w:val="left"/>
      </w:pPr>
      <w:bookmarkStart w:id="2090" w:name="bookmark2090"/>
      <w:bookmarkStart w:id="2091" w:name="bookmark2091"/>
      <w:bookmarkStart w:id="2092" w:name="bookmark2092"/>
      <w:r>
        <w:rPr>
          <w:color w:val="000000"/>
          <w:spacing w:val="0"/>
          <w:w w:val="100"/>
          <w:position w:val="0"/>
        </w:rPr>
        <w:t>十六、其他重要事项</w:t>
      </w:r>
      <w:bookmarkEnd w:id="2090"/>
      <w:bookmarkEnd w:id="2091"/>
      <w:bookmarkEnd w:id="2092"/>
    </w:p>
    <w:p>
      <w:pPr>
        <w:pStyle w:val="Style28"/>
        <w:keepNext/>
        <w:keepLines/>
        <w:widowControl w:val="0"/>
        <w:shd w:val="clear" w:color="auto" w:fill="auto"/>
        <w:tabs>
          <w:tab w:pos="368" w:val="left"/>
        </w:tabs>
        <w:bidi w:val="0"/>
        <w:spacing w:before="0" w:after="36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1</w:t>
      </w:r>
      <w:bookmarkEnd w:id="2095"/>
      <w:r>
        <w:rPr>
          <w:color w:val="000000"/>
          <w:spacing w:val="0"/>
          <w:w w:val="100"/>
          <w:position w:val="0"/>
        </w:rPr>
        <w:t>、</w:t>
        <w:tab/>
        <w:t>前期会计差错更正</w:t>
      </w:r>
      <w:bookmarkEnd w:id="2093"/>
      <w:bookmarkEnd w:id="2094"/>
      <w:bookmarkEnd w:id="2096"/>
    </w:p>
    <w:p>
      <w:pPr>
        <w:pStyle w:val="Style38"/>
        <w:keepNext/>
        <w:keepLines/>
        <w:widowControl w:val="0"/>
        <w:shd w:val="clear" w:color="auto" w:fill="auto"/>
        <w:tabs>
          <w:tab w:pos="493" w:val="left"/>
        </w:tabs>
        <w:bidi w:val="0"/>
        <w:spacing w:before="0" w:after="360" w:line="240" w:lineRule="auto"/>
        <w:ind w:left="0" w:right="0" w:firstLine="0"/>
        <w:jc w:val="left"/>
      </w:pPr>
      <w:bookmarkStart w:id="2097" w:name="bookmark2097"/>
      <w:bookmarkStart w:id="2098" w:name="bookmark2098"/>
      <w:bookmarkStart w:id="2099" w:name="bookmark2099"/>
      <w:bookmarkStart w:id="2100" w:name="bookmark2100"/>
      <w:r>
        <w:rPr>
          <w:color w:val="000000"/>
          <w:spacing w:val="0"/>
          <w:w w:val="100"/>
          <w:position w:val="0"/>
        </w:rPr>
        <w:t>（</w:t>
      </w:r>
      <w:bookmarkEnd w:id="2099"/>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097"/>
      <w:bookmarkEnd w:id="2098"/>
      <w:bookmarkEnd w:id="2100"/>
    </w:p>
    <w:p>
      <w:pPr>
        <w:pStyle w:val="Style38"/>
        <w:keepNext/>
        <w:keepLines/>
        <w:widowControl w:val="0"/>
        <w:shd w:val="clear" w:color="auto" w:fill="auto"/>
        <w:tabs>
          <w:tab w:pos="493" w:val="left"/>
        </w:tabs>
        <w:bidi w:val="0"/>
        <w:spacing w:before="0" w:after="360" w:line="240" w:lineRule="auto"/>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101"/>
      <w:bookmarkEnd w:id="2102"/>
      <w:bookmarkEnd w:id="2104"/>
    </w:p>
    <w:p>
      <w:pPr>
        <w:pStyle w:val="Style28"/>
        <w:keepNext/>
        <w:keepLines/>
        <w:widowControl w:val="0"/>
        <w:shd w:val="clear" w:color="auto" w:fill="auto"/>
        <w:tabs>
          <w:tab w:pos="378" w:val="left"/>
        </w:tabs>
        <w:bidi w:val="0"/>
        <w:spacing w:before="0" w:after="360" w:line="240" w:lineRule="auto"/>
        <w:ind w:left="0" w:right="0" w:firstLine="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2</w:t>
      </w:r>
      <w:bookmarkEnd w:id="2107"/>
      <w:r>
        <w:rPr>
          <w:color w:val="000000"/>
          <w:spacing w:val="0"/>
          <w:w w:val="100"/>
          <w:position w:val="0"/>
        </w:rPr>
        <w:t>、</w:t>
        <w:tab/>
        <w:t>债务重组</w:t>
      </w:r>
      <w:bookmarkEnd w:id="2105"/>
      <w:bookmarkEnd w:id="2106"/>
      <w:bookmarkEnd w:id="2108"/>
    </w:p>
    <w:p>
      <w:pPr>
        <w:pStyle w:val="Style28"/>
        <w:keepNext/>
        <w:keepLines/>
        <w:widowControl w:val="0"/>
        <w:shd w:val="clear" w:color="auto" w:fill="auto"/>
        <w:tabs>
          <w:tab w:pos="378" w:val="left"/>
        </w:tabs>
        <w:bidi w:val="0"/>
        <w:spacing w:before="0" w:after="360" w:line="240" w:lineRule="auto"/>
        <w:ind w:left="0" w:right="0" w:firstLine="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3</w:t>
      </w:r>
      <w:bookmarkEnd w:id="2111"/>
      <w:r>
        <w:rPr>
          <w:color w:val="000000"/>
          <w:spacing w:val="0"/>
          <w:w w:val="100"/>
          <w:position w:val="0"/>
        </w:rPr>
        <w:t>、</w:t>
        <w:tab/>
        <w:t>资产置换</w:t>
      </w:r>
      <w:bookmarkEnd w:id="2109"/>
      <w:bookmarkEnd w:id="2110"/>
      <w:bookmarkEnd w:id="2112"/>
    </w:p>
    <w:p>
      <w:pPr>
        <w:pStyle w:val="Style38"/>
        <w:keepNext/>
        <w:keepLines/>
        <w:widowControl w:val="0"/>
        <w:shd w:val="clear" w:color="auto" w:fill="auto"/>
        <w:tabs>
          <w:tab w:pos="493" w:val="left"/>
        </w:tabs>
        <w:bidi w:val="0"/>
        <w:spacing w:before="0" w:after="360" w:line="240" w:lineRule="auto"/>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13"/>
      <w:bookmarkEnd w:id="2114"/>
      <w:bookmarkEnd w:id="2116"/>
    </w:p>
    <w:p>
      <w:pPr>
        <w:pStyle w:val="Style38"/>
        <w:keepNext/>
        <w:keepLines/>
        <w:widowControl w:val="0"/>
        <w:shd w:val="clear" w:color="auto" w:fill="auto"/>
        <w:tabs>
          <w:tab w:pos="493" w:val="left"/>
        </w:tabs>
        <w:bidi w:val="0"/>
        <w:spacing w:before="0" w:after="360" w:line="240" w:lineRule="auto"/>
        <w:ind w:left="0" w:right="0" w:firstLine="0"/>
        <w:jc w:val="left"/>
      </w:pPr>
      <w:bookmarkStart w:id="2117" w:name="bookmark2117"/>
      <w:bookmarkStart w:id="2118" w:name="bookmark2118"/>
      <w:bookmarkStart w:id="2119" w:name="bookmark2119"/>
      <w:bookmarkStart w:id="2120" w:name="bookmark2120"/>
      <w:r>
        <w:rPr>
          <w:color w:val="000000"/>
          <w:spacing w:val="0"/>
          <w:w w:val="100"/>
          <w:position w:val="0"/>
        </w:rPr>
        <w:t>（</w:t>
      </w:r>
      <w:bookmarkEnd w:id="211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17"/>
      <w:bookmarkEnd w:id="2118"/>
      <w:bookmarkEnd w:id="2120"/>
    </w:p>
    <w:p>
      <w:pPr>
        <w:pStyle w:val="Style28"/>
        <w:keepNext/>
        <w:keepLines/>
        <w:widowControl w:val="0"/>
        <w:shd w:val="clear" w:color="auto" w:fill="auto"/>
        <w:tabs>
          <w:tab w:pos="378" w:val="left"/>
        </w:tabs>
        <w:bidi w:val="0"/>
        <w:spacing w:before="0" w:after="36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4</w:t>
      </w:r>
      <w:bookmarkEnd w:id="2123"/>
      <w:r>
        <w:rPr>
          <w:color w:val="000000"/>
          <w:spacing w:val="0"/>
          <w:w w:val="100"/>
          <w:position w:val="0"/>
        </w:rPr>
        <w:t>、</w:t>
        <w:tab/>
        <w:t>年金计划</w:t>
      </w:r>
      <w:bookmarkEnd w:id="2121"/>
      <w:bookmarkEnd w:id="2122"/>
      <w:bookmarkEnd w:id="2124"/>
    </w:p>
    <w:p>
      <w:pPr>
        <w:pStyle w:val="Style28"/>
        <w:keepNext/>
        <w:keepLines/>
        <w:widowControl w:val="0"/>
        <w:shd w:val="clear" w:color="auto" w:fill="auto"/>
        <w:tabs>
          <w:tab w:pos="378" w:val="left"/>
        </w:tabs>
        <w:bidi w:val="0"/>
        <w:spacing w:before="0" w:after="36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5</w:t>
      </w:r>
      <w:bookmarkEnd w:id="2127"/>
      <w:r>
        <w:rPr>
          <w:color w:val="000000"/>
          <w:spacing w:val="0"/>
          <w:w w:val="100"/>
          <w:position w:val="0"/>
        </w:rPr>
        <w:t>、</w:t>
        <w:tab/>
        <w:t>终止经营</w:t>
      </w:r>
      <w:bookmarkEnd w:id="2125"/>
      <w:bookmarkEnd w:id="2126"/>
      <w:bookmarkEnd w:id="2128"/>
    </w:p>
    <w:p>
      <w:pPr>
        <w:pStyle w:val="Style28"/>
        <w:keepNext/>
        <w:keepLines/>
        <w:widowControl w:val="0"/>
        <w:shd w:val="clear" w:color="auto" w:fill="auto"/>
        <w:tabs>
          <w:tab w:pos="378" w:val="left"/>
        </w:tabs>
        <w:bidi w:val="0"/>
        <w:spacing w:before="0" w:after="36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6</w:t>
      </w:r>
      <w:bookmarkEnd w:id="2131"/>
      <w:r>
        <w:rPr>
          <w:color w:val="000000"/>
          <w:spacing w:val="0"/>
          <w:w w:val="100"/>
          <w:position w:val="0"/>
        </w:rPr>
        <w:t>、</w:t>
        <w:tab/>
        <w:t>分部信息</w:t>
      </w:r>
      <w:bookmarkEnd w:id="2129"/>
      <w:bookmarkEnd w:id="2130"/>
      <w:bookmarkEnd w:id="2132"/>
    </w:p>
    <w:p>
      <w:pPr>
        <w:pStyle w:val="Style38"/>
        <w:keepNext/>
        <w:keepLines/>
        <w:widowControl w:val="0"/>
        <w:shd w:val="clear" w:color="auto" w:fill="auto"/>
        <w:tabs>
          <w:tab w:pos="493" w:val="left"/>
        </w:tabs>
        <w:bidi w:val="0"/>
        <w:spacing w:before="0" w:after="360" w:line="240" w:lineRule="auto"/>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w:t>
      </w:r>
      <w:bookmarkEnd w:id="213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33"/>
      <w:bookmarkEnd w:id="2134"/>
      <w:bookmarkEnd w:id="2136"/>
    </w:p>
    <w:p>
      <w:pPr>
        <w:pStyle w:val="Style38"/>
        <w:keepNext/>
        <w:keepLines/>
        <w:widowControl w:val="0"/>
        <w:shd w:val="clear" w:color="auto" w:fill="auto"/>
        <w:tabs>
          <w:tab w:pos="493" w:val="left"/>
        </w:tabs>
        <w:bidi w:val="0"/>
        <w:spacing w:before="0" w:after="360" w:line="240" w:lineRule="auto"/>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w:t>
      </w:r>
      <w:bookmarkEnd w:id="213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37"/>
      <w:bookmarkEnd w:id="2138"/>
      <w:bookmarkEnd w:id="2140"/>
    </w:p>
    <w:p>
      <w:pPr>
        <w:pStyle w:val="Style38"/>
        <w:keepNext/>
        <w:keepLines/>
        <w:widowControl w:val="0"/>
        <w:shd w:val="clear" w:color="auto" w:fill="auto"/>
        <w:tabs>
          <w:tab w:pos="493" w:val="left"/>
        </w:tabs>
        <w:bidi w:val="0"/>
        <w:spacing w:before="0" w:after="360" w:line="240" w:lineRule="auto"/>
        <w:ind w:left="0" w:right="0" w:firstLine="0"/>
        <w:jc w:val="left"/>
      </w:pPr>
      <w:bookmarkStart w:id="2141" w:name="bookmark2141"/>
      <w:bookmarkStart w:id="2142" w:name="bookmark2142"/>
      <w:bookmarkStart w:id="2143" w:name="bookmark2143"/>
      <w:bookmarkStart w:id="2144" w:name="bookmark2144"/>
      <w:r>
        <w:rPr>
          <w:color w:val="000000"/>
          <w:spacing w:val="0"/>
          <w:w w:val="100"/>
          <w:position w:val="0"/>
        </w:rPr>
        <w:t>（</w:t>
      </w:r>
      <w:bookmarkEnd w:id="2143"/>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41"/>
      <w:bookmarkEnd w:id="2142"/>
      <w:bookmarkEnd w:id="2144"/>
    </w:p>
    <w:p>
      <w:pPr>
        <w:pStyle w:val="Style38"/>
        <w:keepNext/>
        <w:keepLines/>
        <w:widowControl w:val="0"/>
        <w:shd w:val="clear" w:color="auto" w:fill="auto"/>
        <w:tabs>
          <w:tab w:pos="493" w:val="left"/>
        </w:tabs>
        <w:bidi w:val="0"/>
        <w:spacing w:before="0" w:after="36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45"/>
      <w:bookmarkEnd w:id="2146"/>
      <w:bookmarkEnd w:id="2148"/>
    </w:p>
    <w:p>
      <w:pPr>
        <w:pStyle w:val="Style28"/>
        <w:keepNext/>
        <w:keepLines/>
        <w:widowControl w:val="0"/>
        <w:shd w:val="clear" w:color="auto" w:fill="auto"/>
        <w:tabs>
          <w:tab w:pos="373" w:val="left"/>
        </w:tabs>
        <w:bidi w:val="0"/>
        <w:spacing w:before="0" w:after="360" w:line="240" w:lineRule="auto"/>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7</w:t>
      </w:r>
      <w:bookmarkEnd w:id="2151"/>
      <w:r>
        <w:rPr>
          <w:color w:val="000000"/>
          <w:spacing w:val="0"/>
          <w:w w:val="100"/>
          <w:position w:val="0"/>
        </w:rPr>
        <w:t>、</w:t>
        <w:tab/>
        <w:t>其他对投资者决策有影响的重要交易和事项</w:t>
      </w:r>
      <w:bookmarkEnd w:id="2149"/>
      <w:bookmarkEnd w:id="2150"/>
      <w:bookmarkEnd w:id="2152"/>
    </w:p>
    <w:p>
      <w:pPr>
        <w:pStyle w:val="Style28"/>
        <w:keepNext/>
        <w:keepLines/>
        <w:widowControl w:val="0"/>
        <w:shd w:val="clear" w:color="auto" w:fill="auto"/>
        <w:tabs>
          <w:tab w:pos="378" w:val="left"/>
        </w:tabs>
        <w:bidi w:val="0"/>
        <w:spacing w:before="0" w:after="26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8</w:t>
      </w:r>
      <w:bookmarkEnd w:id="2155"/>
      <w:r>
        <w:rPr>
          <w:color w:val="000000"/>
          <w:spacing w:val="0"/>
          <w:w w:val="100"/>
          <w:position w:val="0"/>
        </w:rPr>
        <w:t>、</w:t>
        <w:tab/>
        <w:t>其他</w:t>
      </w:r>
      <w:bookmarkEnd w:id="2153"/>
      <w:bookmarkEnd w:id="2154"/>
      <w:bookmarkEnd w:id="2156"/>
    </w:p>
    <w:p>
      <w:pPr>
        <w:pStyle w:val="Style25"/>
        <w:keepNext w:val="0"/>
        <w:keepLines w:val="0"/>
        <w:widowControl w:val="0"/>
        <w:shd w:val="clear" w:color="auto" w:fill="auto"/>
        <w:tabs>
          <w:tab w:pos="906" w:val="left"/>
        </w:tabs>
        <w:bidi w:val="0"/>
        <w:spacing w:before="0" w:after="0" w:line="310" w:lineRule="exact"/>
        <w:ind w:left="0" w:right="0"/>
        <w:jc w:val="both"/>
      </w:pPr>
      <w:bookmarkStart w:id="2157" w:name="bookmark2157"/>
      <w:r>
        <w:rPr>
          <w:color w:val="000000"/>
          <w:spacing w:val="0"/>
          <w:w w:val="100"/>
          <w:position w:val="0"/>
          <w:sz w:val="18"/>
          <w:szCs w:val="18"/>
        </w:rPr>
        <w:t>（</w:t>
      </w:r>
      <w:bookmarkEnd w:id="2157"/>
      <w:r>
        <w:rPr>
          <w:color w:val="000000"/>
          <w:spacing w:val="0"/>
          <w:w w:val="100"/>
          <w:position w:val="0"/>
          <w:sz w:val="18"/>
          <w:szCs w:val="18"/>
        </w:rPr>
        <w:t>1）</w:t>
        <w:tab/>
      </w:r>
      <w:r>
        <w:rPr>
          <w:color w:val="000000"/>
          <w:spacing w:val="0"/>
          <w:w w:val="100"/>
          <w:position w:val="0"/>
        </w:rPr>
        <w:t xml:space="preserve">截至本财务报表批准报出日，控股股东银江科技集团有限公司（以下简称“银江科技集团”）共持有公司股份 </w:t>
      </w:r>
      <w:r>
        <w:rPr>
          <w:color w:val="000000"/>
          <w:spacing w:val="0"/>
          <w:w w:val="100"/>
          <w:position w:val="0"/>
          <w:sz w:val="18"/>
          <w:szCs w:val="18"/>
        </w:rPr>
        <w:t>94, 968, 007</w:t>
      </w:r>
      <w:r>
        <w:rPr>
          <w:color w:val="000000"/>
          <w:spacing w:val="0"/>
          <w:w w:val="100"/>
          <w:position w:val="0"/>
        </w:rPr>
        <w:t>股，占公司股份总数的</w:t>
      </w:r>
      <w:r>
        <w:rPr>
          <w:color w:val="000000"/>
          <w:spacing w:val="0"/>
          <w:w w:val="100"/>
          <w:position w:val="0"/>
          <w:sz w:val="18"/>
          <w:szCs w:val="18"/>
        </w:rPr>
        <w:t>14.48%；</w:t>
      </w:r>
      <w:r>
        <w:rPr>
          <w:color w:val="000000"/>
          <w:spacing w:val="0"/>
          <w:w w:val="100"/>
          <w:position w:val="0"/>
        </w:rPr>
        <w:t>银江科技集团所持有上市公司股份累计已质押</w:t>
      </w:r>
      <w:r>
        <w:rPr>
          <w:color w:val="000000"/>
          <w:spacing w:val="0"/>
          <w:w w:val="100"/>
          <w:position w:val="0"/>
          <w:sz w:val="18"/>
          <w:szCs w:val="18"/>
        </w:rPr>
        <w:t>91,500,000</w:t>
      </w:r>
      <w:r>
        <w:rPr>
          <w:color w:val="000000"/>
          <w:spacing w:val="0"/>
          <w:w w:val="100"/>
          <w:position w:val="0"/>
        </w:rPr>
        <w:t xml:space="preserve">股，占公司股份总数的 </w:t>
      </w:r>
      <w:r>
        <w:rPr>
          <w:color w:val="000000"/>
          <w:spacing w:val="0"/>
          <w:w w:val="100"/>
          <w:position w:val="0"/>
          <w:sz w:val="18"/>
          <w:szCs w:val="18"/>
        </w:rPr>
        <w:t>13.95%</w:t>
      </w:r>
      <w:r>
        <w:rPr>
          <w:color w:val="000000"/>
          <w:spacing w:val="0"/>
          <w:w w:val="100"/>
          <w:position w:val="0"/>
        </w:rPr>
        <w:t>，占其所持有公司股份的</w:t>
      </w:r>
      <w:r>
        <w:rPr>
          <w:color w:val="000000"/>
          <w:spacing w:val="0"/>
          <w:w w:val="100"/>
          <w:position w:val="0"/>
          <w:sz w:val="18"/>
          <w:szCs w:val="18"/>
        </w:rPr>
        <w:t>96.35%</w:t>
      </w:r>
      <w:r>
        <w:rPr>
          <w:color w:val="000000"/>
          <w:spacing w:val="0"/>
          <w:w w:val="100"/>
          <w:position w:val="0"/>
        </w:rPr>
        <w:t>。</w:t>
      </w:r>
    </w:p>
    <w:p>
      <w:pPr>
        <w:pStyle w:val="Style25"/>
        <w:keepNext w:val="0"/>
        <w:keepLines w:val="0"/>
        <w:widowControl w:val="0"/>
        <w:shd w:val="clear" w:color="auto" w:fill="auto"/>
        <w:tabs>
          <w:tab w:pos="906" w:val="left"/>
        </w:tabs>
        <w:bidi w:val="0"/>
        <w:spacing w:before="0" w:after="360" w:line="310" w:lineRule="exact"/>
        <w:ind w:left="0" w:right="0"/>
        <w:jc w:val="both"/>
      </w:pPr>
      <w:bookmarkStart w:id="2158" w:name="bookmark2158"/>
      <w:r>
        <w:rPr>
          <w:color w:val="000000"/>
          <w:spacing w:val="0"/>
          <w:w w:val="100"/>
          <w:position w:val="0"/>
          <w:sz w:val="18"/>
          <w:szCs w:val="18"/>
        </w:rPr>
        <w:t>（</w:t>
      </w:r>
      <w:bookmarkEnd w:id="2158"/>
      <w:r>
        <w:rPr>
          <w:color w:val="000000"/>
          <w:spacing w:val="0"/>
          <w:w w:val="100"/>
          <w:position w:val="0"/>
          <w:sz w:val="18"/>
          <w:szCs w:val="18"/>
        </w:rPr>
        <w:t>2）</w:t>
        <w:tab/>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月，公司收到浙江省杭州市中级人民法院发出的《执行裁定书》</w:t>
      </w:r>
      <w:r>
        <w:rPr>
          <w:color w:val="000000"/>
          <w:spacing w:val="0"/>
          <w:w w:val="100"/>
          <w:position w:val="0"/>
          <w:sz w:val="18"/>
          <w:szCs w:val="18"/>
        </w:rPr>
        <w:t>（（2016</w:t>
      </w:r>
      <w:r>
        <w:rPr>
          <w:color w:val="000000"/>
          <w:spacing w:val="0"/>
          <w:w w:val="100"/>
          <w:position w:val="0"/>
        </w:rPr>
        <w:t>）浙</w:t>
      </w:r>
      <w:r>
        <w:rPr>
          <w:color w:val="000000"/>
          <w:spacing w:val="0"/>
          <w:w w:val="100"/>
          <w:position w:val="0"/>
          <w:sz w:val="18"/>
          <w:szCs w:val="18"/>
        </w:rPr>
        <w:t>01</w:t>
      </w:r>
      <w:r>
        <w:rPr>
          <w:color w:val="000000"/>
          <w:spacing w:val="0"/>
          <w:w w:val="100"/>
          <w:position w:val="0"/>
        </w:rPr>
        <w:t>执</w:t>
      </w:r>
      <w:r>
        <w:rPr>
          <w:color w:val="000000"/>
          <w:spacing w:val="0"/>
          <w:w w:val="100"/>
          <w:position w:val="0"/>
          <w:sz w:val="18"/>
          <w:szCs w:val="18"/>
        </w:rPr>
        <w:t>306</w:t>
      </w:r>
      <w:r>
        <w:rPr>
          <w:color w:val="000000"/>
          <w:spacing w:val="0"/>
          <w:w w:val="100"/>
          <w:position w:val="0"/>
        </w:rPr>
        <w:t>、</w:t>
      </w:r>
      <w:r>
        <w:rPr>
          <w:color w:val="000000"/>
          <w:spacing w:val="0"/>
          <w:w w:val="100"/>
          <w:position w:val="0"/>
          <w:sz w:val="18"/>
          <w:szCs w:val="18"/>
        </w:rPr>
        <w:t>307</w:t>
      </w:r>
      <w:r>
        <w:rPr>
          <w:color w:val="000000"/>
          <w:spacing w:val="0"/>
          <w:w w:val="100"/>
          <w:position w:val="0"/>
        </w:rPr>
        <w:t>、</w:t>
      </w:r>
      <w:r>
        <w:rPr>
          <w:color w:val="000000"/>
          <w:spacing w:val="0"/>
          <w:w w:val="100"/>
          <w:position w:val="0"/>
          <w:sz w:val="18"/>
          <w:szCs w:val="18"/>
        </w:rPr>
        <w:t>308</w:t>
      </w:r>
      <w:r>
        <w:rPr>
          <w:color w:val="000000"/>
          <w:spacing w:val="0"/>
          <w:w w:val="100"/>
          <w:position w:val="0"/>
        </w:rPr>
        <w:t>号之一）</w:t>
      </w:r>
      <w:r>
        <w:rPr>
          <w:color w:val="000000"/>
          <w:spacing w:val="0"/>
          <w:w w:val="100"/>
          <w:position w:val="0"/>
          <w:sz w:val="18"/>
          <w:szCs w:val="18"/>
        </w:rPr>
        <w:t xml:space="preserve">， </w:t>
      </w:r>
      <w:r>
        <w:rPr>
          <w:color w:val="000000"/>
          <w:spacing w:val="0"/>
          <w:w w:val="100"/>
          <w:position w:val="0"/>
        </w:rPr>
        <w:t>个人股东李欣所持本公司</w:t>
      </w:r>
      <w:r>
        <w:rPr>
          <w:color w:val="000000"/>
          <w:spacing w:val="0"/>
          <w:w w:val="100"/>
          <w:position w:val="0"/>
          <w:sz w:val="18"/>
          <w:szCs w:val="18"/>
        </w:rPr>
        <w:t>27, 813, 840</w:t>
      </w:r>
      <w:r>
        <w:rPr>
          <w:color w:val="000000"/>
          <w:spacing w:val="0"/>
          <w:w w:val="100"/>
          <w:position w:val="0"/>
        </w:rPr>
        <w:t>股股份已划转至浙江浙商证券资产管理有限公司名下，公司无法通过回购股份收回业绩 补偿款，公司已于</w:t>
      </w:r>
      <w:r>
        <w:rPr>
          <w:color w:val="000000"/>
          <w:spacing w:val="0"/>
          <w:w w:val="100"/>
          <w:position w:val="0"/>
          <w:sz w:val="18"/>
          <w:szCs w:val="18"/>
        </w:rPr>
        <w:t>2018</w:t>
      </w:r>
      <w:r>
        <w:rPr>
          <w:color w:val="000000"/>
          <w:spacing w:val="0"/>
          <w:w w:val="100"/>
          <w:position w:val="0"/>
        </w:rPr>
        <w:t>年度将</w:t>
      </w:r>
      <w:r>
        <w:rPr>
          <w:color w:val="000000"/>
          <w:spacing w:val="0"/>
          <w:w w:val="100"/>
          <w:position w:val="0"/>
          <w:sz w:val="18"/>
          <w:szCs w:val="18"/>
        </w:rPr>
        <w:t xml:space="preserve">243, 449, </w:t>
      </w:r>
      <w:r>
        <w:rPr>
          <w:color w:val="000000"/>
          <w:spacing w:val="0"/>
          <w:w w:val="100"/>
          <w:position w:val="0"/>
          <w:sz w:val="18"/>
          <w:szCs w:val="18"/>
        </w:rPr>
        <w:t xml:space="preserve">494. </w:t>
      </w:r>
      <w:r>
        <w:rPr>
          <w:color w:val="000000"/>
          <w:spacing w:val="0"/>
          <w:w w:val="100"/>
          <w:position w:val="0"/>
          <w:sz w:val="18"/>
          <w:szCs w:val="18"/>
        </w:rPr>
        <w:t>50</w:t>
      </w:r>
      <w:r>
        <w:rPr>
          <w:color w:val="000000"/>
          <w:spacing w:val="0"/>
          <w:w w:val="100"/>
          <w:position w:val="0"/>
        </w:rPr>
        <w:t>元转入其他应收款科目。截至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日，业绩补偿款余额为 </w:t>
      </w:r>
      <w:r>
        <w:rPr>
          <w:color w:val="000000"/>
          <w:spacing w:val="0"/>
          <w:w w:val="100"/>
          <w:position w:val="0"/>
          <w:sz w:val="18"/>
          <w:szCs w:val="18"/>
        </w:rPr>
        <w:t xml:space="preserve">232,796, </w:t>
      </w:r>
      <w:r>
        <w:rPr>
          <w:color w:val="000000"/>
          <w:spacing w:val="0"/>
          <w:w w:val="100"/>
          <w:position w:val="0"/>
          <w:sz w:val="18"/>
          <w:szCs w:val="18"/>
        </w:rPr>
        <w:t>486.19</w:t>
      </w:r>
      <w:r>
        <w:rPr>
          <w:color w:val="000000"/>
          <w:spacing w:val="0"/>
          <w:w w:val="100"/>
          <w:position w:val="0"/>
        </w:rPr>
        <w:t>元，剩余款项收回可能性较低，公司已经对该笔业绩补偿款全额计提了坏账准备。</w:t>
      </w:r>
    </w:p>
    <w:p>
      <w:pPr>
        <w:pStyle w:val="Style25"/>
        <w:keepNext w:val="0"/>
        <w:keepLines w:val="0"/>
        <w:widowControl w:val="0"/>
        <w:shd w:val="clear" w:color="auto" w:fill="auto"/>
        <w:tabs>
          <w:tab w:pos="841" w:val="left"/>
        </w:tabs>
        <w:bidi w:val="0"/>
        <w:spacing w:before="0" w:after="0" w:line="314" w:lineRule="exact"/>
        <w:ind w:left="0" w:right="0"/>
        <w:jc w:val="both"/>
      </w:pPr>
      <w:bookmarkStart w:id="2159" w:name="bookmark2159"/>
      <w:r>
        <w:rPr>
          <w:color w:val="000000"/>
          <w:spacing w:val="0"/>
          <w:w w:val="100"/>
          <w:position w:val="0"/>
          <w:sz w:val="18"/>
          <w:szCs w:val="18"/>
        </w:rPr>
        <w:t>（</w:t>
      </w:r>
      <w:bookmarkEnd w:id="2159"/>
      <w:r>
        <w:rPr>
          <w:color w:val="000000"/>
          <w:spacing w:val="0"/>
          <w:w w:val="100"/>
          <w:position w:val="0"/>
          <w:sz w:val="18"/>
          <w:szCs w:val="18"/>
        </w:rPr>
        <w:t>3）</w:t>
        <w:tab/>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月，公司与刘云平、北京欧迈特科技股份有限公司、湖南欧迈特网络科技有限公司达成和解协议：刘云平 同意以股权受让的方式回购本公司持有的北京欧迈特科技股份有限公司和湖南欧迈特网络科技有限公司</w:t>
      </w:r>
      <w:r>
        <w:rPr>
          <w:color w:val="000000"/>
          <w:spacing w:val="0"/>
          <w:w w:val="100"/>
          <w:position w:val="0"/>
          <w:sz w:val="18"/>
          <w:szCs w:val="18"/>
        </w:rPr>
        <w:t>15%</w:t>
      </w:r>
      <w:r>
        <w:rPr>
          <w:color w:val="000000"/>
          <w:spacing w:val="0"/>
          <w:w w:val="100"/>
          <w:position w:val="0"/>
        </w:rPr>
        <w:t>的股份，回购总 价值为</w:t>
      </w:r>
      <w:r>
        <w:rPr>
          <w:color w:val="000000"/>
          <w:spacing w:val="0"/>
          <w:w w:val="100"/>
          <w:position w:val="0"/>
          <w:sz w:val="18"/>
          <w:szCs w:val="18"/>
        </w:rPr>
        <w:t>2000</w:t>
      </w:r>
      <w:r>
        <w:rPr>
          <w:color w:val="000000"/>
          <w:spacing w:val="0"/>
          <w:w w:val="100"/>
          <w:position w:val="0"/>
        </w:rPr>
        <w:t>万元人民币。其中：</w:t>
      </w:r>
      <w:r>
        <w:rPr>
          <w:color w:val="000000"/>
          <w:spacing w:val="0"/>
          <w:w w:val="100"/>
          <w:position w:val="0"/>
          <w:sz w:val="18"/>
          <w:szCs w:val="18"/>
        </w:rPr>
        <w:t>1）</w:t>
      </w:r>
      <w:r>
        <w:rPr>
          <w:color w:val="000000"/>
          <w:spacing w:val="0"/>
          <w:w w:val="100"/>
          <w:position w:val="0"/>
        </w:rPr>
        <w:t>刘云平应在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日前支付</w:t>
      </w:r>
      <w:r>
        <w:rPr>
          <w:color w:val="000000"/>
          <w:spacing w:val="0"/>
          <w:w w:val="100"/>
          <w:position w:val="0"/>
          <w:sz w:val="18"/>
          <w:szCs w:val="18"/>
        </w:rPr>
        <w:t>800</w:t>
      </w:r>
      <w:r>
        <w:rPr>
          <w:color w:val="000000"/>
          <w:spacing w:val="0"/>
          <w:w w:val="100"/>
          <w:position w:val="0"/>
        </w:rPr>
        <w:t>万元人民币，截至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日，公司共收到</w:t>
      </w:r>
      <w:r>
        <w:rPr>
          <w:color w:val="000000"/>
          <w:spacing w:val="0"/>
          <w:w w:val="100"/>
          <w:position w:val="0"/>
          <w:sz w:val="18"/>
          <w:szCs w:val="18"/>
        </w:rPr>
        <w:t xml:space="preserve">800 </w:t>
      </w:r>
      <w:r>
        <w:rPr>
          <w:color w:val="000000"/>
          <w:spacing w:val="0"/>
          <w:w w:val="100"/>
          <w:position w:val="0"/>
        </w:rPr>
        <w:t>万元；</w:t>
      </w:r>
      <w:r>
        <w:rPr>
          <w:color w:val="000000"/>
          <w:spacing w:val="0"/>
          <w:w w:val="100"/>
          <w:position w:val="0"/>
          <w:sz w:val="18"/>
          <w:szCs w:val="18"/>
        </w:rPr>
        <w:t>2）</w:t>
      </w:r>
      <w:r>
        <w:rPr>
          <w:color w:val="000000"/>
          <w:spacing w:val="0"/>
          <w:w w:val="100"/>
          <w:position w:val="0"/>
        </w:rPr>
        <w:t>回购价款中剩余及以市场价值</w:t>
      </w:r>
      <w:r>
        <w:rPr>
          <w:color w:val="000000"/>
          <w:spacing w:val="0"/>
          <w:w w:val="100"/>
          <w:position w:val="0"/>
          <w:sz w:val="18"/>
          <w:szCs w:val="18"/>
        </w:rPr>
        <w:t>1200</w:t>
      </w:r>
      <w:r>
        <w:rPr>
          <w:color w:val="000000"/>
          <w:spacing w:val="0"/>
          <w:w w:val="100"/>
          <w:position w:val="0"/>
        </w:rPr>
        <w:t>万元特定设备通过“以物抵债”的方式作为回购对价，对应期间为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8 </w:t>
      </w:r>
      <w:r>
        <w:rPr>
          <w:color w:val="000000"/>
          <w:spacing w:val="0"/>
          <w:w w:val="100"/>
          <w:position w:val="0"/>
        </w:rPr>
        <w:t>日至</w:t>
      </w:r>
      <w:r>
        <w:rPr>
          <w:color w:val="000000"/>
          <w:spacing w:val="0"/>
          <w:w w:val="100"/>
          <w:position w:val="0"/>
          <w:sz w:val="18"/>
          <w:szCs w:val="18"/>
        </w:rPr>
        <w:t>2026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日，公司尚未采购。</w:t>
      </w:r>
    </w:p>
    <w:p>
      <w:pPr>
        <w:pStyle w:val="Style25"/>
        <w:keepNext w:val="0"/>
        <w:keepLines w:val="0"/>
        <w:widowControl w:val="0"/>
        <w:shd w:val="clear" w:color="auto" w:fill="auto"/>
        <w:tabs>
          <w:tab w:pos="846" w:val="left"/>
        </w:tabs>
        <w:bidi w:val="0"/>
        <w:spacing w:before="0" w:after="0" w:line="314" w:lineRule="exact"/>
        <w:ind w:left="0" w:right="0"/>
        <w:jc w:val="both"/>
      </w:pPr>
      <w:bookmarkStart w:id="2160" w:name="bookmark2160"/>
      <w:r>
        <w:rPr>
          <w:color w:val="000000"/>
          <w:spacing w:val="0"/>
          <w:w w:val="100"/>
          <w:position w:val="0"/>
          <w:sz w:val="18"/>
          <w:szCs w:val="18"/>
        </w:rPr>
        <w:t>（</w:t>
      </w:r>
      <w:bookmarkEnd w:id="2160"/>
      <w:r>
        <w:rPr>
          <w:color w:val="000000"/>
          <w:spacing w:val="0"/>
          <w:w w:val="100"/>
          <w:position w:val="0"/>
          <w:sz w:val="18"/>
          <w:szCs w:val="18"/>
        </w:rPr>
        <w:t>4）</w:t>
        <w:tab/>
      </w:r>
      <w:r>
        <w:rPr>
          <w:color w:val="000000"/>
          <w:spacing w:val="0"/>
          <w:w w:val="100"/>
          <w:position w:val="0"/>
        </w:rPr>
        <w:t>本公司从智谷创业园有限公司分两次购买房产：</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日签署了《中国智谷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富春园区预转让协议》购买其所 拥有的杭州市富阳区受降镇银湖村中国智谷富春园区</w:t>
      </w:r>
      <w:r>
        <w:rPr>
          <w:color w:val="000000"/>
          <w:spacing w:val="0"/>
          <w:w w:val="100"/>
          <w:position w:val="0"/>
          <w:sz w:val="18"/>
          <w:szCs w:val="18"/>
        </w:rPr>
        <w:t>11#-14#（</w:t>
      </w:r>
      <w:r>
        <w:rPr>
          <w:color w:val="000000"/>
          <w:spacing w:val="0"/>
          <w:w w:val="100"/>
          <w:position w:val="0"/>
        </w:rPr>
        <w:t>共四幢）工业房地产，建筑总面积</w:t>
      </w:r>
      <w:r>
        <w:rPr>
          <w:color w:val="000000"/>
          <w:spacing w:val="0"/>
          <w:w w:val="100"/>
          <w:position w:val="0"/>
          <w:sz w:val="18"/>
          <w:szCs w:val="18"/>
        </w:rPr>
        <w:t>43,661.0</w:t>
      </w:r>
      <w:r>
        <w:rPr>
          <w:color w:val="000000"/>
          <w:spacing w:val="0"/>
          <w:w w:val="100"/>
          <w:position w:val="0"/>
          <w:sz w:val="18"/>
          <w:szCs w:val="18"/>
        </w:rPr>
        <w:t>0</w:t>
      </w:r>
      <w:r>
        <w:rPr>
          <w:color w:val="000000"/>
          <w:spacing w:val="0"/>
          <w:w w:val="100"/>
          <w:position w:val="0"/>
        </w:rPr>
        <w:t>平方米，其中地 上建筑面积</w:t>
      </w:r>
      <w:r>
        <w:rPr>
          <w:color w:val="000000"/>
          <w:spacing w:val="0"/>
          <w:w w:val="100"/>
          <w:position w:val="0"/>
          <w:sz w:val="18"/>
          <w:szCs w:val="18"/>
        </w:rPr>
        <w:t>35,794.32</w:t>
      </w:r>
      <w:r>
        <w:rPr>
          <w:color w:val="000000"/>
          <w:spacing w:val="0"/>
          <w:w w:val="100"/>
          <w:position w:val="0"/>
        </w:rPr>
        <w:t>平方米，地下建筑面积</w:t>
      </w:r>
      <w:r>
        <w:rPr>
          <w:color w:val="000000"/>
          <w:spacing w:val="0"/>
          <w:w w:val="100"/>
          <w:position w:val="0"/>
          <w:sz w:val="18"/>
          <w:szCs w:val="18"/>
        </w:rPr>
        <w:t>7,866.68</w:t>
      </w:r>
      <w:r>
        <w:rPr>
          <w:color w:val="000000"/>
          <w:spacing w:val="0"/>
          <w:w w:val="100"/>
          <w:position w:val="0"/>
        </w:rPr>
        <w:t>平方米；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日签署了《中国智谷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富春园区预转让协议》</w:t>
      </w:r>
      <w:r>
        <w:rPr>
          <w:color w:val="000000"/>
          <w:spacing w:val="0"/>
          <w:w w:val="100"/>
          <w:position w:val="0"/>
          <w:sz w:val="18"/>
          <w:szCs w:val="18"/>
        </w:rPr>
        <w:t xml:space="preserve">， </w:t>
      </w:r>
      <w:r>
        <w:rPr>
          <w:color w:val="000000"/>
          <w:spacing w:val="0"/>
          <w:w w:val="100"/>
          <w:position w:val="0"/>
        </w:rPr>
        <w:t>购买其所拥有的杭州市富阳区银湖街道九龙大道中国智谷•富春园区</w:t>
      </w:r>
      <w:r>
        <w:rPr>
          <w:color w:val="000000"/>
          <w:spacing w:val="0"/>
          <w:w w:val="100"/>
          <w:position w:val="0"/>
          <w:sz w:val="18"/>
          <w:szCs w:val="18"/>
        </w:rPr>
        <w:t xml:space="preserve">A1-A2 </w:t>
      </w:r>
      <w:r>
        <w:rPr>
          <w:color w:val="000000"/>
          <w:spacing w:val="0"/>
          <w:w w:val="100"/>
          <w:position w:val="0"/>
        </w:rPr>
        <w:t>（共两幢）工业房地产，建筑总面积</w:t>
      </w:r>
      <w:r>
        <w:rPr>
          <w:color w:val="000000"/>
          <w:spacing w:val="0"/>
          <w:w w:val="100"/>
          <w:position w:val="0"/>
          <w:sz w:val="18"/>
          <w:szCs w:val="18"/>
        </w:rPr>
        <w:t xml:space="preserve">44,234.30 </w:t>
      </w:r>
      <w:r>
        <w:rPr>
          <w:color w:val="000000"/>
          <w:spacing w:val="0"/>
          <w:w w:val="100"/>
          <w:position w:val="0"/>
        </w:rPr>
        <w:t>平方米，其中地上建筑面积</w:t>
      </w:r>
      <w:r>
        <w:rPr>
          <w:color w:val="000000"/>
          <w:spacing w:val="0"/>
          <w:w w:val="100"/>
          <w:position w:val="0"/>
          <w:sz w:val="18"/>
          <w:szCs w:val="18"/>
        </w:rPr>
        <w:t>31,249.0</w:t>
      </w:r>
      <w:r>
        <w:rPr>
          <w:color w:val="000000"/>
          <w:spacing w:val="0"/>
          <w:w w:val="100"/>
          <w:position w:val="0"/>
          <w:sz w:val="18"/>
          <w:szCs w:val="18"/>
        </w:rPr>
        <w:t>0</w:t>
      </w:r>
      <w:r>
        <w:rPr>
          <w:color w:val="000000"/>
          <w:spacing w:val="0"/>
          <w:w w:val="100"/>
          <w:position w:val="0"/>
        </w:rPr>
        <w:t>平方米，地下建筑面积</w:t>
      </w:r>
      <w:r>
        <w:rPr>
          <w:color w:val="000000"/>
          <w:spacing w:val="0"/>
          <w:w w:val="100"/>
          <w:position w:val="0"/>
          <w:sz w:val="18"/>
          <w:szCs w:val="18"/>
        </w:rPr>
        <w:t>12,985.30</w:t>
      </w:r>
      <w:r>
        <w:rPr>
          <w:color w:val="000000"/>
          <w:spacing w:val="0"/>
          <w:w w:val="100"/>
          <w:position w:val="0"/>
        </w:rPr>
        <w:t>平方米。截止财务报表批准报出日，相关房产权证尚 未办理完结。</w:t>
      </w:r>
    </w:p>
    <w:p>
      <w:pPr>
        <w:pStyle w:val="Style25"/>
        <w:keepNext w:val="0"/>
        <w:keepLines w:val="0"/>
        <w:widowControl w:val="0"/>
        <w:shd w:val="clear" w:color="auto" w:fill="auto"/>
        <w:tabs>
          <w:tab w:pos="841" w:val="left"/>
        </w:tabs>
        <w:bidi w:val="0"/>
        <w:spacing w:before="0" w:after="0" w:line="314" w:lineRule="exact"/>
        <w:ind w:left="0" w:right="0"/>
        <w:jc w:val="both"/>
      </w:pPr>
      <w:bookmarkStart w:id="2161" w:name="bookmark2161"/>
      <w:r>
        <w:rPr>
          <w:color w:val="000000"/>
          <w:spacing w:val="0"/>
          <w:w w:val="100"/>
          <w:position w:val="0"/>
          <w:sz w:val="18"/>
          <w:szCs w:val="18"/>
        </w:rPr>
        <w:t>（</w:t>
      </w:r>
      <w:bookmarkEnd w:id="2161"/>
      <w:r>
        <w:rPr>
          <w:color w:val="000000"/>
          <w:spacing w:val="0"/>
          <w:w w:val="100"/>
          <w:position w:val="0"/>
          <w:sz w:val="18"/>
          <w:szCs w:val="18"/>
        </w:rPr>
        <w:t>5）</w:t>
        <w:tab/>
      </w:r>
      <w:r>
        <w:rPr>
          <w:color w:val="000000"/>
          <w:spacing w:val="0"/>
          <w:w w:val="100"/>
          <w:position w:val="0"/>
        </w:rPr>
        <w:t>本公司与武汉信诺得信息技术有限公司签订买卖合同，后续双方就交付标的及付款条件产生分歧；</w:t>
      </w:r>
      <w:r>
        <w:rPr>
          <w:color w:val="000000"/>
          <w:spacing w:val="0"/>
          <w:w w:val="100"/>
          <w:position w:val="0"/>
          <w:sz w:val="18"/>
          <w:szCs w:val="18"/>
        </w:rPr>
        <w:t>2021</w:t>
      </w:r>
      <w:r>
        <w:rPr>
          <w:color w:val="000000"/>
          <w:spacing w:val="0"/>
          <w:w w:val="100"/>
          <w:position w:val="0"/>
        </w:rPr>
        <w:t>年武汉信 诺得信息技术有限公司向湖北省荆门市东宝区人民法院申请财产保全。同年</w:t>
      </w:r>
      <w:r>
        <w:rPr>
          <w:color w:val="000000"/>
          <w:spacing w:val="0"/>
          <w:w w:val="100"/>
          <w:position w:val="0"/>
          <w:sz w:val="18"/>
          <w:szCs w:val="18"/>
        </w:rPr>
        <w:t>7</w:t>
      </w:r>
      <w:r>
        <w:rPr>
          <w:color w:val="000000"/>
          <w:spacing w:val="0"/>
          <w:w w:val="100"/>
          <w:position w:val="0"/>
        </w:rPr>
        <w:t>月，湖北省荆门市东宝区人民法院作出（</w:t>
      </w:r>
      <w:r>
        <w:rPr>
          <w:color w:val="000000"/>
          <w:spacing w:val="0"/>
          <w:w w:val="100"/>
          <w:position w:val="0"/>
          <w:sz w:val="18"/>
          <w:szCs w:val="18"/>
        </w:rPr>
        <w:t xml:space="preserve">2021 </w:t>
      </w:r>
      <w:r>
        <w:rPr>
          <w:color w:val="000000"/>
          <w:spacing w:val="0"/>
          <w:w w:val="100"/>
          <w:position w:val="0"/>
        </w:rPr>
        <w:t>年）鄂</w:t>
      </w:r>
      <w:r>
        <w:rPr>
          <w:color w:val="000000"/>
          <w:spacing w:val="0"/>
          <w:w w:val="100"/>
          <w:position w:val="0"/>
          <w:sz w:val="18"/>
          <w:szCs w:val="18"/>
        </w:rPr>
        <w:t>0802</w:t>
      </w:r>
      <w:r>
        <w:rPr>
          <w:color w:val="000000"/>
          <w:spacing w:val="0"/>
          <w:w w:val="100"/>
          <w:position w:val="0"/>
        </w:rPr>
        <w:t>民初</w:t>
      </w:r>
      <w:r>
        <w:rPr>
          <w:color w:val="000000"/>
          <w:spacing w:val="0"/>
          <w:w w:val="100"/>
          <w:position w:val="0"/>
          <w:sz w:val="18"/>
          <w:szCs w:val="18"/>
        </w:rPr>
        <w:t>1829</w:t>
      </w:r>
      <w:r>
        <w:rPr>
          <w:color w:val="000000"/>
          <w:spacing w:val="0"/>
          <w:w w:val="100"/>
          <w:position w:val="0"/>
        </w:rPr>
        <w:t>号财产保全民事裁定书，冻结银江技术股份有限公司的银行账户存款，以</w:t>
      </w:r>
      <w:r>
        <w:rPr>
          <w:color w:val="000000"/>
          <w:spacing w:val="0"/>
          <w:w w:val="100"/>
          <w:position w:val="0"/>
          <w:sz w:val="18"/>
          <w:szCs w:val="18"/>
        </w:rPr>
        <w:t>401.50</w:t>
      </w:r>
      <w:r>
        <w:rPr>
          <w:color w:val="000000"/>
          <w:spacing w:val="0"/>
          <w:w w:val="100"/>
          <w:position w:val="0"/>
        </w:rPr>
        <w:t>万元为限，冻结期限一 年。</w:t>
      </w:r>
    </w:p>
    <w:p>
      <w:pPr>
        <w:pStyle w:val="Style25"/>
        <w:keepNext w:val="0"/>
        <w:keepLines w:val="0"/>
        <w:widowControl w:val="0"/>
        <w:shd w:val="clear" w:color="auto" w:fill="auto"/>
        <w:tabs>
          <w:tab w:pos="841" w:val="left"/>
        </w:tabs>
        <w:bidi w:val="0"/>
        <w:spacing w:before="0" w:after="380" w:line="314" w:lineRule="exact"/>
        <w:ind w:left="0" w:right="0"/>
        <w:jc w:val="both"/>
      </w:pPr>
      <w:bookmarkStart w:id="2162" w:name="bookmark2162"/>
      <w:r>
        <w:rPr>
          <w:color w:val="000000"/>
          <w:spacing w:val="0"/>
          <w:w w:val="100"/>
          <w:position w:val="0"/>
          <w:sz w:val="18"/>
          <w:szCs w:val="18"/>
        </w:rPr>
        <w:t>（</w:t>
      </w:r>
      <w:bookmarkEnd w:id="2162"/>
      <w:r>
        <w:rPr>
          <w:color w:val="000000"/>
          <w:spacing w:val="0"/>
          <w:w w:val="100"/>
          <w:position w:val="0"/>
          <w:sz w:val="18"/>
          <w:szCs w:val="18"/>
        </w:rPr>
        <w:t>6）</w:t>
        <w:tab/>
      </w:r>
      <w:r>
        <w:rPr>
          <w:color w:val="000000"/>
          <w:spacing w:val="0"/>
          <w:w w:val="100"/>
          <w:position w:val="0"/>
        </w:rPr>
        <w:t>本公司与重庆佳杰创盈科技有限公司签订货物买卖合同，后续双方就交付标的及付款条件产生分歧；</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 重庆佳杰创盈科技有限公司向北京市海淀区人民法院中关村法庭提起上述，请求法院判令银江技术支付货款及违约金</w:t>
      </w:r>
      <w:r>
        <w:rPr>
          <w:color w:val="000000"/>
          <w:spacing w:val="0"/>
          <w:w w:val="100"/>
          <w:position w:val="0"/>
          <w:sz w:val="18"/>
          <w:szCs w:val="18"/>
        </w:rPr>
        <w:t xml:space="preserve">821.72 </w:t>
      </w:r>
      <w:r>
        <w:rPr>
          <w:color w:val="000000"/>
          <w:spacing w:val="0"/>
          <w:w w:val="100"/>
          <w:position w:val="0"/>
        </w:rPr>
        <w:t>万元，并向法院申请财产保全，冻结银江技术股份有限公司银行账户存款</w:t>
      </w:r>
      <w:r>
        <w:rPr>
          <w:color w:val="000000"/>
          <w:spacing w:val="0"/>
          <w:w w:val="100"/>
          <w:position w:val="0"/>
          <w:sz w:val="18"/>
          <w:szCs w:val="18"/>
        </w:rPr>
        <w:t>821.72</w:t>
      </w:r>
      <w:r>
        <w:rPr>
          <w:color w:val="000000"/>
          <w:spacing w:val="0"/>
          <w:w w:val="100"/>
          <w:position w:val="0"/>
        </w:rPr>
        <w:t>万元。同年，北京市海淀区人民法院中关村 法庭冻结银江技术股份有限公司银行账户存款</w:t>
      </w:r>
      <w:r>
        <w:rPr>
          <w:color w:val="000000"/>
          <w:spacing w:val="0"/>
          <w:w w:val="100"/>
          <w:position w:val="0"/>
          <w:sz w:val="18"/>
          <w:szCs w:val="18"/>
        </w:rPr>
        <w:t xml:space="preserve">821. </w:t>
      </w:r>
      <w:r>
        <w:rPr>
          <w:color w:val="000000"/>
          <w:spacing w:val="0"/>
          <w:w w:val="100"/>
          <w:position w:val="0"/>
          <w:sz w:val="18"/>
          <w:szCs w:val="18"/>
        </w:rPr>
        <w:t>72</w:t>
      </w:r>
      <w:r>
        <w:rPr>
          <w:color w:val="000000"/>
          <w:spacing w:val="0"/>
          <w:w w:val="100"/>
          <w:position w:val="0"/>
        </w:rPr>
        <w:t>万元。</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日本公司已收到开庭传票。截止财务报表批准报出 日，该案件还在进一步进行中。</w:t>
      </w:r>
    </w:p>
    <w:p>
      <w:pPr>
        <w:pStyle w:val="Style21"/>
        <w:keepNext/>
        <w:keepLines/>
        <w:widowControl w:val="0"/>
        <w:shd w:val="clear" w:color="auto" w:fill="auto"/>
        <w:bidi w:val="0"/>
        <w:spacing w:before="0" w:after="380" w:line="240" w:lineRule="auto"/>
        <w:ind w:left="0" w:right="0" w:firstLine="0"/>
        <w:jc w:val="left"/>
      </w:pPr>
      <w:bookmarkStart w:id="2163" w:name="bookmark2163"/>
      <w:bookmarkStart w:id="2164" w:name="bookmark2164"/>
      <w:bookmarkStart w:id="2165" w:name="bookmark2165"/>
      <w:r>
        <w:rPr>
          <w:color w:val="000000"/>
          <w:spacing w:val="0"/>
          <w:w w:val="100"/>
          <w:position w:val="0"/>
        </w:rPr>
        <w:t>十七、母公司财务报表主要项目注释</w:t>
      </w:r>
      <w:bookmarkEnd w:id="2163"/>
      <w:bookmarkEnd w:id="2164"/>
      <w:bookmarkEnd w:id="2165"/>
    </w:p>
    <w:p>
      <w:pPr>
        <w:pStyle w:val="Style28"/>
        <w:keepNext/>
        <w:keepLines/>
        <w:widowControl w:val="0"/>
        <w:shd w:val="clear" w:color="auto" w:fill="auto"/>
        <w:bidi w:val="0"/>
        <w:spacing w:before="0" w:after="380" w:line="240" w:lineRule="auto"/>
        <w:ind w:left="0" w:right="0" w:firstLine="0"/>
        <w:jc w:val="left"/>
      </w:pPr>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66"/>
      <w:bookmarkEnd w:id="2167"/>
      <w:bookmarkEnd w:id="2168"/>
    </w:p>
    <w:p>
      <w:pPr>
        <w:pStyle w:val="Style38"/>
        <w:keepNext/>
        <w:keepLines/>
        <w:widowControl w:val="0"/>
        <w:shd w:val="clear" w:color="auto" w:fill="auto"/>
        <w:bidi w:val="0"/>
        <w:spacing w:before="0" w:line="240" w:lineRule="auto"/>
        <w:ind w:left="0" w:right="0" w:firstLine="0"/>
        <w:jc w:val="left"/>
      </w:pPr>
      <w:bookmarkStart w:id="2169" w:name="bookmark2169"/>
      <w:bookmarkStart w:id="2170" w:name="bookmark2170"/>
      <w:bookmarkStart w:id="2171" w:name="bookmark21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69"/>
      <w:bookmarkEnd w:id="2170"/>
      <w:bookmarkEnd w:id="217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2,219,54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307,594,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1,911,945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1,915,490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278,891,8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1,636,598,2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2,107,88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307,594,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1,892,548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278,891,8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1,613,656,3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2,219,54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307,594,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1,911,945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1,915,490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278,891,8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1,636,598,2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w:t>
            </w:r>
          </w:p>
        </w:tc>
      </w:tr>
    </w:tbl>
    <w:p>
      <w:pPr>
        <w:spacing w:lineRule="exact" w:line="1"/>
        <w:rPr>
          <w:sz w:val="2"/>
          <w:szCs w:val="2"/>
        </w:rPr>
      </w:pPr>
      <w:r>
        <w:br w:type="page"/>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1,178,609,568.99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58,930,478.45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452,114,590.66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45,211,459.06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305,394,805.22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61,078,961.04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42,517,492.75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21,258,746.40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16,268,027.54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8,134,013.77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112,981,242.32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112,981,242.32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2,107,885,727.48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307,594,901.04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1,290,264,376.38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452,114,590.66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305,394,805.22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171,766,762.61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42,517,492.75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16,268,027.54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112,981,242.32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2,219,540,534.87</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2172" w:name="bookmark2172"/>
      <w:bookmarkStart w:id="2173" w:name="bookmark2173"/>
      <w:bookmarkStart w:id="2174" w:name="bookmark21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72"/>
      <w:bookmarkEnd w:id="2173"/>
      <w:bookmarkEnd w:id="2174"/>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278,891,863.20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28,703,037.84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307,594,901.04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278,891,863.20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28,703,037.84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307,594,901.04</w:t>
            </w:r>
          </w:p>
        </w:tc>
      </w:tr>
    </w:tbl>
    <w:p>
      <w:pPr>
        <w:widowControl w:val="0"/>
        <w:spacing w:after="319" w:line="1" w:lineRule="exact"/>
      </w:pPr>
    </w:p>
    <w:p>
      <w:pPr>
        <w:pStyle w:val="Style38"/>
        <w:keepNext/>
        <w:keepLines/>
        <w:widowControl w:val="0"/>
        <w:numPr>
          <w:ilvl w:val="0"/>
          <w:numId w:val="33"/>
        </w:numPr>
        <w:shd w:val="clear" w:color="auto" w:fill="auto"/>
        <w:tabs>
          <w:tab w:pos="493" w:val="left"/>
        </w:tabs>
        <w:bidi w:val="0"/>
        <w:spacing w:before="0" w:line="240" w:lineRule="auto"/>
        <w:ind w:left="0" w:right="0" w:firstLine="0"/>
        <w:jc w:val="left"/>
      </w:pPr>
      <w:bookmarkStart w:id="2175" w:name="bookmark2175"/>
      <w:bookmarkStart w:id="2176" w:name="bookmark2176"/>
      <w:bookmarkStart w:id="2177" w:name="bookmark2177"/>
      <w:bookmarkStart w:id="2178" w:name="bookmark2178"/>
      <w:bookmarkEnd w:id="2177"/>
      <w:r>
        <w:rPr>
          <w:color w:val="000000"/>
          <w:spacing w:val="0"/>
          <w:w w:val="100"/>
          <w:position w:val="0"/>
        </w:rPr>
        <w:t>本期实际核销的应收账款情况</w:t>
      </w:r>
      <w:bookmarkEnd w:id="2175"/>
      <w:bookmarkEnd w:id="2176"/>
      <w:bookmarkEnd w:id="2178"/>
    </w:p>
    <w:p>
      <w:pPr>
        <w:pStyle w:val="Style38"/>
        <w:keepNext/>
        <w:keepLines/>
        <w:widowControl w:val="0"/>
        <w:numPr>
          <w:ilvl w:val="0"/>
          <w:numId w:val="33"/>
        </w:numPr>
        <w:shd w:val="clear" w:color="auto" w:fill="auto"/>
        <w:tabs>
          <w:tab w:pos="493" w:val="left"/>
        </w:tabs>
        <w:bidi w:val="0"/>
        <w:spacing w:before="0" w:line="240" w:lineRule="auto"/>
        <w:ind w:left="0" w:right="0" w:firstLine="0"/>
        <w:jc w:val="left"/>
      </w:pPr>
      <w:bookmarkStart w:id="2179" w:name="bookmark2179"/>
      <w:bookmarkStart w:id="2180" w:name="bookmark2180"/>
      <w:bookmarkStart w:id="2181" w:name="bookmark2181"/>
      <w:bookmarkStart w:id="2182" w:name="bookmark2182"/>
      <w:bookmarkEnd w:id="2181"/>
      <w:r>
        <w:rPr>
          <w:color w:val="000000"/>
          <w:spacing w:val="0"/>
          <w:w w:val="100"/>
          <w:position w:val="0"/>
        </w:rPr>
        <w:t>按欠款方归集的期末余额前五名的应收账款情况</w:t>
      </w:r>
      <w:bookmarkEnd w:id="2179"/>
      <w:bookmarkEnd w:id="2180"/>
      <w:bookmarkEnd w:id="218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86,343,569.55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49,703,647.05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2,485,182.35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43,558,628.18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3,388,182.30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43,466,879.93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7,799,576.62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358,922,724.71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33"/>
        </w:numPr>
        <w:shd w:val="clear" w:color="auto" w:fill="auto"/>
        <w:tabs>
          <w:tab w:pos="493" w:val="left"/>
        </w:tabs>
        <w:bidi w:val="0"/>
        <w:spacing w:before="0" w:line="240" w:lineRule="auto"/>
        <w:ind w:left="0" w:right="0" w:firstLine="0"/>
        <w:jc w:val="left"/>
      </w:pPr>
      <w:bookmarkStart w:id="2183" w:name="bookmark2183"/>
      <w:bookmarkStart w:id="2184" w:name="bookmark2184"/>
      <w:bookmarkStart w:id="2185" w:name="bookmark2185"/>
      <w:bookmarkStart w:id="2186" w:name="bookmark2186"/>
      <w:bookmarkEnd w:id="2185"/>
      <w:r>
        <w:rPr>
          <w:color w:val="000000"/>
          <w:spacing w:val="0"/>
          <w:w w:val="100"/>
          <w:position w:val="0"/>
        </w:rPr>
        <w:t>因金融资产转移而终止确认的应收账款</w:t>
      </w:r>
      <w:bookmarkEnd w:id="2183"/>
      <w:bookmarkEnd w:id="2184"/>
      <w:bookmarkEnd w:id="2186"/>
    </w:p>
    <w:p>
      <w:pPr>
        <w:pStyle w:val="Style38"/>
        <w:keepNext/>
        <w:keepLines/>
        <w:widowControl w:val="0"/>
        <w:numPr>
          <w:ilvl w:val="0"/>
          <w:numId w:val="33"/>
        </w:numPr>
        <w:shd w:val="clear" w:color="auto" w:fill="auto"/>
        <w:tabs>
          <w:tab w:pos="493" w:val="left"/>
        </w:tabs>
        <w:bidi w:val="0"/>
        <w:spacing w:before="0" w:line="240" w:lineRule="auto"/>
        <w:ind w:left="0" w:right="0" w:firstLine="0"/>
        <w:jc w:val="left"/>
      </w:pPr>
      <w:bookmarkStart w:id="2187" w:name="bookmark2187"/>
      <w:bookmarkStart w:id="2188" w:name="bookmark2188"/>
      <w:bookmarkStart w:id="2189" w:name="bookmark2189"/>
      <w:bookmarkStart w:id="2190" w:name="bookmark2190"/>
      <w:bookmarkEnd w:id="2189"/>
      <w:r>
        <w:rPr>
          <w:color w:val="000000"/>
          <w:spacing w:val="0"/>
          <w:w w:val="100"/>
          <w:position w:val="0"/>
        </w:rPr>
        <w:t>转移应收账款且继续涉入形成的资产、负债金额</w:t>
      </w:r>
      <w:bookmarkEnd w:id="2187"/>
      <w:bookmarkEnd w:id="2188"/>
      <w:bookmarkEnd w:id="2190"/>
    </w:p>
    <w:p>
      <w:pPr>
        <w:pStyle w:val="Style28"/>
        <w:keepNext/>
        <w:keepLines/>
        <w:widowControl w:val="0"/>
        <w:shd w:val="clear" w:color="auto" w:fill="auto"/>
        <w:bidi w:val="0"/>
        <w:spacing w:before="0" w:after="380" w:line="240" w:lineRule="auto"/>
        <w:ind w:left="0" w:right="0" w:firstLine="0"/>
        <w:jc w:val="left"/>
      </w:pPr>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91"/>
      <w:bookmarkEnd w:id="2192"/>
      <w:bookmarkEnd w:id="219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317,379,954.09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526,894,286.31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317,379,954.09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526,894,286.31</w:t>
            </w:r>
          </w:p>
        </w:tc>
      </w:tr>
    </w:tbl>
    <w:p>
      <w:pPr>
        <w:sectPr>
          <w:footnotePr>
            <w:pos w:val="pageBottom"/>
            <w:numFmt w:val="decimal"/>
            <w:numRestart w:val="continuous"/>
          </w:footnotePr>
          <w:pgSz w:w="11900" w:h="16840"/>
          <w:pgMar w:top="1351" w:right="1076" w:bottom="1473" w:left="1047" w:header="0" w:footer="3" w:gutter="0"/>
          <w:cols w:space="720"/>
          <w:noEndnote/>
          <w:rtlGutter w:val="0"/>
          <w:docGrid w:linePitch="360"/>
        </w:sectPr>
      </w:pPr>
    </w:p>
    <w:p>
      <w:pPr>
        <w:pStyle w:val="Style38"/>
        <w:keepNext/>
        <w:keepLines/>
        <w:widowControl w:val="0"/>
        <w:shd w:val="clear" w:color="auto" w:fill="auto"/>
        <w:tabs>
          <w:tab w:pos="493" w:val="left"/>
        </w:tabs>
        <w:bidi w:val="0"/>
        <w:spacing w:before="0" w:after="360" w:line="240" w:lineRule="auto"/>
        <w:ind w:left="0" w:right="0" w:firstLine="0"/>
        <w:jc w:val="left"/>
      </w:pPr>
      <w:bookmarkStart w:id="2194" w:name="bookmark2194"/>
      <w:bookmarkStart w:id="2195" w:name="bookmark2195"/>
      <w:bookmarkStart w:id="2196" w:name="bookmark2196"/>
      <w:bookmarkStart w:id="2197" w:name="bookmark2197"/>
      <w:r>
        <w:rPr>
          <w:color w:val="000000"/>
          <w:spacing w:val="0"/>
          <w:w w:val="100"/>
          <w:position w:val="0"/>
        </w:rPr>
        <w:t>（</w:t>
      </w:r>
      <w:bookmarkEnd w:id="2196"/>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194"/>
      <w:bookmarkEnd w:id="2195"/>
      <w:bookmarkEnd w:id="2197"/>
    </w:p>
    <w:p>
      <w:pPr>
        <w:pStyle w:val="Style53"/>
        <w:keepNext/>
        <w:keepLines/>
        <w:widowControl w:val="0"/>
        <w:shd w:val="clear" w:color="auto" w:fill="auto"/>
        <w:tabs>
          <w:tab w:pos="382" w:val="left"/>
        </w:tabs>
        <w:bidi w:val="0"/>
        <w:spacing w:before="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1</w:t>
      </w:r>
      <w:bookmarkEnd w:id="2200"/>
      <w:r>
        <w:rPr>
          <w:color w:val="000000"/>
          <w:spacing w:val="0"/>
          <w:w w:val="100"/>
          <w:position w:val="0"/>
        </w:rPr>
        <w:t>）</w:t>
        <w:tab/>
        <w:t>应收利息分类</w:t>
      </w:r>
      <w:bookmarkEnd w:id="2198"/>
      <w:bookmarkEnd w:id="2199"/>
      <w:bookmarkEnd w:id="2201"/>
    </w:p>
    <w:p>
      <w:pPr>
        <w:pStyle w:val="Style53"/>
        <w:keepNext/>
        <w:keepLines/>
        <w:widowControl w:val="0"/>
        <w:shd w:val="clear" w:color="auto" w:fill="auto"/>
        <w:tabs>
          <w:tab w:pos="392" w:val="left"/>
        </w:tabs>
        <w:bidi w:val="0"/>
        <w:spacing w:before="0" w:line="240" w:lineRule="auto"/>
        <w:ind w:left="0" w:right="0" w:firstLine="0"/>
        <w:jc w:val="left"/>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2</w:t>
      </w:r>
      <w:bookmarkEnd w:id="2204"/>
      <w:r>
        <w:rPr>
          <w:color w:val="000000"/>
          <w:spacing w:val="0"/>
          <w:w w:val="100"/>
          <w:position w:val="0"/>
        </w:rPr>
        <w:t>）</w:t>
        <w:tab/>
        <w:t>重要逾期利息</w:t>
      </w:r>
      <w:bookmarkEnd w:id="2202"/>
      <w:bookmarkEnd w:id="2203"/>
      <w:bookmarkEnd w:id="2205"/>
    </w:p>
    <w:p>
      <w:pPr>
        <w:pStyle w:val="Style53"/>
        <w:keepNext/>
        <w:keepLines/>
        <w:widowControl w:val="0"/>
        <w:shd w:val="clear" w:color="auto" w:fill="auto"/>
        <w:tabs>
          <w:tab w:pos="392" w:val="left"/>
        </w:tabs>
        <w:bidi w:val="0"/>
        <w:spacing w:before="0" w:line="240" w:lineRule="auto"/>
        <w:ind w:left="0" w:right="0" w:firstLine="0"/>
        <w:jc w:val="left"/>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3</w:t>
      </w:r>
      <w:bookmarkEnd w:id="2208"/>
      <w:r>
        <w:rPr>
          <w:color w:val="000000"/>
          <w:spacing w:val="0"/>
          <w:w w:val="100"/>
          <w:position w:val="0"/>
        </w:rPr>
        <w:t>）</w:t>
        <w:tab/>
        <w:t>坏账准备计提情况</w:t>
      </w:r>
      <w:bookmarkEnd w:id="2206"/>
      <w:bookmarkEnd w:id="2207"/>
      <w:bookmarkEnd w:id="2209"/>
    </w:p>
    <w:p>
      <w:pPr>
        <w:pStyle w:val="Style38"/>
        <w:keepNext/>
        <w:keepLines/>
        <w:widowControl w:val="0"/>
        <w:shd w:val="clear" w:color="auto" w:fill="auto"/>
        <w:tabs>
          <w:tab w:pos="493" w:val="left"/>
        </w:tabs>
        <w:bidi w:val="0"/>
        <w:spacing w:before="0" w:after="360" w:line="240" w:lineRule="auto"/>
        <w:ind w:left="0" w:right="0" w:firstLine="0"/>
        <w:jc w:val="left"/>
      </w:pPr>
      <w:bookmarkStart w:id="2210" w:name="bookmark2210"/>
      <w:bookmarkStart w:id="2211" w:name="bookmark2211"/>
      <w:bookmarkStart w:id="2212" w:name="bookmark2212"/>
      <w:bookmarkStart w:id="2213" w:name="bookmark2213"/>
      <w:r>
        <w:rPr>
          <w:color w:val="000000"/>
          <w:spacing w:val="0"/>
          <w:w w:val="100"/>
          <w:position w:val="0"/>
        </w:rPr>
        <w:t>（</w:t>
      </w:r>
      <w:bookmarkEnd w:id="2212"/>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210"/>
      <w:bookmarkEnd w:id="2211"/>
      <w:bookmarkEnd w:id="2213"/>
    </w:p>
    <w:p>
      <w:pPr>
        <w:pStyle w:val="Style53"/>
        <w:keepNext/>
        <w:keepLines/>
        <w:widowControl w:val="0"/>
        <w:shd w:val="clear" w:color="auto" w:fill="auto"/>
        <w:tabs>
          <w:tab w:pos="382" w:val="left"/>
        </w:tabs>
        <w:bidi w:val="0"/>
        <w:spacing w:before="0" w:line="240" w:lineRule="auto"/>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1</w:t>
      </w:r>
      <w:bookmarkEnd w:id="2216"/>
      <w:r>
        <w:rPr>
          <w:color w:val="000000"/>
          <w:spacing w:val="0"/>
          <w:w w:val="100"/>
          <w:position w:val="0"/>
        </w:rPr>
        <w:t>）</w:t>
        <w:tab/>
        <w:t>应收股利分类</w:t>
      </w:r>
      <w:bookmarkEnd w:id="2214"/>
      <w:bookmarkEnd w:id="2215"/>
      <w:bookmarkEnd w:id="2217"/>
    </w:p>
    <w:p>
      <w:pPr>
        <w:pStyle w:val="Style53"/>
        <w:keepNext/>
        <w:keepLines/>
        <w:widowControl w:val="0"/>
        <w:shd w:val="clear" w:color="auto" w:fill="auto"/>
        <w:tabs>
          <w:tab w:pos="392" w:val="left"/>
        </w:tabs>
        <w:bidi w:val="0"/>
        <w:spacing w:before="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2</w:t>
      </w:r>
      <w:bookmarkEnd w:id="2220"/>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18"/>
      <w:bookmarkEnd w:id="2219"/>
      <w:bookmarkEnd w:id="2221"/>
    </w:p>
    <w:p>
      <w:pPr>
        <w:pStyle w:val="Style53"/>
        <w:keepNext/>
        <w:keepLines/>
        <w:widowControl w:val="0"/>
        <w:shd w:val="clear" w:color="auto" w:fill="auto"/>
        <w:tabs>
          <w:tab w:pos="397" w:val="left"/>
        </w:tabs>
        <w:bidi w:val="0"/>
        <w:spacing w:before="0" w:line="240"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3</w:t>
      </w:r>
      <w:bookmarkEnd w:id="2224"/>
      <w:r>
        <w:rPr>
          <w:color w:val="000000"/>
          <w:spacing w:val="0"/>
          <w:w w:val="100"/>
          <w:position w:val="0"/>
        </w:rPr>
        <w:t>）</w:t>
        <w:tab/>
        <w:t>坏账准备计提情况</w:t>
      </w:r>
      <w:bookmarkEnd w:id="2222"/>
      <w:bookmarkEnd w:id="2223"/>
      <w:bookmarkEnd w:id="2225"/>
    </w:p>
    <w:p>
      <w:pPr>
        <w:pStyle w:val="Style38"/>
        <w:keepNext/>
        <w:keepLines/>
        <w:widowControl w:val="0"/>
        <w:shd w:val="clear" w:color="auto" w:fill="auto"/>
        <w:tabs>
          <w:tab w:pos="493" w:val="left"/>
        </w:tabs>
        <w:bidi w:val="0"/>
        <w:spacing w:before="0" w:after="360" w:line="240" w:lineRule="auto"/>
        <w:ind w:left="0" w:right="0" w:firstLine="0"/>
        <w:jc w:val="left"/>
      </w:pPr>
      <w:bookmarkStart w:id="2226" w:name="bookmark2226"/>
      <w:bookmarkStart w:id="2227" w:name="bookmark2227"/>
      <w:bookmarkStart w:id="2228" w:name="bookmark2228"/>
      <w:bookmarkStart w:id="2229" w:name="bookmark2229"/>
      <w:r>
        <w:rPr>
          <w:color w:val="000000"/>
          <w:spacing w:val="0"/>
          <w:w w:val="100"/>
          <w:position w:val="0"/>
        </w:rPr>
        <w:t>（</w:t>
      </w:r>
      <w:bookmarkEnd w:id="2228"/>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226"/>
      <w:bookmarkEnd w:id="2227"/>
      <w:bookmarkEnd w:id="2229"/>
    </w:p>
    <w:p>
      <w:pPr>
        <w:pStyle w:val="Style53"/>
        <w:keepNext/>
        <w:keepLines/>
        <w:widowControl w:val="0"/>
        <w:shd w:val="clear" w:color="auto" w:fill="auto"/>
        <w:bidi w:val="0"/>
        <w:spacing w:before="0" w:line="240" w:lineRule="auto"/>
        <w:ind w:left="0" w:right="0" w:firstLine="0"/>
        <w:jc w:val="left"/>
      </w:pPr>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30"/>
      <w:bookmarkEnd w:id="2231"/>
      <w:bookmarkEnd w:id="223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232,796,486.19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232,796,486.19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240,262,882.69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452,062,106.19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110,804,707.29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126,569,901.55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4,953,194.87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20,270,281.08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24,501,814.27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1,545,549.32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2,006,949.32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614,864,634.63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833,705,724.33</w:t>
            </w:r>
          </w:p>
        </w:tc>
      </w:tr>
    </w:tbl>
    <w:p>
      <w:pPr>
        <w:widowControl w:val="0"/>
        <w:spacing w:after="359" w:line="1" w:lineRule="exact"/>
      </w:pPr>
    </w:p>
    <w:p>
      <w:pPr>
        <w:pStyle w:val="Style53"/>
        <w:keepNext/>
        <w:keepLines/>
        <w:widowControl w:val="0"/>
        <w:shd w:val="clear" w:color="auto" w:fill="auto"/>
        <w:bidi w:val="0"/>
        <w:spacing w:before="0" w:line="240" w:lineRule="auto"/>
        <w:ind w:left="0" w:right="0" w:firstLine="0"/>
        <w:jc w:val="left"/>
      </w:pPr>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33"/>
      <w:bookmarkEnd w:id="2234"/>
      <w:bookmarkEnd w:id="223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843"/>
        <w:gridCol w:w="1982"/>
        <w:gridCol w:w="1987"/>
        <w:gridCol w:w="135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73,728,852.59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233,082,585.43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306,811,438.02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-9,326,757.48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-9,326,757.48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64,402,095.11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233,082,585.43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297,484,680.54</w:t>
            </w:r>
          </w:p>
        </w:tc>
      </w:tr>
    </w:tbl>
    <w:p>
      <w:pPr>
        <w:spacing w:lineRule="exact" w:line="1"/>
        <w:rPr>
          <w:sz w:val="2"/>
          <w:szCs w:val="2"/>
        </w:rPr>
      </w:pPr>
      <w:r>
        <w:br w:type="page"/>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260,731,124.06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30,300,075.16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18,010,521.39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305,822,914.02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259,455,652.76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i/>
                <w:iCs/>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10,479,067.13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35,888,194.13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614,864,634.63</w:t>
            </w:r>
          </w:p>
        </w:tc>
      </w:tr>
    </w:tbl>
    <w:p>
      <w:pPr>
        <w:widowControl w:val="0"/>
        <w:spacing w:after="359" w:line="1" w:lineRule="exact"/>
      </w:pPr>
    </w:p>
    <w:p>
      <w:pPr>
        <w:pStyle w:val="Style53"/>
        <w:keepNext/>
        <w:keepLines/>
        <w:widowControl w:val="0"/>
        <w:shd w:val="clear" w:color="auto" w:fill="auto"/>
        <w:bidi w:val="0"/>
        <w:spacing w:before="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3</w:t>
      </w:r>
      <w:bookmarkEnd w:id="2238"/>
      <w:r>
        <w:rPr>
          <w:color w:val="000000"/>
          <w:spacing w:val="0"/>
          <w:w w:val="100"/>
          <w:position w:val="0"/>
        </w:rPr>
        <w:t>）本期计提、收回或转回的坏账准备情况</w:t>
      </w:r>
      <w:bookmarkEnd w:id="2236"/>
      <w:bookmarkEnd w:id="2237"/>
      <w:bookmarkEnd w:id="223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248"/>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233,082,585.43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233,082,585.43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73,728,852.59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-9,326,757.48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64,402,095.11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306,811,438.02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-9,326,757.48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297,484,680.54</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其中本期坏账准备转回或收回金额重要的：</w:t>
      </w:r>
    </w:p>
    <w:p>
      <w:pPr>
        <w:pStyle w:val="Style53"/>
        <w:keepNext/>
        <w:keepLines/>
        <w:widowControl w:val="0"/>
        <w:shd w:val="clear" w:color="auto" w:fill="auto"/>
        <w:tabs>
          <w:tab w:pos="392" w:val="left"/>
        </w:tabs>
        <w:bidi w:val="0"/>
        <w:spacing w:before="0" w:line="240" w:lineRule="auto"/>
        <w:ind w:left="0" w:right="0" w:firstLine="0"/>
        <w:jc w:val="left"/>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4</w:t>
      </w:r>
      <w:bookmarkEnd w:id="2242"/>
      <w:r>
        <w:rPr>
          <w:color w:val="000000"/>
          <w:spacing w:val="0"/>
          <w:w w:val="100"/>
          <w:position w:val="0"/>
        </w:rPr>
        <w:t>）</w:t>
        <w:tab/>
        <w:t>本期实际核销的其他应收款情况</w:t>
      </w:r>
      <w:bookmarkEnd w:id="2240"/>
      <w:bookmarkEnd w:id="2241"/>
      <w:bookmarkEnd w:id="2243"/>
    </w:p>
    <w:p>
      <w:pPr>
        <w:pStyle w:val="Style53"/>
        <w:keepNext/>
        <w:keepLines/>
        <w:widowControl w:val="0"/>
        <w:shd w:val="clear" w:color="auto" w:fill="auto"/>
        <w:tabs>
          <w:tab w:pos="392" w:val="left"/>
        </w:tabs>
        <w:bidi w:val="0"/>
        <w:spacing w:before="0" w:line="240" w:lineRule="auto"/>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5</w:t>
      </w:r>
      <w:bookmarkEnd w:id="2246"/>
      <w:r>
        <w:rPr>
          <w:color w:val="000000"/>
          <w:spacing w:val="0"/>
          <w:w w:val="100"/>
          <w:position w:val="0"/>
        </w:rPr>
        <w:t>）</w:t>
        <w:tab/>
        <w:t>按欠款方归集的期末余额前五名的其他应收款情况</w:t>
      </w:r>
      <w:bookmarkEnd w:id="2244"/>
      <w:bookmarkEnd w:id="2245"/>
      <w:bookmarkEnd w:id="224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008"/>
        <w:gridCol w:w="1277"/>
        <w:gridCol w:w="2366"/>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232,796,486.19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232,796,486.19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银江股份（香港）有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49,998,846.74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浙江万朋教育科技股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24,501,814.27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1,225,090.71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西安银江智慧城市技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17,887,249.95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2,200,416.00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008"/>
        <w:gridCol w:w="1277"/>
        <w:gridCol w:w="2366"/>
        <w:gridCol w:w="1618"/>
        <w:gridCol w:w="1622"/>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1,759,243.00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10,764,588.75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39,002.20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年以上 </w:t>
            </w:r>
            <w:r>
              <w:rPr>
                <w:rFonts w:ascii="Times New Roman" w:eastAsia="Times New Roman" w:hAnsi="Times New Roman" w:cs="Times New Roman"/>
                <w:color w:val="000000"/>
                <w:spacing w:val="0"/>
                <w:w w:val="100"/>
                <w:position w:val="0"/>
                <w:sz w:val="18"/>
                <w:szCs w:val="18"/>
              </w:rPr>
              <w:t xml:space="preserve">3,000,000.00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广东银江智慧城市建 设技术有限公司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15,226,029.13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1,796,972.38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2,483,112.78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971,311.31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1,445,999.00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1,860,814.51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年以上 </w:t>
            </w:r>
            <w:r>
              <w:rPr>
                <w:rFonts w:ascii="Times New Roman" w:eastAsia="Times New Roman" w:hAnsi="Times New Roman" w:cs="Times New Roman"/>
                <w:color w:val="000000"/>
                <w:spacing w:val="0"/>
                <w:w w:val="100"/>
                <w:position w:val="0"/>
                <w:sz w:val="18"/>
                <w:szCs w:val="18"/>
              </w:rPr>
              <w:t xml:space="preserve">6,667,819.15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340,410,426.28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234,021,576.90</w:t>
            </w:r>
          </w:p>
        </w:tc>
      </w:tr>
    </w:tbl>
    <w:p>
      <w:pPr>
        <w:widowControl w:val="0"/>
        <w:spacing w:after="359" w:line="1" w:lineRule="exact"/>
      </w:pPr>
    </w:p>
    <w:p>
      <w:pPr>
        <w:pStyle w:val="Style53"/>
        <w:keepNext/>
        <w:keepLines/>
        <w:widowControl w:val="0"/>
        <w:shd w:val="clear" w:color="auto" w:fill="auto"/>
        <w:bidi w:val="0"/>
        <w:spacing w:before="0" w:line="240" w:lineRule="auto"/>
        <w:ind w:left="0" w:right="0" w:firstLine="0"/>
        <w:jc w:val="left"/>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6</w:t>
      </w:r>
      <w:bookmarkEnd w:id="2250"/>
      <w:r>
        <w:rPr>
          <w:color w:val="000000"/>
          <w:spacing w:val="0"/>
          <w:w w:val="100"/>
          <w:position w:val="0"/>
        </w:rPr>
        <w:t>）涉及政府补助的应收款项</w:t>
      </w:r>
      <w:bookmarkEnd w:id="2248"/>
      <w:bookmarkEnd w:id="2249"/>
      <w:bookmarkEnd w:id="2251"/>
    </w:p>
    <w:p>
      <w:pPr>
        <w:pStyle w:val="Style53"/>
        <w:keepNext/>
        <w:keepLines/>
        <w:widowControl w:val="0"/>
        <w:shd w:val="clear" w:color="auto" w:fill="auto"/>
        <w:tabs>
          <w:tab w:pos="387" w:val="left"/>
        </w:tabs>
        <w:bidi w:val="0"/>
        <w:spacing w:before="0" w:line="240" w:lineRule="auto"/>
        <w:ind w:left="0" w:right="0" w:firstLine="0"/>
        <w:jc w:val="left"/>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7</w:t>
      </w:r>
      <w:bookmarkEnd w:id="2254"/>
      <w:r>
        <w:rPr>
          <w:color w:val="000000"/>
          <w:spacing w:val="0"/>
          <w:w w:val="100"/>
          <w:position w:val="0"/>
        </w:rPr>
        <w:t>）</w:t>
        <w:tab/>
        <w:t>因金融资产转移而终止确认的其他应收款</w:t>
      </w:r>
      <w:bookmarkEnd w:id="2252"/>
      <w:bookmarkEnd w:id="2253"/>
      <w:bookmarkEnd w:id="2255"/>
    </w:p>
    <w:p>
      <w:pPr>
        <w:pStyle w:val="Style53"/>
        <w:keepNext/>
        <w:keepLines/>
        <w:widowControl w:val="0"/>
        <w:shd w:val="clear" w:color="auto" w:fill="auto"/>
        <w:tabs>
          <w:tab w:pos="392" w:val="left"/>
        </w:tabs>
        <w:bidi w:val="0"/>
        <w:spacing w:before="0" w:line="240" w:lineRule="auto"/>
        <w:ind w:left="0" w:right="0" w:firstLine="0"/>
        <w:jc w:val="left"/>
      </w:pPr>
      <w:bookmarkStart w:id="2256" w:name="bookmark2256"/>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8</w:t>
      </w:r>
      <w:bookmarkEnd w:id="2258"/>
      <w:r>
        <w:rPr>
          <w:color w:val="000000"/>
          <w:spacing w:val="0"/>
          <w:w w:val="100"/>
          <w:position w:val="0"/>
        </w:rPr>
        <w:t>）</w:t>
        <w:tab/>
        <w:t>转移其他应收款且继续涉入形成的资产、负债金额</w:t>
      </w:r>
      <w:bookmarkEnd w:id="2256"/>
      <w:bookmarkEnd w:id="2257"/>
      <w:bookmarkEnd w:id="225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3</w:t>
      </w:r>
      <w:bookmarkEnd w:id="2262"/>
      <w:r>
        <w:rPr>
          <w:color w:val="000000"/>
          <w:spacing w:val="0"/>
          <w:w w:val="100"/>
          <w:position w:val="0"/>
        </w:rPr>
        <w:t>、长期股权投资</w:t>
      </w:r>
      <w:bookmarkEnd w:id="2260"/>
      <w:bookmarkEnd w:id="2261"/>
      <w:bookmarkEnd w:id="226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372,061,198.91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372,061,198.91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372,061,198.91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372,061,198.91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532,831,841.21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4,239,935.05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528,591,906.16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533,935,371.27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529,695,436.22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904,893,040.12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4,239,935.05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900,653,105.07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905,996,570.18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901,756,635.13</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2264" w:name="bookmark2264"/>
      <w:bookmarkStart w:id="2265" w:name="bookmark2265"/>
      <w:bookmarkStart w:id="2266" w:name="bookmark22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64"/>
      <w:bookmarkEnd w:id="2265"/>
      <w:bookmarkEnd w:id="226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65"/>
        <w:gridCol w:w="1262"/>
        <w:gridCol w:w="850"/>
        <w:gridCol w:w="854"/>
        <w:gridCol w:w="1272"/>
        <w:gridCol w:w="710"/>
        <w:gridCol w:w="1277"/>
        <w:gridCol w:w="79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96,996,059.43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96,996,059.43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杭州银江智慧健康集团有限公司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58,132,339.48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58,132,339.48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杭州银江智慧城市技术集团有限公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吉林银江信息技术有限公司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65"/>
        <w:gridCol w:w="1262"/>
        <w:gridCol w:w="850"/>
        <w:gridCol w:w="854"/>
        <w:gridCol w:w="1272"/>
        <w:gridCol w:w="710"/>
        <w:gridCol w:w="1277"/>
        <w:gridCol w:w="7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18,602,800.00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18,602,800.00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青岛银江智慧城市技术有限公司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东丰银江智慧城市技术有限公司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济南银江信息技术有限公司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沈阳智享大健康信息科技有限公司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372,061,198.91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372,061,198.91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2267" w:name="bookmark2267"/>
      <w:bookmarkStart w:id="2268" w:name="bookmark2268"/>
      <w:bookmarkStart w:id="2269" w:name="bookmark22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67"/>
      <w:bookmarkEnd w:id="2268"/>
      <w:bookmarkEnd w:id="22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上海济祥 智能交通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杭州银江 智慧产业 创业投资 合伙企业 （有限合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464,923,5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460,005,2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厦门银江 智慧城市 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8,838,265</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482,591.1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9,320,856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杭州清普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23,379,36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22,735,75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浙江银江</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金服控股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25,832,59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25,560,97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浙江贤谷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6,721,667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6,582,075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浙江之科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386,949.6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4,386,949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529,695,4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528,591,9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529,695,4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528,591,9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bl>
    <w:p>
      <w:pPr>
        <w:widowControl w:val="0"/>
        <w:spacing w:after="359" w:line="1" w:lineRule="exact"/>
      </w:pPr>
    </w:p>
    <w:p>
      <w:pPr>
        <w:pStyle w:val="Style38"/>
        <w:keepNext/>
        <w:keepLines/>
        <w:widowControl w:val="0"/>
        <w:numPr>
          <w:ilvl w:val="0"/>
          <w:numId w:val="35"/>
        </w:numPr>
        <w:shd w:val="clear" w:color="auto" w:fill="auto"/>
        <w:bidi w:val="0"/>
        <w:spacing w:before="0" w:after="360" w:line="240" w:lineRule="auto"/>
        <w:ind w:left="0" w:right="0" w:firstLine="0"/>
        <w:jc w:val="left"/>
      </w:pPr>
      <w:bookmarkStart w:id="2270" w:name="bookmark2270"/>
      <w:bookmarkStart w:id="2271" w:name="bookmark2271"/>
      <w:bookmarkStart w:id="2272" w:name="bookmark2272"/>
      <w:bookmarkStart w:id="2273" w:name="bookmark2273"/>
      <w:bookmarkEnd w:id="2272"/>
      <w:r>
        <w:rPr>
          <w:color w:val="000000"/>
          <w:spacing w:val="0"/>
          <w:w w:val="100"/>
          <w:position w:val="0"/>
        </w:rPr>
        <w:t>其他说明</w:t>
      </w:r>
      <w:bookmarkEnd w:id="2270"/>
      <w:bookmarkEnd w:id="2271"/>
      <w:bookmarkEnd w:id="2273"/>
    </w:p>
    <w:p>
      <w:pPr>
        <w:pStyle w:val="Style28"/>
        <w:keepNext/>
        <w:keepLines/>
        <w:widowControl w:val="0"/>
        <w:shd w:val="clear" w:color="auto" w:fill="auto"/>
        <w:bidi w:val="0"/>
        <w:spacing w:before="0" w:after="360" w:line="240" w:lineRule="auto"/>
        <w:ind w:left="0" w:right="0" w:firstLine="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4</w:t>
      </w:r>
      <w:bookmarkEnd w:id="2276"/>
      <w:r>
        <w:rPr>
          <w:color w:val="000000"/>
          <w:spacing w:val="0"/>
          <w:w w:val="100"/>
          <w:position w:val="0"/>
        </w:rPr>
        <w:t>、营业收入和营业成本</w:t>
      </w:r>
      <w:bookmarkEnd w:id="2274"/>
      <w:bookmarkEnd w:id="2275"/>
      <w:bookmarkEnd w:id="227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1,794,843,294.20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1,329,364,515.72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2,061,254,908.39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1,539,791,329.45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26,554,430.75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16,585,129.28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20,620,072.39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9,608,329.80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1,821,397,724.95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1,345,949,645.00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2,081,874,980.78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1,549,399,659.25</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2278" w:name="bookmark2278"/>
      <w:bookmarkStart w:id="2279" w:name="bookmark2279"/>
      <w:bookmarkStart w:id="2280" w:name="bookmark2280"/>
      <w:bookmarkStart w:id="2281" w:name="bookmark2281"/>
      <w:r>
        <w:rPr>
          <w:rFonts w:ascii="Times New Roman" w:eastAsia="Times New Roman" w:hAnsi="Times New Roman" w:cs="Times New Roman"/>
          <w:color w:val="000000"/>
          <w:spacing w:val="0"/>
          <w:w w:val="100"/>
          <w:position w:val="0"/>
        </w:rPr>
        <w:t>5</w:t>
      </w:r>
      <w:bookmarkEnd w:id="2280"/>
      <w:r>
        <w:rPr>
          <w:color w:val="000000"/>
          <w:spacing w:val="0"/>
          <w:w w:val="100"/>
          <w:position w:val="0"/>
        </w:rPr>
        <w:t>、投资收益</w:t>
      </w:r>
      <w:bookmarkEnd w:id="2278"/>
      <w:bookmarkEnd w:id="2279"/>
      <w:bookmarkEnd w:id="228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3115"/>
        <w:gridCol w:w="27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-5,103,530.06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-5,694,411.09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-1,362,530.06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-5,694,326.78</w:t>
            </w:r>
          </w:p>
        </w:tc>
      </w:tr>
    </w:tbl>
    <w:p>
      <w:pPr>
        <w:pStyle w:val="Style28"/>
        <w:keepNext/>
        <w:keepLines/>
        <w:widowControl w:val="0"/>
        <w:shd w:val="clear" w:color="auto" w:fill="auto"/>
        <w:bidi w:val="0"/>
        <w:spacing w:before="0" w:after="360" w:line="240" w:lineRule="auto"/>
        <w:ind w:left="0" w:right="0" w:firstLine="0"/>
        <w:jc w:val="left"/>
      </w:pPr>
      <w:bookmarkStart w:id="2282" w:name="bookmark2282"/>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6</w:t>
      </w:r>
      <w:bookmarkEnd w:id="2284"/>
      <w:r>
        <w:rPr>
          <w:color w:val="000000"/>
          <w:spacing w:val="0"/>
          <w:w w:val="100"/>
          <w:position w:val="0"/>
        </w:rPr>
        <w:t>、其他</w:t>
      </w:r>
      <w:bookmarkEnd w:id="2282"/>
      <w:bookmarkEnd w:id="2283"/>
      <w:bookmarkEnd w:id="2285"/>
    </w:p>
    <w:p>
      <w:pPr>
        <w:pStyle w:val="Style21"/>
        <w:keepNext/>
        <w:keepLines/>
        <w:widowControl w:val="0"/>
        <w:shd w:val="clear" w:color="auto" w:fill="auto"/>
        <w:bidi w:val="0"/>
        <w:spacing w:before="0" w:line="240" w:lineRule="auto"/>
        <w:ind w:left="0" w:right="0" w:firstLine="0"/>
        <w:jc w:val="left"/>
      </w:pPr>
      <w:bookmarkStart w:id="2286" w:name="bookmark2286"/>
      <w:bookmarkStart w:id="2287" w:name="bookmark2287"/>
      <w:bookmarkStart w:id="2288" w:name="bookmark2288"/>
      <w:r>
        <w:rPr>
          <w:color w:val="000000"/>
          <w:spacing w:val="0"/>
          <w:w w:val="100"/>
          <w:position w:val="0"/>
        </w:rPr>
        <w:t>十八、补充资料</w:t>
      </w:r>
      <w:bookmarkEnd w:id="2286"/>
      <w:bookmarkEnd w:id="2287"/>
      <w:bookmarkEnd w:id="2288"/>
    </w:p>
    <w:p>
      <w:pPr>
        <w:pStyle w:val="Style28"/>
        <w:keepNext/>
        <w:keepLines/>
        <w:widowControl w:val="0"/>
        <w:shd w:val="clear" w:color="auto" w:fill="auto"/>
        <w:bidi w:val="0"/>
        <w:spacing w:before="0" w:after="360" w:line="240" w:lineRule="auto"/>
        <w:ind w:left="0" w:right="0" w:firstLine="0"/>
        <w:jc w:val="left"/>
      </w:pPr>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89"/>
      <w:bookmarkEnd w:id="2290"/>
      <w:bookmarkEnd w:id="229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811"/>
        <w:gridCol w:w="1421"/>
        <w:gridCol w:w="13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计入当期损益的政府补助（与公司正常经营业务密切相关，符合国家政策规定、按照 一定标准定额或定量持续享受的政府补助除外）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2,683,228.26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除同公司正常经营业务相关的有效套期保值业务外，持有交易性金融资产、交易性金 融负债产生的公允价值变动损益，以及处置交易性金融资产交易性金融负债和可供出 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3,776,909.96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22,555,280.14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诉讼赔偿</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6,615,014.50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71,206.67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22,327,137.14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5"/>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92"/>
      <w:bookmarkEnd w:id="2293"/>
      <w:bookmarkEnd w:id="2294"/>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bl>
    <w:p>
      <w:pPr>
        <w:sectPr>
          <w:footnotePr>
            <w:pos w:val="pageBottom"/>
            <w:numFmt w:val="decimal"/>
            <w:numRestart w:val="continuous"/>
          </w:footnotePr>
          <w:pgSz w:w="11900" w:h="16840"/>
          <w:pgMar w:top="1441" w:right="1076" w:bottom="1537" w:left="1042" w:header="0" w:footer="3" w:gutter="0"/>
          <w:cols w:space="720"/>
          <w:noEndnote/>
          <w:rtlGutter w:val="0"/>
          <w:docGrid w:linePitch="360"/>
        </w:sectPr>
      </w:pPr>
    </w:p>
    <w:p>
      <w:pPr>
        <w:pStyle w:val="Style28"/>
        <w:keepNext/>
        <w:keepLines/>
        <w:widowControl w:val="0"/>
        <w:shd w:val="clear" w:color="auto" w:fill="auto"/>
        <w:tabs>
          <w:tab w:pos="378" w:val="left"/>
        </w:tabs>
        <w:bidi w:val="0"/>
        <w:spacing w:before="0" w:after="280" w:line="331" w:lineRule="exact"/>
        <w:ind w:left="0" w:right="0" w:firstLine="0"/>
        <w:jc w:val="left"/>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3</w:t>
      </w:r>
      <w:bookmarkEnd w:id="2297"/>
      <w:r>
        <w:rPr>
          <w:color w:val="000000"/>
          <w:spacing w:val="0"/>
          <w:w w:val="100"/>
          <w:position w:val="0"/>
        </w:rPr>
        <w:t>、</w:t>
        <w:tab/>
        <w:t>境内外会计准则下会计数据差异</w:t>
      </w:r>
      <w:bookmarkEnd w:id="2295"/>
      <w:bookmarkEnd w:id="2296"/>
      <w:bookmarkEnd w:id="2298"/>
    </w:p>
    <w:p>
      <w:pPr>
        <w:pStyle w:val="Style38"/>
        <w:keepNext/>
        <w:keepLines/>
        <w:widowControl w:val="0"/>
        <w:shd w:val="clear" w:color="auto" w:fill="auto"/>
        <w:tabs>
          <w:tab w:pos="493" w:val="left"/>
        </w:tabs>
        <w:bidi w:val="0"/>
        <w:spacing w:before="0" w:after="280" w:line="331" w:lineRule="exact"/>
        <w:ind w:left="0" w:right="0" w:firstLine="0"/>
        <w:jc w:val="left"/>
      </w:pPr>
      <w:bookmarkStart w:id="2299" w:name="bookmark2299"/>
      <w:bookmarkStart w:id="2300" w:name="bookmark2300"/>
      <w:bookmarkStart w:id="2301" w:name="bookmark2301"/>
      <w:bookmarkStart w:id="2302" w:name="bookmark2302"/>
      <w:r>
        <w:rPr>
          <w:color w:val="000000"/>
          <w:spacing w:val="0"/>
          <w:w w:val="100"/>
          <w:position w:val="0"/>
        </w:rPr>
        <w:t>（</w:t>
      </w:r>
      <w:bookmarkEnd w:id="230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99"/>
      <w:bookmarkEnd w:id="2300"/>
      <w:bookmarkEnd w:id="2302"/>
    </w:p>
    <w:p>
      <w:pPr>
        <w:pStyle w:val="Style38"/>
        <w:keepNext/>
        <w:keepLines/>
        <w:widowControl w:val="0"/>
        <w:shd w:val="clear" w:color="auto" w:fill="auto"/>
        <w:tabs>
          <w:tab w:pos="493" w:val="left"/>
        </w:tabs>
        <w:bidi w:val="0"/>
        <w:spacing w:before="0" w:after="280" w:line="331" w:lineRule="exact"/>
        <w:ind w:left="0" w:right="0" w:firstLine="0"/>
        <w:jc w:val="left"/>
      </w:pPr>
      <w:bookmarkStart w:id="2303" w:name="bookmark2303"/>
      <w:bookmarkStart w:id="2304" w:name="bookmark2304"/>
      <w:bookmarkStart w:id="2305" w:name="bookmark2305"/>
      <w:bookmarkStart w:id="2306" w:name="bookmark2306"/>
      <w:r>
        <w:rPr>
          <w:color w:val="000000"/>
          <w:spacing w:val="0"/>
          <w:w w:val="100"/>
          <w:position w:val="0"/>
        </w:rPr>
        <w:t>（</w:t>
      </w:r>
      <w:bookmarkEnd w:id="230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03"/>
      <w:bookmarkEnd w:id="2304"/>
      <w:bookmarkEnd w:id="2306"/>
    </w:p>
    <w:p>
      <w:pPr>
        <w:pStyle w:val="Style38"/>
        <w:keepNext/>
        <w:keepLines/>
        <w:widowControl w:val="0"/>
        <w:shd w:val="clear" w:color="auto" w:fill="auto"/>
        <w:bidi w:val="0"/>
        <w:spacing w:before="0" w:after="280" w:line="331" w:lineRule="exact"/>
        <w:ind w:left="0" w:right="0" w:firstLine="0"/>
        <w:jc w:val="left"/>
      </w:pPr>
      <w:bookmarkStart w:id="2307" w:name="bookmark2307"/>
      <w:bookmarkStart w:id="2308" w:name="bookmark2308"/>
      <w:bookmarkStart w:id="2309" w:name="bookmark2309"/>
      <w:bookmarkStart w:id="2310" w:name="bookmark2310"/>
      <w:r>
        <w:rPr>
          <w:color w:val="000000"/>
          <w:spacing w:val="0"/>
          <w:w w:val="100"/>
          <w:position w:val="0"/>
        </w:rPr>
        <w:t>（</w:t>
      </w:r>
      <w:bookmarkEnd w:id="2309"/>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07"/>
      <w:bookmarkEnd w:id="2308"/>
      <w:bookmarkEnd w:id="2310"/>
    </w:p>
    <w:p>
      <w:pPr>
        <w:pStyle w:val="Style28"/>
        <w:keepNext/>
        <w:keepLines/>
        <w:widowControl w:val="0"/>
        <w:shd w:val="clear" w:color="auto" w:fill="auto"/>
        <w:tabs>
          <w:tab w:pos="378" w:val="left"/>
        </w:tabs>
        <w:bidi w:val="0"/>
        <w:spacing w:before="0" w:after="1040" w:line="331" w:lineRule="exact"/>
        <w:ind w:left="0" w:right="0" w:firstLine="0"/>
        <w:jc w:val="left"/>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4</w:t>
      </w:r>
      <w:bookmarkEnd w:id="2313"/>
      <w:r>
        <w:rPr>
          <w:color w:val="000000"/>
          <w:spacing w:val="0"/>
          <w:w w:val="100"/>
          <w:position w:val="0"/>
        </w:rPr>
        <w:t>、</w:t>
        <w:tab/>
        <w:t>其他</w:t>
      </w:r>
      <w:bookmarkEnd w:id="2311"/>
      <w:bookmarkEnd w:id="2312"/>
      <w:bookmarkEnd w:id="2314"/>
    </w:p>
    <w:p>
      <w:pPr>
        <w:pStyle w:val="Style18"/>
        <w:keepNext w:val="0"/>
        <w:keepLines w:val="0"/>
        <w:widowControl w:val="0"/>
        <w:shd w:val="clear" w:color="auto" w:fill="auto"/>
        <w:bidi w:val="0"/>
        <w:spacing w:before="0" w:after="80" w:line="331" w:lineRule="exact"/>
        <w:ind w:left="0" w:right="0" w:firstLine="0"/>
        <w:jc w:val="right"/>
      </w:pPr>
      <w:r>
        <w:rPr>
          <w:color w:val="000000"/>
          <w:spacing w:val="0"/>
          <w:w w:val="100"/>
          <w:position w:val="0"/>
        </w:rPr>
        <w:t>银江技术股份有限公司</w:t>
      </w:r>
    </w:p>
    <w:p>
      <w:pPr>
        <w:pStyle w:val="Style18"/>
        <w:keepNext w:val="0"/>
        <w:keepLines w:val="0"/>
        <w:widowControl w:val="0"/>
        <w:shd w:val="clear" w:color="auto" w:fill="auto"/>
        <w:bidi w:val="0"/>
        <w:spacing w:before="0" w:after="80" w:line="331" w:lineRule="exact"/>
        <w:ind w:left="0" w:right="0" w:firstLine="0"/>
        <w:jc w:val="right"/>
      </w:pPr>
      <w:r>
        <w:rPr>
          <w:color w:val="000000"/>
          <w:spacing w:val="0"/>
          <w:w w:val="100"/>
          <w:position w:val="0"/>
        </w:rPr>
        <w:t>法定代表人：王腾</w:t>
      </w:r>
    </w:p>
    <w:p>
      <w:pPr>
        <w:pStyle w:val="Style18"/>
        <w:keepNext w:val="0"/>
        <w:keepLines w:val="0"/>
        <w:widowControl w:val="0"/>
        <w:shd w:val="clear" w:color="auto" w:fill="auto"/>
        <w:bidi w:val="0"/>
        <w:spacing w:before="0" w:after="280" w:line="331" w:lineRule="exact"/>
        <w:ind w:left="0" w:right="0" w:firstLine="0"/>
        <w:jc w:val="right"/>
      </w:pPr>
      <w:r>
        <w:rPr>
          <w:b/>
          <w:bCs/>
          <w:color w:val="000000"/>
          <w:spacing w:val="0"/>
          <w:w w:val="100"/>
          <w:position w:val="0"/>
        </w:rPr>
        <w:t>2022</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15</w:t>
      </w:r>
      <w:r>
        <w:rPr>
          <w:color w:val="000000"/>
          <w:spacing w:val="0"/>
          <w:w w:val="100"/>
          <w:position w:val="0"/>
        </w:rPr>
        <w:t>日</w:t>
      </w:r>
    </w:p>
    <w:sectPr>
      <w:footnotePr>
        <w:pos w:val="pageBottom"/>
        <w:numFmt w:val="decimal"/>
        <w:numRestart w:val="continuous"/>
      </w:footnotePr>
      <w:pgSz w:w="11900" w:h="16840"/>
      <w:pgMar w:top="1393" w:right="1109" w:bottom="1393" w:left="11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0"/>
      <w:szCs w:val="20"/>
      <w:u w:val="none"/>
      <w:shd w:val="clear" w:color="auto" w:fill="auto"/>
    </w:rPr>
  </w:style>
  <w:style w:type="character" w:customStyle="1" w:styleId="CharStyle19">
    <w:name w:val="Body text (3)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Body text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9">
    <w:name w:val="Heading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54">
    <w:name w:val="Heading #5_"/>
    <w:basedOn w:val="DefaultParagraphFont"/>
    <w:link w:val="Style53"/>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0">
    <w:name w:val="Heading #1"/>
    <w:basedOn w:val="Normal"/>
    <w:link w:val="CharStyle11"/>
    <w:pPr>
      <w:widowControl w:val="0"/>
      <w:shd w:val="clear" w:color="auto" w:fill="auto"/>
      <w:spacing w:before="27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420"/>
    </w:pPr>
    <w:rPr>
      <w:rFonts w:ascii="SimSun" w:eastAsia="SimSun" w:hAnsi="SimSun" w:cs="SimSun"/>
      <w:b/>
      <w:bCs/>
      <w:i w:val="0"/>
      <w:iCs w:val="0"/>
      <w:smallCaps w:val="0"/>
      <w:strike w:val="0"/>
      <w:sz w:val="20"/>
      <w:szCs w:val="20"/>
      <w:u w:val="none"/>
      <w:shd w:val="clear" w:color="auto" w:fill="auto"/>
    </w:rPr>
  </w:style>
  <w:style w:type="paragraph" w:customStyle="1" w:styleId="Style18">
    <w:name w:val="Body text (3)"/>
    <w:basedOn w:val="Normal"/>
    <w:link w:val="CharStyle19"/>
    <w:pPr>
      <w:widowControl w:val="0"/>
      <w:shd w:val="clear" w:color="auto" w:fill="auto"/>
      <w:spacing w:after="140" w:line="470"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Heading #2"/>
    <w:basedOn w:val="Normal"/>
    <w:link w:val="CharStyle22"/>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25">
    <w:name w:val="Body text"/>
    <w:basedOn w:val="Normal"/>
    <w:link w:val="CharStyle26"/>
    <w:qFormat/>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3"/>
    <w:basedOn w:val="Normal"/>
    <w:link w:val="CharStyle29"/>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Heading #4"/>
    <w:basedOn w:val="Normal"/>
    <w:link w:val="CharStyle3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3">
    <w:name w:val="Heading #5"/>
    <w:basedOn w:val="Normal"/>
    <w:link w:val="CharStyle54"/>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银江技术股份有限公司2021年年度报告全文</dc:title>
  <dc:subject/>
  <dc:creator>银江技术股份有限公司</dc:creator>
  <cp:keywords/>
</cp:coreProperties>
</file>