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ENJOYOR</w:t>
      </w:r>
      <w:r>
        <w:rPr>
          <w:spacing w:val="0"/>
          <w:w w:val="100"/>
          <w:position w:val="0"/>
          <w:vertAlign w:val="superscript"/>
        </w:rPr>
        <w:t>fi</w:t>
      </w:r>
    </w:p>
    <w:p>
      <w:pPr>
        <w:pStyle w:val="Style8"/>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银江股份有限公司</w:t>
      </w:r>
    </w:p>
    <w:p>
      <w:pPr>
        <w:pStyle w:val="Style8"/>
        <w:keepNext w:val="0"/>
        <w:keepLines w:val="0"/>
        <w:widowControl w:val="0"/>
        <w:shd w:val="clear" w:color="auto" w:fill="auto"/>
        <w:bidi w:val="0"/>
        <w:spacing w:before="0" w:after="6040" w:line="240" w:lineRule="auto"/>
        <w:ind w:left="0" w:right="0" w:firstLine="0"/>
        <w:jc w:val="center"/>
        <w:rPr>
          <w:sz w:val="44"/>
          <w:szCs w:val="44"/>
        </w:rPr>
      </w:pPr>
      <w:r>
        <w:rPr>
          <w:rFonts w:ascii="Times New Roman" w:eastAsia="Times New Roman" w:hAnsi="Times New Roman" w:cs="Times New Roman"/>
          <w:color w:val="000000"/>
          <w:spacing w:val="0"/>
          <w:w w:val="100"/>
          <w:position w:val="0"/>
          <w:sz w:val="44"/>
          <w:szCs w:val="44"/>
        </w:rPr>
        <w:t>2020</w:t>
      </w:r>
      <w:r>
        <w:rPr>
          <w:color w:val="000000"/>
          <w:spacing w:val="0"/>
          <w:w w:val="100"/>
          <w:position w:val="0"/>
          <w:sz w:val="44"/>
          <w:szCs w:val="44"/>
        </w:rPr>
        <w:t>年年度报告</w:t>
      </w:r>
    </w:p>
    <w:p>
      <w:pPr>
        <w:pStyle w:val="Style12"/>
        <w:keepNext w:val="0"/>
        <w:keepLines w:val="0"/>
        <w:widowControl w:val="0"/>
        <w:shd w:val="clear" w:color="auto" w:fill="auto"/>
        <w:bidi w:val="0"/>
        <w:spacing w:before="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497" w:right="1105" w:bottom="2497" w:left="1100"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7"/>
        <w:keepNext w:val="0"/>
        <w:keepLines w:val="0"/>
        <w:widowControl w:val="0"/>
        <w:shd w:val="clear" w:color="auto" w:fill="auto"/>
        <w:bidi w:val="0"/>
        <w:spacing w:before="0" w:after="0"/>
        <w:ind w:left="0" w:right="0"/>
        <w:jc w:val="both"/>
      </w:pPr>
      <w:r>
        <w:rPr>
          <w:color w:val="000000"/>
          <w:spacing w:val="0"/>
          <w:w w:val="100"/>
          <w:position w:val="0"/>
        </w:rPr>
        <w:t>公司负责人王腾、主管会计工作负责人任刚要及会计机构负责人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欧阳文根声明：保证本年度报告中财务报告的真实、准确、完整。</w:t>
      </w:r>
    </w:p>
    <w:p>
      <w:pPr>
        <w:pStyle w:val="Style17"/>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ind w:left="0" w:right="0"/>
        <w:jc w:val="both"/>
      </w:pPr>
      <w:r>
        <w:rPr>
          <w:color w:val="000000"/>
          <w:spacing w:val="0"/>
          <w:w w:val="100"/>
          <w:position w:val="0"/>
        </w:rPr>
        <w:t>报告期内，控股股东存在资金占用情形，上述占用资金及利息已经全部收 回，该事项的影响已经消除。具体内容详见公司于</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28</w:t>
      </w:r>
      <w:r>
        <w:rPr>
          <w:color w:val="000000"/>
          <w:spacing w:val="0"/>
          <w:w w:val="100"/>
          <w:position w:val="0"/>
        </w:rPr>
        <w:t>日在巨潮资 讯网上披露的《董事会关于公司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年带强调事项段的无保留意见审计报告涉 及事项的专项说明》以及中兴华会计师事务所（特殊普通合伙）出具的中兴华 报字（</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）第</w:t>
      </w:r>
      <w:r>
        <w:rPr>
          <w:rFonts w:ascii="Times New Roman" w:eastAsia="Times New Roman" w:hAnsi="Times New Roman" w:cs="Times New Roman"/>
          <w:color w:val="000000"/>
          <w:spacing w:val="0"/>
          <w:w w:val="100"/>
          <w:position w:val="0"/>
          <w:sz w:val="28"/>
          <w:szCs w:val="28"/>
        </w:rPr>
        <w:t>510015</w:t>
      </w:r>
      <w:r>
        <w:rPr>
          <w:color w:val="000000"/>
          <w:spacing w:val="0"/>
          <w:w w:val="100"/>
          <w:position w:val="0"/>
        </w:rPr>
        <w:t>号《关于银江股份有限公司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年度财务报告非标准 审计意见的专项说明》。</w:t>
      </w:r>
    </w:p>
    <w:p>
      <w:pPr>
        <w:pStyle w:val="Style17"/>
        <w:keepNext w:val="0"/>
        <w:keepLines w:val="0"/>
        <w:widowControl w:val="0"/>
        <w:shd w:val="clear" w:color="auto" w:fill="auto"/>
        <w:bidi w:val="0"/>
        <w:spacing w:before="0" w:after="0"/>
        <w:ind w:left="0" w:right="0"/>
        <w:jc w:val="both"/>
      </w:pPr>
      <w:r>
        <w:rPr>
          <w:color w:val="000000"/>
          <w:spacing w:val="0"/>
          <w:w w:val="100"/>
          <w:position w:val="0"/>
        </w:rPr>
        <w:t>自查期间，公司管理层发现上述重要缺陷，第一时间采取了相关措施，积 极敦促控股股东履行了还款义务。同时针对上述内部控制缺陷问题，公司董事 会和公司管理层认真吸取教训，全面加强管控并完善内部控制体系。</w:t>
      </w:r>
    </w:p>
    <w:p>
      <w:pPr>
        <w:pStyle w:val="Style17"/>
        <w:keepNext w:val="0"/>
        <w:keepLines w:val="0"/>
        <w:widowControl w:val="0"/>
        <w:shd w:val="clear" w:color="auto" w:fill="auto"/>
        <w:bidi w:val="0"/>
        <w:spacing w:before="0" w:after="0"/>
        <w:ind w:left="0" w:right="0"/>
        <w:jc w:val="both"/>
      </w:pPr>
      <w:r>
        <w:rPr>
          <w:color w:val="000000"/>
          <w:spacing w:val="0"/>
          <w:w w:val="100"/>
          <w:position w:val="0"/>
        </w:rPr>
        <w:t>公司存在政策性风险、核心人员流失风险、智慧城市业务模式的风险、投 资并购及管理风险、商业模式创新风险等风险，敬请广大投资者注意投资风险。 详细内容见本报告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（三）风险因素</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7"/>
        <w:keepNext w:val="0"/>
        <w:keepLines w:val="0"/>
        <w:widowControl w:val="0"/>
        <w:shd w:val="clear" w:color="auto" w:fill="auto"/>
        <w:bidi w:val="0"/>
        <w:spacing w:before="0" w:after="16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878" w:right="1105" w:bottom="1748" w:left="110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0"/>
        <w:keepNext w:val="0"/>
        <w:keepLines w:val="0"/>
        <w:widowControl w:val="0"/>
        <w:shd w:val="clear" w:color="auto" w:fill="auto"/>
        <w:tabs>
          <w:tab w:leader="dot" w:pos="9614" w:val="right"/>
        </w:tabs>
        <w:bidi w:val="0"/>
        <w:spacing w:before="3460" w:line="240" w:lineRule="auto"/>
        <w:ind w:left="0" w:right="0" w:firstLine="0"/>
        <w:jc w:val="both"/>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9" w:tooltip="Current Document">
        <w:r>
          <w:rPr>
            <w:color w:val="000000"/>
            <w:spacing w:val="0"/>
            <w:w w:val="100"/>
            <w:position w:val="0"/>
            <w:sz w:val="26"/>
            <w:szCs w:val="26"/>
          </w:rPr>
          <w:t>第三节公司业务概要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82"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258" w:tooltip="Current Document">
        <w:r>
          <w:rPr>
            <w:color w:val="000000"/>
            <w:spacing w:val="0"/>
            <w:w w:val="100"/>
            <w:position w:val="0"/>
            <w:sz w:val="26"/>
            <w:szCs w:val="26"/>
          </w:rPr>
          <w:t>第五节 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20"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76"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80"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49</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84" w:tooltip="Current Document">
        <w:r>
          <w:rPr>
            <w:color w:val="000000"/>
            <w:spacing w:val="0"/>
            <w:w w:val="100"/>
            <w:position w:val="0"/>
            <w:sz w:val="26"/>
            <w:szCs w:val="26"/>
          </w:rPr>
          <w:t>第九节 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24"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57</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06"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10"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63</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2272" w:tooltip="Current Document">
        <w:r>
          <w:rPr>
            <w:color w:val="000000"/>
            <w:spacing w:val="0"/>
            <w:w w:val="100"/>
            <w:position w:val="0"/>
            <w:sz w:val="26"/>
            <w:szCs w:val="26"/>
          </w:rPr>
          <w:t>第十三节 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202</w:t>
        </w:r>
      </w:hyperlink>
      <w:r>
        <w:br w:type="page"/>
      </w:r>
      <w:r>
        <w:fldChar w:fldCharType="end"/>
      </w:r>
    </w:p>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公司、本公司、银江股份、发行人、本集团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最近三年、近三年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审计机构、中兴华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控股股东、银江科技集团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银江股份有限公司股东大会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银江股份有限公司监事会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银江股份有限公司董事会提名委员会、银江股份有限公司董事会战略 决策委员会、银江股份有限公司董事会薪酬与考核委员会、银江股份 有限公司董事会审计委员会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浙江银江智慧交通集团有限公司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智慧健康集团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杭州银江智慧健康集团有限公司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杭州银江智慧城市技术集团有限公司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浙江银江研究院有限公司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杭州银江智慧产业创业投资合伙企业（有限合伙）</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8"/>
        <w:keepNext/>
        <w:keepLines/>
        <w:widowControl w:val="0"/>
        <w:shd w:val="clear" w:color="auto" w:fill="auto"/>
        <w:bidi w:val="0"/>
        <w:spacing w:before="0" w:after="320" w:line="240" w:lineRule="auto"/>
        <w:ind w:left="0" w:right="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702"/>
        <w:gridCol w:w="2544"/>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浙江省杭州市益乐路</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"http://www.enjoyor.net" </w:instrText>
            </w:r>
            <w:r>
              <w:fldChar w:fldCharType="separate"/>
            </w:r>
            <w:r>
              <w:rPr>
                <w:rFonts w:ascii="Times New Roman" w:eastAsia="Times New Roman" w:hAnsi="Times New Roman" w:cs="Times New Roman"/>
                <w:color w:val="000000"/>
                <w:spacing w:val="0"/>
                <w:w w:val="100"/>
                <w:position w:val="0"/>
                <w:sz w:val="18"/>
                <w:szCs w:val="18"/>
              </w:rPr>
              <w:t>www.enjoyor.net</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吴孟立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座公司证券管理部</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jc w:val="both"/>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、其他有关资料</w:t>
      </w:r>
      <w:bookmarkEnd w:id="20"/>
      <w:bookmarkEnd w:id="21"/>
      <w:bookmarkEnd w:id="23"/>
    </w:p>
    <w:p>
      <w:pPr>
        <w:pStyle w:val="Style30"/>
        <w:keepNext w:val="0"/>
        <w:keepLines w:val="0"/>
        <w:widowControl w:val="0"/>
        <w:shd w:val="clear" w:color="auto" w:fill="auto"/>
        <w:bidi w:val="0"/>
        <w:spacing w:before="0" w:after="320" w:line="240" w:lineRule="auto"/>
        <w:ind w:left="0" w:right="0" w:firstLine="260"/>
        <w:jc w:val="both"/>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北京市丰台区东管头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2048-62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高敏建、庞玉文</w:t>
            </w:r>
          </w:p>
        </w:tc>
      </w:tr>
    </w:tbl>
    <w:p>
      <w:pPr>
        <w:pStyle w:val="Style30"/>
        <w:keepNext w:val="0"/>
        <w:keepLines w:val="0"/>
        <w:widowControl w:val="0"/>
        <w:shd w:val="clear" w:color="auto" w:fill="auto"/>
        <w:bidi w:val="0"/>
        <w:spacing w:before="0" w:after="0" w:line="341" w:lineRule="exact"/>
        <w:ind w:left="260" w:right="0" w:firstLine="2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260" w:right="0" w:firstLine="2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260" w:right="0" w:firstLine="2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30"/>
        <w:keepNext w:val="0"/>
        <w:keepLines w:val="0"/>
        <w:widowControl w:val="0"/>
        <w:shd w:val="clear" w:color="auto" w:fill="auto"/>
        <w:bidi w:val="0"/>
        <w:spacing w:before="0" w:after="140" w:line="341" w:lineRule="exact"/>
        <w:ind w:left="260" w:right="0" w:firstLine="2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0" w:line="396" w:lineRule="auto"/>
        <w:ind w:left="26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41" w:lineRule="exact"/>
        <w:ind w:left="260" w:right="0" w:firstLine="20"/>
        <w:jc w:val="left"/>
      </w:pPr>
      <w:r>
        <w:rPr>
          <w:color w:val="000000"/>
          <w:spacing w:val="0"/>
          <w:w w:val="100"/>
          <w:position w:val="0"/>
        </w:rPr>
        <w:t>追溯调整或重述原因</w:t>
      </w:r>
    </w:p>
    <w:p>
      <w:pPr>
        <w:pStyle w:val="Style30"/>
        <w:keepNext w:val="0"/>
        <w:keepLines w:val="0"/>
        <w:widowControl w:val="0"/>
        <w:shd w:val="clear" w:color="auto" w:fill="auto"/>
        <w:bidi w:val="0"/>
        <w:spacing w:before="0" w:after="80" w:line="341" w:lineRule="exact"/>
        <w:ind w:left="260" w:right="0" w:firstLine="20"/>
        <w:jc w:val="left"/>
      </w:pPr>
      <w:r>
        <w:rPr>
          <w:color w:val="000000"/>
          <w:spacing w:val="0"/>
          <w:w w:val="100"/>
          <w:position w:val="0"/>
        </w:rPr>
        <w:t>会计差错更正</w:t>
      </w:r>
    </w:p>
    <w:tbl>
      <w:tblPr>
        <w:tblOverlap w:val="never"/>
        <w:jc w:val="center"/>
        <w:tblLayout w:type="fixed"/>
      </w:tblPr>
      <w:tblGrid>
        <w:gridCol w:w="2131"/>
        <w:gridCol w:w="1430"/>
        <w:gridCol w:w="1402"/>
        <w:gridCol w:w="1421"/>
        <w:gridCol w:w="989"/>
        <w:gridCol w:w="1421"/>
        <w:gridCol w:w="1426"/>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2,079,504,434.71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2,079,504,434.71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2,413,277,806.75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2,413,277,806.75</w:t>
            </w:r>
          </w:p>
        </w:tc>
      </w:tr>
      <w:tr>
        <w:trPr>
          <w:trHeight w:val="6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 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157,704,491.11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148,813,913.73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150,042,583.64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26,444,095.70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25,526,945.85</w:t>
            </w:r>
          </w:p>
        </w:tc>
      </w:tr>
      <w:tr>
        <w:trPr>
          <w:trHeight w:val="9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除非经常性损益的净利润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136,571,286.96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131,459,353.15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114,370,253.61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123,141,898.92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117,058,132.87</w:t>
            </w:r>
          </w:p>
        </w:tc>
      </w:tr>
      <w:tr>
        <w:trPr>
          <w:trHeight w:val="6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 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-120,082,247.99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13,141,752.01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13,293,096.36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87,896,599.40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634"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6,713,578,738.66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6,313,987,388.33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6,472,516,865.34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6,078,445,611.21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6,144,481,386.87</w:t>
            </w:r>
          </w:p>
        </w:tc>
      </w:tr>
      <w:tr>
        <w:trPr>
          <w:trHeight w:val="64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3,472,927,540.91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3,293,905,834.88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3,291,194,843.44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3,232,269,575.73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3,237,162,218.70</w:t>
            </w:r>
          </w:p>
        </w:tc>
      </w:tr>
    </w:tbl>
    <w:p>
      <w:pPr>
        <w:pStyle w:val="Style30"/>
        <w:keepNext w:val="0"/>
        <w:keepLines w:val="0"/>
        <w:widowControl w:val="0"/>
        <w:shd w:val="clear" w:color="auto" w:fill="auto"/>
        <w:bidi w:val="0"/>
        <w:spacing w:before="0" w:after="0" w:line="317" w:lineRule="exact"/>
        <w:ind w:left="260" w:right="0" w:firstLine="20"/>
        <w:jc w:val="left"/>
      </w:pPr>
      <w:r>
        <w:rPr>
          <w:color w:val="000000"/>
          <w:spacing w:val="0"/>
          <w:w w:val="100"/>
          <w:position w:val="0"/>
        </w:rPr>
        <w:t>会计政策变更的原因及会计差错更正的情况</w:t>
      </w:r>
    </w:p>
    <w:p>
      <w:pPr>
        <w:pStyle w:val="Style30"/>
        <w:keepNext w:val="0"/>
        <w:keepLines w:val="0"/>
        <w:widowControl w:val="0"/>
        <w:shd w:val="clear" w:color="auto" w:fill="auto"/>
        <w:bidi w:val="0"/>
        <w:spacing w:before="0" w:after="0" w:line="317" w:lineRule="exact"/>
        <w:ind w:left="260" w:right="0" w:firstLine="20"/>
        <w:jc w:val="left"/>
      </w:pPr>
      <w:r>
        <w:rPr>
          <w:color w:val="000000"/>
          <w:spacing w:val="0"/>
          <w:w w:val="100"/>
          <w:position w:val="0"/>
        </w:rPr>
        <w:t>详见本报告第五节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六、董事会关于报告期会计政策、会计估计变更或重大会计差错更正的说明。</w:t>
      </w:r>
    </w:p>
    <w:p>
      <w:pPr>
        <w:pStyle w:val="Style30"/>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60" w:lineRule="auto"/>
        <w:ind w:left="2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20" w:line="360" w:lineRule="auto"/>
        <w:ind w:left="2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80" w:line="240" w:lineRule="auto"/>
        <w:ind w:left="0" w:right="0"/>
        <w:jc w:val="both"/>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525,606,485.22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563,837,673.07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383,718,133.97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665,019,638.01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55,621,880.44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59,867,073.09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15,902,303.58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26,313,234.00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52,291,758.22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41,755,526.64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14,520,556.25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28,003,445.85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-204,908,841.58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-176,445,932.38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187,429,047.49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102,433,641.90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782" w:val="left"/>
        </w:tabs>
        <w:bidi w:val="0"/>
        <w:spacing w:before="0" w:after="380" w:line="240" w:lineRule="auto"/>
        <w:ind w:left="0" w:right="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3"/>
        <w:keepNext/>
        <w:keepLines/>
        <w:widowControl w:val="0"/>
        <w:shd w:val="clear" w:color="auto" w:fill="auto"/>
        <w:tabs>
          <w:tab w:pos="663" w:val="left"/>
        </w:tabs>
        <w:bidi w:val="0"/>
        <w:spacing w:before="0" w:after="380" w:line="240" w:lineRule="auto"/>
        <w:ind w:left="0" w:right="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663" w:val="left"/>
        </w:tabs>
        <w:bidi w:val="0"/>
        <w:spacing w:before="0" w:after="380" w:line="240" w:lineRule="auto"/>
        <w:ind w:left="0" w:right="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782" w:val="left"/>
        </w:tabs>
        <w:bidi w:val="0"/>
        <w:spacing w:before="0" w:after="380" w:line="240" w:lineRule="auto"/>
        <w:ind w:left="0" w:right="0"/>
        <w:jc w:val="both"/>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30"/>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4829"/>
        <w:gridCol w:w="1133"/>
        <w:gridCol w:w="1416"/>
        <w:gridCol w:w="1277"/>
        <w:gridCol w:w="931"/>
      </w:tblGrid>
      <w:tr>
        <w:trPr>
          <w:trHeight w:val="3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8,278,074.23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63,595,878.81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8,838,812.97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10,307,181.71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2,469,345.27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21,550,317.00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6,078,372.00</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 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6,682,381.56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51,624,340.00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1,162,861.86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-443,221.55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-227,528.69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-233,959,348.05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4,256,903.53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5,333,704.68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-18,884,355.91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829"/>
        <w:gridCol w:w="1133"/>
        <w:gridCol w:w="1416"/>
        <w:gridCol w:w="1277"/>
        <w:gridCol w:w="931"/>
      </w:tblGrid>
      <w:tr>
        <w:trPr>
          <w:trHeight w:val="3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-3,397.73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21,133,204.15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35,672,330.03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-91,531,187.02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260" w:right="0" w:firstLine="2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260" w:right="0" w:firstLine="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260" w:right="0" w:firstLine="20"/>
        <w:jc w:val="both"/>
        <w:sectPr>
          <w:footnotePr>
            <w:pos w:val="pageBottom"/>
            <w:numFmt w:val="decimal"/>
            <w:numRestart w:val="continuous"/>
          </w:footnotePr>
          <w:pgSz w:w="11900" w:h="16840"/>
          <w:pgMar w:top="1441" w:right="848" w:bottom="1542" w:left="83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20" w:after="58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8"/>
        <w:keepNext/>
        <w:keepLines/>
        <w:widowControl w:val="0"/>
        <w:shd w:val="clear" w:color="auto" w:fill="auto"/>
        <w:tabs>
          <w:tab w:pos="766" w:val="left"/>
        </w:tabs>
        <w:bidi w:val="0"/>
        <w:spacing w:before="0" w:after="260" w:line="240" w:lineRule="auto"/>
        <w:ind w:left="0" w:right="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报告期内公司从事的主要业务</w:t>
      </w:r>
      <w:bookmarkEnd w:id="52"/>
      <w:bookmarkEnd w:id="53"/>
      <w:bookmarkEnd w:id="55"/>
      <w:bookmarkEnd w:id="51"/>
    </w:p>
    <w:p>
      <w:pPr>
        <w:pStyle w:val="Style30"/>
        <w:keepNext w:val="0"/>
        <w:keepLines w:val="0"/>
        <w:widowControl w:val="0"/>
        <w:shd w:val="clear" w:color="auto" w:fill="auto"/>
        <w:bidi w:val="0"/>
        <w:spacing w:before="0" w:after="380" w:line="313" w:lineRule="exact"/>
        <w:ind w:left="260" w:right="0" w:firstLine="20"/>
        <w:jc w:val="both"/>
      </w:pPr>
      <w:r>
        <w:rPr>
          <w:color w:val="000000"/>
          <w:spacing w:val="0"/>
          <w:w w:val="100"/>
          <w:position w:val="0"/>
        </w:rPr>
        <w:t>报告期内，公司主营业务没有发生重大变化。公司作为城市大脑运营服务商，专注于通过人工智能、大数据、物联网等先进 技术，为城市交通治理、环境保护、城市精细化管理、区域经济管理等构建一个后台系统，打通不同平台，推动城市数字化 管理，为城市管理和民生服务打造跨领域、跨区域的城市大脑数据资源交换和共享平台，推动城市文明发展的新浪潮。公司 聚焦智慧交通、智慧健康等行业，通过在全国各地设立区域服务公司构建了覆盖全国的完整市场营销网络，通过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系统建设、 软件交付、运营服务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落实三位一体的企业发展战略和经营策略，通过市场平台和产业资本的深度融合构建全产业链的开放 生态系统。公司以城市大脑为推进主体，深耕交通大脑和健康大脑的行业应用，率先开拓司法大脑的行业创新应用，通过线 上与线下相结合做全行业应用做深行业技术，通过系统建设、软件服务、运营服务业务同步发展实现公司主营业务的新发 展。报告期内公司所属行业的发展阶段、周期性特点以及公司所处行业的地位，请详见第四节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 公司未来发展的展望</w:t>
      </w:r>
    </w:p>
    <w:p>
      <w:pPr>
        <w:pStyle w:val="Style28"/>
        <w:keepNext/>
        <w:keepLines/>
        <w:widowControl w:val="0"/>
        <w:shd w:val="clear" w:color="auto" w:fill="auto"/>
        <w:tabs>
          <w:tab w:pos="766" w:val="left"/>
        </w:tabs>
        <w:bidi w:val="0"/>
        <w:spacing w:before="0" w:after="380" w:line="240" w:lineRule="auto"/>
        <w:ind w:left="0" w:right="0"/>
        <w:jc w:val="left"/>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w:t>
        <w:tab/>
        <w:t>主要资产重大变化情况</w:t>
      </w:r>
      <w:bookmarkEnd w:id="56"/>
      <w:bookmarkEnd w:id="57"/>
      <w:bookmarkEnd w:id="59"/>
    </w:p>
    <w:p>
      <w:pPr>
        <w:pStyle w:val="Style33"/>
        <w:keepNext/>
        <w:keepLines/>
        <w:widowControl w:val="0"/>
        <w:shd w:val="clear" w:color="auto" w:fill="auto"/>
        <w:bidi w:val="0"/>
        <w:spacing w:before="0" w:after="320" w:line="240" w:lineRule="auto"/>
        <w:ind w:left="0" w:right="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28"/>
      </w:tblGrid>
      <w:tr>
        <w:trPr>
          <w:trHeight w:val="69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滨江总部办公楼施工</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主要亿邦国际公允价值变动</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主要是富阳办公楼房产转入</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30"/>
        <w:keepNext w:val="0"/>
        <w:keepLines w:val="0"/>
        <w:widowControl w:val="0"/>
        <w:shd w:val="clear" w:color="auto" w:fill="auto"/>
        <w:bidi w:val="0"/>
        <w:spacing w:before="0" w:after="380" w:line="314"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jc w:val="left"/>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、核心竞争力分析</w:t>
      </w:r>
      <w:bookmarkEnd w:id="68"/>
      <w:bookmarkEnd w:id="69"/>
      <w:bookmarkEnd w:id="71"/>
    </w:p>
    <w:p>
      <w:pPr>
        <w:pStyle w:val="Style3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报告期内，公司核心竞争能力未发生重大变化</w:t>
      </w:r>
    </w:p>
    <w:p>
      <w:pPr>
        <w:pStyle w:val="Style30"/>
        <w:keepNext w:val="0"/>
        <w:keepLines w:val="0"/>
        <w:widowControl w:val="0"/>
        <w:shd w:val="clear" w:color="auto" w:fill="auto"/>
        <w:bidi w:val="0"/>
        <w:spacing w:before="0" w:after="0" w:line="314" w:lineRule="exact"/>
        <w:ind w:left="0" w:right="0" w:firstLine="640"/>
        <w:jc w:val="left"/>
      </w:pPr>
      <w:bookmarkStart w:id="72" w:name="bookmark72"/>
      <w:r>
        <w:rPr>
          <w:b/>
          <w:bCs/>
          <w:color w:val="000000"/>
          <w:spacing w:val="0"/>
          <w:w w:val="100"/>
          <w:position w:val="0"/>
        </w:rPr>
        <w:t>（</w:t>
      </w:r>
      <w:bookmarkEnd w:id="72"/>
      <w:r>
        <w:rPr>
          <w:b/>
          <w:bCs/>
          <w:color w:val="000000"/>
          <w:spacing w:val="0"/>
          <w:w w:val="100"/>
          <w:position w:val="0"/>
        </w:rPr>
        <w:t>一）精益求精，着力推进技术驱动战略</w:t>
      </w:r>
    </w:p>
    <w:p>
      <w:pPr>
        <w:pStyle w:val="Style30"/>
        <w:keepNext w:val="0"/>
        <w:keepLines w:val="0"/>
        <w:widowControl w:val="0"/>
        <w:shd w:val="clear" w:color="auto" w:fill="auto"/>
        <w:bidi w:val="0"/>
        <w:spacing w:before="0" w:after="0" w:line="314" w:lineRule="exact"/>
        <w:ind w:left="260" w:right="0" w:firstLine="380"/>
        <w:jc w:val="both"/>
      </w:pPr>
      <w:r>
        <w:rPr>
          <w:color w:val="000000"/>
          <w:spacing w:val="0"/>
          <w:w w:val="100"/>
          <w:position w:val="0"/>
        </w:rPr>
        <w:t>报告期内，公司着力推进技术驱动战略，持续加强科技自主创新。面向</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的全域交通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控制系统入选工信部物联网 集成创新与融合应用项目，基于</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的城市智能交通系统关键技术联合研发与应用示范获科技部国际科技合作项目立项，智 慧镇街数字驾驶舱平台和银江智慧安保平台入围国家先进制造业产业集群杭州数字安防产业集群建设项目。</w:t>
      </w:r>
    </w:p>
    <w:p>
      <w:pPr>
        <w:pStyle w:val="Style30"/>
        <w:keepNext w:val="0"/>
        <w:keepLines w:val="0"/>
        <w:widowControl w:val="0"/>
        <w:shd w:val="clear" w:color="auto" w:fill="auto"/>
        <w:bidi w:val="0"/>
        <w:spacing w:before="0" w:after="0" w:line="314" w:lineRule="exact"/>
        <w:ind w:left="260" w:right="0" w:firstLine="380"/>
        <w:jc w:val="both"/>
      </w:pPr>
      <w:r>
        <w:rPr>
          <w:color w:val="000000"/>
          <w:spacing w:val="0"/>
          <w:w w:val="100"/>
          <w:position w:val="0"/>
        </w:rPr>
        <w:t>公司在人工智能、大数据等新一代信息技术方面研发打造多款明星产品，银江数据中枢平台成功入选浙江省首版次软件 产品，面向医共体的慢病</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管理服务解决方案入选浙江省新一代人工智能解决方案，城市交通超能计算等平台入选杭州市 创新产品目录。报告期内，公司及控股子公司合计拥有</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项注册商标、</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项资质证书、</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项专利（其中发明专利</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 xml:space="preserve">项）、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项软件产品、</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项著作权、受理专利申请</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项。公司有效实现技术创新与技术标准化双向发展，为业务领域赢得先发优 势提供强劲支撑。</w:t>
      </w:r>
    </w:p>
    <w:p>
      <w:pPr>
        <w:pStyle w:val="Style30"/>
        <w:keepNext w:val="0"/>
        <w:keepLines w:val="0"/>
        <w:widowControl w:val="0"/>
        <w:shd w:val="clear" w:color="auto" w:fill="auto"/>
        <w:bidi w:val="0"/>
        <w:spacing w:before="0" w:after="0" w:line="314" w:lineRule="exact"/>
        <w:ind w:left="0" w:right="0" w:firstLine="720"/>
        <w:jc w:val="left"/>
      </w:pPr>
      <w:bookmarkStart w:id="73" w:name="bookmark73"/>
      <w:r>
        <w:rPr>
          <w:b/>
          <w:bCs/>
          <w:color w:val="000000"/>
          <w:spacing w:val="0"/>
          <w:w w:val="100"/>
          <w:position w:val="0"/>
        </w:rPr>
        <w:t>（</w:t>
      </w:r>
      <w:bookmarkEnd w:id="73"/>
      <w:r>
        <w:rPr>
          <w:b/>
          <w:bCs/>
          <w:color w:val="000000"/>
          <w:spacing w:val="0"/>
          <w:w w:val="100"/>
          <w:position w:val="0"/>
        </w:rPr>
        <w:t>二）开拓创新，持续升级公司资质荣誉</w:t>
      </w:r>
    </w:p>
    <w:p>
      <w:pPr>
        <w:pStyle w:val="Style30"/>
        <w:keepNext w:val="0"/>
        <w:keepLines w:val="0"/>
        <w:widowControl w:val="0"/>
        <w:shd w:val="clear" w:color="auto" w:fill="auto"/>
        <w:bidi w:val="0"/>
        <w:spacing w:before="0" w:after="0" w:line="314" w:lineRule="exact"/>
        <w:ind w:left="0" w:right="0" w:firstLine="640"/>
        <w:jc w:val="both"/>
      </w:pPr>
      <w:r>
        <w:rPr>
          <w:color w:val="000000"/>
          <w:spacing w:val="0"/>
          <w:w w:val="100"/>
          <w:position w:val="0"/>
        </w:rPr>
        <w:t>报告期内，公司的企业发展平台更趋完善，成功取得了信息系统建设和服务能力优秀级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CS4</w:t>
      </w:r>
      <w:r>
        <w:rPr>
          <w:color w:val="000000"/>
          <w:spacing w:val="0"/>
          <w:w w:val="100"/>
          <w:position w:val="0"/>
        </w:rPr>
        <w:t>）</w:t>
      </w:r>
      <w:r>
        <w:rPr>
          <w:color w:val="000000"/>
          <w:spacing w:val="0"/>
          <w:w w:val="100"/>
          <w:position w:val="0"/>
        </w:rPr>
        <w:t xml:space="preserve">资质、信息系统安全集 </w:t>
      </w:r>
      <w:r>
        <w:rPr>
          <w:color w:val="000000"/>
          <w:spacing w:val="0"/>
          <w:w w:val="100"/>
          <w:position w:val="0"/>
        </w:rPr>
        <w:t>成服务壹级资质、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年浙江省创新型领军企业、浙江省创造力百强企业、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年中国城市智能交通市场系统集成商业绩十 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年浙江省软件业务收入前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浙江省服务业百强企业、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浙江省软件企业核心竞争力（规模型）企业、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年度软件和信息技术服务竞争力百强企业、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中国创新软件企业</w:t>
      </w:r>
      <w:r>
        <w:rPr>
          <w:rFonts w:ascii="Times New Roman" w:eastAsia="Times New Roman" w:hAnsi="Times New Roman" w:cs="Times New Roman"/>
          <w:color w:val="000000"/>
          <w:spacing w:val="0"/>
          <w:w w:val="100"/>
          <w:position w:val="0"/>
          <w:sz w:val="18"/>
          <w:szCs w:val="18"/>
        </w:rPr>
        <w:t>T0P100</w:t>
      </w:r>
      <w:r>
        <w:rPr>
          <w:color w:val="000000"/>
          <w:spacing w:val="0"/>
          <w:w w:val="100"/>
          <w:position w:val="0"/>
        </w:rPr>
        <w:t>、</w:t>
      </w:r>
      <w:r>
        <w:rPr>
          <w:color w:val="000000"/>
          <w:spacing w:val="0"/>
          <w:w w:val="100"/>
          <w:position w:val="0"/>
        </w:rPr>
        <w:t>金骏马奖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新基建最佳实践奖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、浙江省软 件行业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年突出贡献企业、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年度浙江省新型智慧城市建设数字治理优秀成果奖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三墩数字驾驶舱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等荣誉，标志着公司的 战略、经营、人才、技术、管理和创新等综合能力达到了优秀的水平，已具备体系化、标准化的信息安全服务能力，为公司 持续开疆辟土提供了坚实的后盾。</w:t>
      </w:r>
    </w:p>
    <w:p>
      <w:pPr>
        <w:pStyle w:val="Style30"/>
        <w:keepNext w:val="0"/>
        <w:keepLines w:val="0"/>
        <w:widowControl w:val="0"/>
        <w:shd w:val="clear" w:color="auto" w:fill="auto"/>
        <w:bidi w:val="0"/>
        <w:spacing w:before="0" w:after="0" w:line="313" w:lineRule="exact"/>
        <w:ind w:left="0" w:right="0" w:firstLine="720"/>
        <w:jc w:val="both"/>
      </w:pPr>
      <w:bookmarkStart w:id="74" w:name="bookmark74"/>
      <w:r>
        <w:rPr>
          <w:b/>
          <w:bCs/>
          <w:color w:val="000000"/>
          <w:spacing w:val="0"/>
          <w:w w:val="100"/>
          <w:position w:val="0"/>
        </w:rPr>
        <w:t>（</w:t>
      </w:r>
      <w:bookmarkEnd w:id="74"/>
      <w:r>
        <w:rPr>
          <w:b/>
          <w:bCs/>
          <w:color w:val="000000"/>
          <w:spacing w:val="0"/>
          <w:w w:val="100"/>
          <w:position w:val="0"/>
        </w:rPr>
        <w:t>三）兼容并蓄，合力共赢专注银江品牌价值</w:t>
      </w:r>
    </w:p>
    <w:p>
      <w:pPr>
        <w:pStyle w:val="Style30"/>
        <w:keepNext w:val="0"/>
        <w:keepLines w:val="0"/>
        <w:widowControl w:val="0"/>
        <w:shd w:val="clear" w:color="auto" w:fill="auto"/>
        <w:bidi w:val="0"/>
        <w:spacing w:before="0" w:after="0" w:line="313" w:lineRule="exact"/>
        <w:ind w:left="26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年，公司积极参与了包括互联网之光博览会、未来交通大会、中华医院信息网络大会、中国国际软件博览会等在内 的多场影响力重大的数字行业展会，展现公司最新产品及技术应用成果，并得到了社会各界的高度认可，进一步扩大企业知 名度与影响力。</w:t>
      </w:r>
    </w:p>
    <w:p>
      <w:pPr>
        <w:pStyle w:val="Style30"/>
        <w:keepNext w:val="0"/>
        <w:keepLines w:val="0"/>
        <w:widowControl w:val="0"/>
        <w:shd w:val="clear" w:color="auto" w:fill="auto"/>
        <w:tabs>
          <w:tab w:pos="1121" w:val="left"/>
        </w:tabs>
        <w:bidi w:val="0"/>
        <w:spacing w:before="0" w:after="0" w:line="313" w:lineRule="exact"/>
        <w:ind w:left="260" w:right="0" w:firstLine="380"/>
        <w:jc w:val="both"/>
      </w:pPr>
      <w:bookmarkStart w:id="75" w:name="bookmark75"/>
      <w:r>
        <w:rPr>
          <w:b/>
          <w:bCs/>
          <w:color w:val="000000"/>
          <w:spacing w:val="0"/>
          <w:w w:val="100"/>
          <w:position w:val="0"/>
        </w:rPr>
        <w:t>（</w:t>
      </w:r>
      <w:bookmarkEnd w:id="75"/>
      <w:r>
        <w:rPr>
          <w:b/>
          <w:bCs/>
          <w:color w:val="000000"/>
          <w:spacing w:val="0"/>
          <w:w w:val="100"/>
          <w:position w:val="0"/>
        </w:rPr>
        <w:t>四）</w:t>
        <w:tab/>
        <w:t>管理稳定，坚持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以人才为本</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的人才战略</w:t>
      </w:r>
    </w:p>
    <w:p>
      <w:pPr>
        <w:pStyle w:val="Style30"/>
        <w:keepNext w:val="0"/>
        <w:keepLines w:val="0"/>
        <w:widowControl w:val="0"/>
        <w:shd w:val="clear" w:color="auto" w:fill="auto"/>
        <w:bidi w:val="0"/>
        <w:spacing w:before="0" w:after="0" w:line="313" w:lineRule="exact"/>
        <w:ind w:left="260" w:right="0" w:firstLine="380"/>
        <w:jc w:val="both"/>
      </w:pPr>
      <w:r>
        <w:rPr>
          <w:color w:val="000000"/>
          <w:spacing w:val="0"/>
          <w:w w:val="100"/>
          <w:position w:val="0"/>
        </w:rPr>
        <w:t>公司的董事会和管理层成员具备多年相关行业从业经验或多年管理经验，在管理、技术、财务等方面各有专长，各司其 职，优势互补，保证了公司各项业务的协调和全面发展。</w:t>
      </w:r>
    </w:p>
    <w:p>
      <w:pPr>
        <w:pStyle w:val="Style30"/>
        <w:keepNext w:val="0"/>
        <w:keepLines w:val="0"/>
        <w:widowControl w:val="0"/>
        <w:shd w:val="clear" w:color="auto" w:fill="auto"/>
        <w:bidi w:val="0"/>
        <w:spacing w:before="0" w:after="0" w:line="313" w:lineRule="exact"/>
        <w:ind w:left="260" w:right="0" w:firstLine="380"/>
        <w:jc w:val="both"/>
      </w:pPr>
      <w:r>
        <w:rPr>
          <w:color w:val="000000"/>
          <w:spacing w:val="0"/>
          <w:w w:val="100"/>
          <w:position w:val="0"/>
        </w:rPr>
        <w:t>报告期内，公司在多元化人才培养机制的基础上不断创新人才培养举措，通过内部公开竞聘，选拔优秀人员，提拔任用 青年人才，为公司研发创新及业务开拓提供人才保障。同时，公司一方面采取内部培训的方式，全面提升专业技能和管理水 平，另一方面充分利用多种渠道吸引高端人才，不断扩充和培养骨干队伍。</w:t>
      </w:r>
    </w:p>
    <w:p>
      <w:pPr>
        <w:pStyle w:val="Style30"/>
        <w:keepNext w:val="0"/>
        <w:keepLines w:val="0"/>
        <w:widowControl w:val="0"/>
        <w:shd w:val="clear" w:color="auto" w:fill="auto"/>
        <w:tabs>
          <w:tab w:pos="1121" w:val="left"/>
        </w:tabs>
        <w:bidi w:val="0"/>
        <w:spacing w:before="0" w:after="0" w:line="313" w:lineRule="exact"/>
        <w:ind w:left="260" w:right="0" w:firstLine="380"/>
        <w:jc w:val="both"/>
      </w:pPr>
      <w:bookmarkStart w:id="76" w:name="bookmark76"/>
      <w:r>
        <w:rPr>
          <w:b/>
          <w:bCs/>
          <w:color w:val="000000"/>
          <w:spacing w:val="0"/>
          <w:w w:val="100"/>
          <w:position w:val="0"/>
        </w:rPr>
        <w:t>（</w:t>
      </w:r>
      <w:bookmarkEnd w:id="76"/>
      <w:r>
        <w:rPr>
          <w:b/>
          <w:bCs/>
          <w:color w:val="000000"/>
          <w:spacing w:val="0"/>
          <w:w w:val="100"/>
          <w:position w:val="0"/>
        </w:rPr>
        <w:t>五）</w:t>
        <w:tab/>
        <w:t>公司治理规范有序，未来发展充满信心</w:t>
      </w:r>
    </w:p>
    <w:p>
      <w:pPr>
        <w:pStyle w:val="Style30"/>
        <w:keepNext w:val="0"/>
        <w:keepLines w:val="0"/>
        <w:widowControl w:val="0"/>
        <w:shd w:val="clear" w:color="auto" w:fill="auto"/>
        <w:bidi w:val="0"/>
        <w:spacing w:before="0" w:after="0" w:line="313" w:lineRule="exact"/>
        <w:ind w:left="260" w:right="0" w:firstLine="380"/>
        <w:jc w:val="both"/>
      </w:pPr>
      <w:r>
        <w:rPr>
          <w:color w:val="000000"/>
          <w:spacing w:val="0"/>
          <w:w w:val="100"/>
          <w:position w:val="0"/>
        </w:rPr>
        <w:t xml:space="preserve">公司一贯重视规范治理及投资者关系工作。报告期内，公司股东大会、董事会及董事会专门委员会、监事会按相关法律 法规和《公司章程》有效运行，重点加强风险控制及内部管理，自查并整改了存在的问题和风险隐患。为完善公司治理和内 控，公司修改并审议通过了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个相关制度，进一步提升了公司治理规范。</w:t>
      </w:r>
    </w:p>
    <w:p>
      <w:pPr>
        <w:pStyle w:val="Style30"/>
        <w:keepNext w:val="0"/>
        <w:keepLines w:val="0"/>
        <w:widowControl w:val="0"/>
        <w:shd w:val="clear" w:color="auto" w:fill="auto"/>
        <w:bidi w:val="0"/>
        <w:spacing w:before="0" w:after="80" w:line="313" w:lineRule="exact"/>
        <w:ind w:left="260" w:right="0" w:firstLine="380"/>
        <w:jc w:val="both"/>
      </w:pPr>
      <w:r>
        <w:rPr>
          <w:color w:val="000000"/>
          <w:spacing w:val="0"/>
          <w:w w:val="100"/>
          <w:position w:val="0"/>
        </w:rPr>
        <w:t>公司高度重视投资者关系管理工作，将投资者关系管理作为工作重点，不断完善投资者关系管理工作。充分利用投资者 热线、互动易平台、网上业绩说明会、现场调研等形式与投资者保持良好的沟通交流，促进公司与投资者之间的良性互动， 加深了投资者对公司的了解和认同，努力树立公司在资本市场良好形象。</w:t>
      </w:r>
    </w:p>
    <w:p>
      <w:pPr>
        <w:pStyle w:val="Style39"/>
        <w:keepNext w:val="0"/>
        <w:keepLines w:val="0"/>
        <w:widowControl w:val="0"/>
        <w:shd w:val="clear" w:color="auto" w:fill="auto"/>
        <w:bidi w:val="0"/>
        <w:spacing w:before="0" w:after="120" w:line="240" w:lineRule="auto"/>
        <w:ind w:left="360" w:right="0" w:firstLine="0"/>
        <w:jc w:val="left"/>
      </w:pPr>
      <w:r>
        <w:rPr>
          <w:b/>
          <w:bCs/>
          <w:color w:val="000000"/>
          <w:spacing w:val="0"/>
          <w:w w:val="100"/>
          <w:position w:val="0"/>
        </w:rPr>
        <w:t>（六）加大研发投入，提升核心资产价值</w:t>
      </w:r>
    </w:p>
    <w:p>
      <w:pPr>
        <w:pStyle w:val="Style39"/>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、固定资产情况</w:t>
      </w:r>
    </w:p>
    <w:tbl>
      <w:tblPr>
        <w:tblOverlap w:val="never"/>
        <w:jc w:val="center"/>
        <w:tblLayout w:type="fixed"/>
      </w:tblPr>
      <w:tblGrid>
        <w:gridCol w:w="2846"/>
        <w:gridCol w:w="1560"/>
        <w:gridCol w:w="1560"/>
        <w:gridCol w:w="850"/>
        <w:gridCol w:w="994"/>
        <w:gridCol w:w="989"/>
        <w:gridCol w:w="864"/>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土地证号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宗地面积（平方米）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房屋面积（平方米）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土地用途</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终止日期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抵押情况</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沪房地徐字</w:t>
            </w:r>
            <w:r>
              <w:rPr>
                <w:color w:val="000000"/>
                <w:spacing w:val="0"/>
                <w:w w:val="100"/>
                <w:position w:val="0"/>
                <w:sz w:val="16"/>
                <w:szCs w:val="16"/>
              </w:rPr>
              <w:t>（2013）</w:t>
            </w:r>
            <w:r>
              <w:rPr>
                <w:color w:val="000000"/>
                <w:spacing w:val="0"/>
                <w:w w:val="100"/>
                <w:position w:val="0"/>
              </w:rPr>
              <w:t>第</w:t>
            </w:r>
            <w:r>
              <w:rPr>
                <w:color w:val="000000"/>
                <w:spacing w:val="0"/>
                <w:w w:val="100"/>
                <w:position w:val="0"/>
                <w:sz w:val="16"/>
                <w:szCs w:val="16"/>
              </w:rPr>
              <w:t>020932</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color w:val="000000"/>
                <w:spacing w:val="0"/>
                <w:w w:val="100"/>
                <w:position w:val="0"/>
                <w:sz w:val="16"/>
                <w:szCs w:val="16"/>
              </w:rPr>
              <w:t>0920033518</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10253.</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color w:val="000000"/>
                <w:spacing w:val="0"/>
                <w:w w:val="100"/>
                <w:position w:val="0"/>
                <w:sz w:val="16"/>
                <w:szCs w:val="16"/>
              </w:rPr>
              <w:t>0920033514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10253.</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color w:val="000000"/>
                <w:spacing w:val="0"/>
                <w:w w:val="100"/>
                <w:position w:val="0"/>
                <w:sz w:val="16"/>
                <w:szCs w:val="16"/>
              </w:rPr>
              <w:t>0920033520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10253.</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color w:val="000000"/>
                <w:spacing w:val="0"/>
                <w:w w:val="100"/>
                <w:position w:val="0"/>
                <w:sz w:val="16"/>
                <w:szCs w:val="16"/>
              </w:rPr>
              <w:t>0920033780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10253.</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3052.</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8238.</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4704.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4704.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4704.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8017.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（2016</w:t>
            </w:r>
            <w:r>
              <w:rPr>
                <w:color w:val="000000"/>
                <w:spacing w:val="0"/>
                <w:w w:val="100"/>
                <w:position w:val="0"/>
              </w:rPr>
              <w:t>）第</w:t>
            </w:r>
            <w:r>
              <w:rPr>
                <w:color w:val="000000"/>
                <w:spacing w:val="0"/>
                <w:w w:val="100"/>
                <w:position w:val="0"/>
                <w:sz w:val="16"/>
                <w:szCs w:val="16"/>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5078.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2053. 12.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杭西国用</w:t>
            </w:r>
            <w:r>
              <w:rPr>
                <w:color w:val="000000"/>
                <w:spacing w:val="0"/>
                <w:w w:val="100"/>
                <w:position w:val="0"/>
                <w:sz w:val="16"/>
                <w:szCs w:val="16"/>
              </w:rPr>
              <w:t>（2012</w:t>
            </w:r>
            <w:r>
              <w:rPr>
                <w:color w:val="000000"/>
                <w:spacing w:val="0"/>
                <w:w w:val="100"/>
                <w:position w:val="0"/>
              </w:rPr>
              <w:t>）第</w:t>
            </w:r>
            <w:r>
              <w:rPr>
                <w:color w:val="000000"/>
                <w:spacing w:val="0"/>
                <w:w w:val="100"/>
                <w:position w:val="0"/>
                <w:sz w:val="16"/>
                <w:szCs w:val="16"/>
              </w:rPr>
              <w:t>100069</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杭州银江电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西高科技国用</w:t>
            </w:r>
            <w:r>
              <w:rPr>
                <w:color w:val="000000"/>
                <w:spacing w:val="0"/>
                <w:w w:val="100"/>
                <w:position w:val="0"/>
                <w:sz w:val="16"/>
                <w:szCs w:val="16"/>
              </w:rPr>
              <w:t>（2013）</w:t>
            </w:r>
            <w:r>
              <w:rPr>
                <w:color w:val="000000"/>
                <w:spacing w:val="0"/>
                <w:w w:val="100"/>
                <w:position w:val="0"/>
                <w:sz w:val="17"/>
                <w:szCs w:val="17"/>
              </w:rPr>
              <w:t>第</w:t>
            </w:r>
            <w:r>
              <w:rPr>
                <w:color w:val="000000"/>
                <w:spacing w:val="0"/>
                <w:w w:val="100"/>
                <w:position w:val="0"/>
                <w:sz w:val="16"/>
                <w:szCs w:val="16"/>
              </w:rPr>
              <w:t>39430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13657.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630.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2052.7.25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、无形资产情况</w:t>
      </w:r>
    </w:p>
    <w:p>
      <w:pPr>
        <w:widowControl w:val="0"/>
        <w:spacing w:after="79" w:line="1" w:lineRule="exact"/>
      </w:pPr>
    </w:p>
    <w:p>
      <w:pPr>
        <w:pStyle w:val="Style30"/>
        <w:keepNext w:val="0"/>
        <w:keepLines w:val="0"/>
        <w:widowControl w:val="0"/>
        <w:shd w:val="clear" w:color="auto" w:fill="auto"/>
        <w:bidi w:val="0"/>
        <w:spacing w:before="0" w:after="40" w:line="240" w:lineRule="auto"/>
        <w:ind w:left="0" w:right="0" w:firstLine="7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项注册商标，其中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w:t>
      </w:r>
    </w:p>
    <w:p>
      <w:pPr>
        <w:pStyle w:val="Style30"/>
        <w:keepNext w:val="0"/>
        <w:keepLines w:val="0"/>
        <w:widowControl w:val="0"/>
        <w:numPr>
          <w:ilvl w:val="0"/>
          <w:numId w:val="1"/>
        </w:numPr>
        <w:shd w:val="clear" w:color="auto" w:fill="auto"/>
        <w:tabs>
          <w:tab w:pos="1085" w:val="left"/>
        </w:tabs>
        <w:bidi w:val="0"/>
        <w:spacing w:before="0" w:after="0" w:line="312" w:lineRule="exact"/>
        <w:ind w:left="0" w:right="0" w:firstLine="640"/>
        <w:jc w:val="both"/>
      </w:pPr>
      <w:bookmarkStart w:id="77" w:name="bookmark77"/>
      <w:bookmarkEnd w:id="77"/>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项资质证书，其中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年度新增了</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30"/>
        <w:keepNext w:val="0"/>
        <w:keepLines w:val="0"/>
        <w:widowControl w:val="0"/>
        <w:numPr>
          <w:ilvl w:val="0"/>
          <w:numId w:val="1"/>
        </w:numPr>
        <w:shd w:val="clear" w:color="auto" w:fill="auto"/>
        <w:bidi w:val="0"/>
        <w:spacing w:before="0" w:after="0" w:line="312" w:lineRule="exact"/>
        <w:ind w:left="280" w:right="0"/>
        <w:jc w:val="both"/>
      </w:pPr>
      <w:bookmarkStart w:id="78" w:name="bookmark78"/>
      <w:bookmarkEnd w:id="78"/>
      <w:r>
        <w:rPr>
          <w:color w:val="000000"/>
          <w:spacing w:val="0"/>
          <w:w w:val="100"/>
          <w:position w:val="0"/>
        </w:rPr>
        <w:t xml:space="preserve">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日，本公司共获得</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项专利，其中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年年度新增授权专利</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项。正在申请注册的专利有</w:t>
      </w:r>
      <w:r>
        <w:rPr>
          <w:rFonts w:ascii="Times New Roman" w:eastAsia="Times New Roman" w:hAnsi="Times New Roman" w:cs="Times New Roman"/>
          <w:color w:val="000000"/>
          <w:spacing w:val="0"/>
          <w:w w:val="100"/>
          <w:position w:val="0"/>
          <w:sz w:val="18"/>
          <w:szCs w:val="18"/>
        </w:rPr>
        <w:t xml:space="preserve">68 </w:t>
      </w:r>
      <w:r>
        <w:rPr>
          <w:color w:val="000000"/>
          <w:spacing w:val="0"/>
          <w:w w:val="100"/>
          <w:position w:val="0"/>
        </w:rPr>
        <w:t>项(国家知识产权局已公开</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年年度新申请专利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w:t>
      </w:r>
    </w:p>
    <w:p>
      <w:pPr>
        <w:pStyle w:val="Style30"/>
        <w:keepNext w:val="0"/>
        <w:keepLines w:val="0"/>
        <w:widowControl w:val="0"/>
        <w:numPr>
          <w:ilvl w:val="0"/>
          <w:numId w:val="1"/>
        </w:numPr>
        <w:shd w:val="clear" w:color="auto" w:fill="auto"/>
        <w:bidi w:val="0"/>
        <w:spacing w:before="0" w:after="0" w:line="312" w:lineRule="exact"/>
        <w:ind w:left="0" w:right="0" w:firstLine="640"/>
        <w:jc w:val="both"/>
      </w:pPr>
      <w:bookmarkStart w:id="79" w:name="bookmark79"/>
      <w:bookmarkEnd w:id="79"/>
      <w:r>
        <w:rPr>
          <w:color w:val="000000"/>
          <w:spacing w:val="0"/>
          <w:w w:val="100"/>
          <w:position w:val="0"/>
        </w:rPr>
        <w:t xml:space="preserve">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日，公司及下属全资子公司共有</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项软件产品，其中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年度新增了</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w:t>
      </w:r>
    </w:p>
    <w:p>
      <w:pPr>
        <w:pStyle w:val="Style30"/>
        <w:keepNext w:val="0"/>
        <w:keepLines w:val="0"/>
        <w:widowControl w:val="0"/>
        <w:numPr>
          <w:ilvl w:val="0"/>
          <w:numId w:val="1"/>
        </w:numPr>
        <w:shd w:val="clear" w:color="auto" w:fill="auto"/>
        <w:bidi w:val="0"/>
        <w:spacing w:before="0" w:after="0" w:line="312" w:lineRule="exact"/>
        <w:ind w:left="0" w:right="0" w:firstLine="640"/>
        <w:jc w:val="both"/>
        <w:sectPr>
          <w:footnotePr>
            <w:pos w:val="pageBottom"/>
            <w:numFmt w:val="decimal"/>
            <w:numRestart w:val="continuous"/>
          </w:footnotePr>
          <w:pgSz w:w="11900" w:h="16840"/>
          <w:pgMar w:top="1388" w:right="840" w:bottom="1474" w:left="840" w:header="0" w:footer="3" w:gutter="0"/>
          <w:cols w:space="720"/>
          <w:noEndnote/>
          <w:rtlGutter w:val="0"/>
          <w:docGrid w:linePitch="360"/>
        </w:sectPr>
      </w:pPr>
      <w:bookmarkStart w:id="80" w:name="bookmark80"/>
      <w:bookmarkEnd w:id="80"/>
      <w:r>
        <w:rPr>
          <w:color w:val="000000"/>
          <w:spacing w:val="0"/>
          <w:w w:val="100"/>
          <w:position w:val="0"/>
        </w:rPr>
        <w:t xml:space="preserve">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日，公司及下属全资子公司共有</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项著作权，其中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年度新增了</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项。</w:t>
      </w:r>
    </w:p>
    <w:p>
      <w:pPr>
        <w:pStyle w:val="Style15"/>
        <w:keepNext/>
        <w:keepLines/>
        <w:widowControl w:val="0"/>
        <w:shd w:val="clear" w:color="auto" w:fill="auto"/>
        <w:bidi w:val="0"/>
        <w:spacing w:before="60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8"/>
        <w:keepNext/>
        <w:keepLines/>
        <w:widowControl w:val="0"/>
        <w:shd w:val="clear" w:color="auto" w:fill="auto"/>
        <w:bidi w:val="0"/>
        <w:spacing w:before="0" w:after="260" w:line="240" w:lineRule="auto"/>
        <w:ind w:left="0" w:right="0" w:firstLine="280"/>
        <w:jc w:val="both"/>
      </w:pPr>
      <w:bookmarkStart w:id="84" w:name="bookmark84"/>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、概述</w:t>
      </w:r>
      <w:bookmarkEnd w:id="85"/>
      <w:bookmarkEnd w:id="86"/>
      <w:bookmarkEnd w:id="88"/>
      <w:bookmarkEnd w:id="84"/>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公司努力克服新冠肺炎疫情对公司经营发展的影响，始终坚持“城市大脑运营服务商”核心战略定位，通过“技术+市 场”双轮驱动发展思路，聚焦数字经济建设浪潮，紧跟国家新基建战略部署，提振信心深化改革，推进公司全面发展。报告 期内，公司经营稳中有进，实现营业收入</w:t>
      </w:r>
      <w:r>
        <w:rPr>
          <w:color w:val="000000"/>
          <w:spacing w:val="0"/>
          <w:w w:val="100"/>
          <w:position w:val="0"/>
          <w:sz w:val="16"/>
          <w:szCs w:val="16"/>
        </w:rPr>
        <w:t xml:space="preserve">213,818. </w:t>
      </w:r>
      <w:r>
        <w:rPr>
          <w:color w:val="000000"/>
          <w:spacing w:val="0"/>
          <w:w w:val="100"/>
          <w:position w:val="0"/>
          <w:sz w:val="16"/>
          <w:szCs w:val="16"/>
        </w:rPr>
        <w:t>19</w:t>
      </w:r>
      <w:r>
        <w:rPr>
          <w:color w:val="000000"/>
          <w:spacing w:val="0"/>
          <w:w w:val="100"/>
          <w:position w:val="0"/>
        </w:rPr>
        <w:t>万元，同比增长</w:t>
      </w:r>
      <w:r>
        <w:rPr>
          <w:color w:val="000000"/>
          <w:spacing w:val="0"/>
          <w:w w:val="100"/>
          <w:position w:val="0"/>
          <w:sz w:val="16"/>
          <w:szCs w:val="16"/>
        </w:rPr>
        <w:t>2.82%</w:t>
      </w:r>
      <w:r>
        <w:rPr>
          <w:color w:val="000000"/>
          <w:spacing w:val="0"/>
          <w:w w:val="100"/>
          <w:position w:val="0"/>
        </w:rPr>
        <w:t>，归属于上市公司股东的净利润</w:t>
      </w:r>
      <w:r>
        <w:rPr>
          <w:color w:val="000000"/>
          <w:spacing w:val="0"/>
          <w:w w:val="100"/>
          <w:position w:val="0"/>
          <w:sz w:val="16"/>
          <w:szCs w:val="16"/>
        </w:rPr>
        <w:t>15,770.45</w:t>
      </w:r>
      <w:r>
        <w:rPr>
          <w:color w:val="000000"/>
          <w:spacing w:val="0"/>
          <w:w w:val="100"/>
          <w:position w:val="0"/>
        </w:rPr>
        <w:t>万元， 同比增长</w:t>
      </w:r>
      <w:r>
        <w:rPr>
          <w:color w:val="000000"/>
          <w:spacing w:val="0"/>
          <w:w w:val="100"/>
          <w:position w:val="0"/>
          <w:sz w:val="16"/>
          <w:szCs w:val="16"/>
        </w:rPr>
        <w:t xml:space="preserve">5. </w:t>
      </w:r>
      <w:r>
        <w:rPr>
          <w:color w:val="000000"/>
          <w:spacing w:val="0"/>
          <w:w w:val="100"/>
          <w:position w:val="0"/>
          <w:sz w:val="16"/>
          <w:szCs w:val="16"/>
        </w:rPr>
        <w:t>11%</w:t>
      </w:r>
      <w:r>
        <w:rPr>
          <w:color w:val="000000"/>
          <w:spacing w:val="0"/>
          <w:w w:val="100"/>
          <w:position w:val="0"/>
        </w:rPr>
        <w:t>，归属于上市公司股东的扣除非经常损益净利润</w:t>
      </w:r>
      <w:r>
        <w:rPr>
          <w:color w:val="000000"/>
          <w:spacing w:val="0"/>
          <w:w w:val="100"/>
          <w:position w:val="0"/>
          <w:sz w:val="16"/>
          <w:szCs w:val="16"/>
        </w:rPr>
        <w:t>13,656.88</w:t>
      </w:r>
      <w:r>
        <w:rPr>
          <w:color w:val="000000"/>
          <w:spacing w:val="0"/>
          <w:w w:val="100"/>
          <w:position w:val="0"/>
        </w:rPr>
        <w:t>万元，同比增长</w:t>
      </w:r>
      <w:r>
        <w:rPr>
          <w:color w:val="000000"/>
          <w:spacing w:val="0"/>
          <w:w w:val="100"/>
          <w:position w:val="0"/>
          <w:sz w:val="16"/>
          <w:szCs w:val="16"/>
        </w:rPr>
        <w:t>19.41%</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640"/>
        <w:jc w:val="both"/>
      </w:pPr>
      <w:r>
        <w:rPr>
          <w:color w:val="000000"/>
          <w:spacing w:val="0"/>
          <w:w w:val="100"/>
          <w:position w:val="0"/>
        </w:rPr>
        <w:t>报告期内，公司具体经营情况回顾如下：</w:t>
      </w:r>
    </w:p>
    <w:p>
      <w:pPr>
        <w:pStyle w:val="Style30"/>
        <w:keepNext w:val="0"/>
        <w:keepLines w:val="0"/>
        <w:widowControl w:val="0"/>
        <w:shd w:val="clear" w:color="auto" w:fill="auto"/>
        <w:tabs>
          <w:tab w:pos="1121" w:val="left"/>
        </w:tabs>
        <w:bidi w:val="0"/>
        <w:spacing w:before="0" w:after="0" w:line="312" w:lineRule="exact"/>
        <w:ind w:left="0" w:right="0" w:firstLine="640"/>
        <w:jc w:val="both"/>
      </w:pPr>
      <w:bookmarkStart w:id="89" w:name="bookmark89"/>
      <w:r>
        <w:rPr>
          <w:b/>
          <w:bCs/>
          <w:color w:val="000000"/>
          <w:spacing w:val="0"/>
          <w:w w:val="100"/>
          <w:position w:val="0"/>
        </w:rPr>
        <w:t>（</w:t>
      </w:r>
      <w:bookmarkEnd w:id="89"/>
      <w:r>
        <w:rPr>
          <w:b/>
          <w:bCs/>
          <w:color w:val="000000"/>
          <w:spacing w:val="0"/>
          <w:w w:val="100"/>
          <w:position w:val="0"/>
        </w:rPr>
        <w:t>一）</w:t>
        <w:tab/>
        <w:t>信号优化平台推广顺利，</w:t>
      </w:r>
      <w:r>
        <w:rPr>
          <w:b/>
          <w:bCs/>
          <w:color w:val="000000"/>
          <w:spacing w:val="0"/>
          <w:w w:val="100"/>
          <w:position w:val="0"/>
        </w:rPr>
        <w:t>AI</w:t>
      </w:r>
      <w:r>
        <w:rPr>
          <w:b/>
          <w:bCs/>
          <w:color w:val="000000"/>
          <w:spacing w:val="0"/>
          <w:w w:val="100"/>
          <w:position w:val="0"/>
        </w:rPr>
        <w:t>赋能交通治理综合场景</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报告期内，公司在传统智能交通业务稳定增长的基础上，不断探索和发力新业务。在智能信控领域，公司以信号优化平 台为核心，扩展了交通信号配时运营服务及研制智慧路口产品。同时，在杭州、南昌、太原等地探索面对城市交通治理综合 场景的解决方案、工作机制、商业模式，公司城市交通治理产品体系逐步完善。</w:t>
      </w:r>
    </w:p>
    <w:p>
      <w:pPr>
        <w:pStyle w:val="Style30"/>
        <w:keepNext w:val="0"/>
        <w:keepLines w:val="0"/>
        <w:widowControl w:val="0"/>
        <w:shd w:val="clear" w:color="auto" w:fill="auto"/>
        <w:tabs>
          <w:tab w:pos="915" w:val="left"/>
        </w:tabs>
        <w:bidi w:val="0"/>
        <w:spacing w:before="0" w:after="0" w:line="312" w:lineRule="exact"/>
        <w:ind w:left="0" w:right="0" w:firstLine="640"/>
        <w:jc w:val="both"/>
      </w:pPr>
      <w:bookmarkStart w:id="90" w:name="bookmark90"/>
      <w:r>
        <w:rPr>
          <w:color w:val="000000"/>
          <w:spacing w:val="0"/>
          <w:w w:val="100"/>
          <w:position w:val="0"/>
          <w:sz w:val="16"/>
          <w:szCs w:val="16"/>
        </w:rPr>
        <w:t>1</w:t>
      </w:r>
      <w:bookmarkEnd w:id="90"/>
      <w:r>
        <w:rPr>
          <w:color w:val="000000"/>
          <w:spacing w:val="0"/>
          <w:w w:val="100"/>
          <w:position w:val="0"/>
        </w:rPr>
        <w:t>、</w:t>
        <w:tab/>
        <w:t>巩固交通数据治理基础，强化交通信号集成总控能力</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报告期内，交通数据治理与交通信号集成统一控制进入快速发展阶段，市场需求快速增长。公司先后在杭州、南昌、太 原等地开展交通数据治理，并自研路口管家平台，对静态交通数据进行集中录入和管理。公司自研的数据中台，以批流一体 的数据处理技术，对数据进行高通量、低延迟的处理，实现数据质量控制，数据标准化，动静态数据实时融合，最终挖掘数 据价值，服务上层应用。公司研发统一数据模型，打通信控平台协议，搭建集成统一信控平台，实现跨品牌、跨平台的集成 控制，提高信控平台的集成度、易用性和智能化水平。</w:t>
      </w:r>
    </w:p>
    <w:p>
      <w:pPr>
        <w:pStyle w:val="Style30"/>
        <w:keepNext w:val="0"/>
        <w:keepLines w:val="0"/>
        <w:widowControl w:val="0"/>
        <w:shd w:val="clear" w:color="auto" w:fill="auto"/>
        <w:tabs>
          <w:tab w:pos="924" w:val="left"/>
        </w:tabs>
        <w:bidi w:val="0"/>
        <w:spacing w:before="0" w:after="0" w:line="312" w:lineRule="exact"/>
        <w:ind w:left="0" w:right="0" w:firstLine="640"/>
        <w:jc w:val="both"/>
      </w:pPr>
      <w:bookmarkStart w:id="91" w:name="bookmark91"/>
      <w:r>
        <w:rPr>
          <w:color w:val="000000"/>
          <w:spacing w:val="0"/>
          <w:w w:val="100"/>
          <w:position w:val="0"/>
          <w:sz w:val="16"/>
          <w:szCs w:val="16"/>
        </w:rPr>
        <w:t>2</w:t>
      </w:r>
      <w:bookmarkEnd w:id="91"/>
      <w:r>
        <w:rPr>
          <w:color w:val="000000"/>
          <w:spacing w:val="0"/>
          <w:w w:val="100"/>
          <w:position w:val="0"/>
        </w:rPr>
        <w:t>、</w:t>
        <w:tab/>
        <w:t>深耕数字化运营服务，商业模式多点开花</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报告期内，城市交通治理战略进入快速发展阶段，公司以杭州为样板，公司交通治理运维先后在太原、南昌、西昌、富 阳、淳安等地实现良好落地。城市交通数字化运营服务是公司“城市大脑一一交通”板块的核心应用，是在城市大脑的赋能 下，结合专家经验与机器智能，充分发挥数据与智能算法的价值的一种商业模式。公司以杭州交通信号配时中心为样板，总 结了一套交通数字化运营的工具和机制，不断探索业务开展模式、业务规范与效果评价机制，形成了一套商业模式。公司将 数字化运营服务划分为四种类型：交通信号配时运营中心实体建设，专业化人工运营服务，平台租赁或研发，信号机集成服 务。在各地推广过程中，根据城市规模、区域级别、当地交通特点等市场特性，在运营服务模式、运营服务标准、运营服务 培训、运营服务人员等方面为城市量身定制业务组合，更高效地解决当地交通场景问题。</w:t>
      </w:r>
    </w:p>
    <w:p>
      <w:pPr>
        <w:pStyle w:val="Style30"/>
        <w:keepNext w:val="0"/>
        <w:keepLines w:val="0"/>
        <w:widowControl w:val="0"/>
        <w:shd w:val="clear" w:color="auto" w:fill="auto"/>
        <w:tabs>
          <w:tab w:pos="924" w:val="left"/>
        </w:tabs>
        <w:bidi w:val="0"/>
        <w:spacing w:before="0" w:after="0" w:line="312" w:lineRule="exact"/>
        <w:ind w:left="0" w:right="0" w:firstLine="640"/>
        <w:jc w:val="both"/>
      </w:pPr>
      <w:bookmarkStart w:id="92" w:name="bookmark92"/>
      <w:r>
        <w:rPr>
          <w:color w:val="000000"/>
          <w:spacing w:val="0"/>
          <w:w w:val="100"/>
          <w:position w:val="0"/>
          <w:sz w:val="16"/>
          <w:szCs w:val="16"/>
        </w:rPr>
        <w:t>3</w:t>
      </w:r>
      <w:bookmarkEnd w:id="92"/>
      <w:r>
        <w:rPr>
          <w:color w:val="000000"/>
          <w:spacing w:val="0"/>
          <w:w w:val="100"/>
          <w:position w:val="0"/>
        </w:rPr>
        <w:t>、</w:t>
        <w:tab/>
        <w:t>紧密结合市场需求，探索多样化交通治理场景</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报告期内，公司交通治理应用场景逐渐由单一走向多元化，同时以城市交通主管部门为主导的全城交通治理逐步从单一 的交通信号控制交叉口治理扩展到多场景交通治理。例如社区周边交通治理、学校周边交通治理、医院周边治理与商业中心 周边治理等。一方面，更加精细化的交通治理需求，使客户主体从城市交通主管部门扩展到社区委员会、辖区大队、医院与 学校主体单位等单位。另一方面，交通治理的业务内容也从比较单一的信号配时调整衍生到交通诱导、交叉口组织渠化调整、 数据驾驶舱研发等。城市交通治理从道路网治理走向全域交通治理，进一步拓展了城市交通治理的市场空间，也为公司信控 领域错位发展带来更多的业务机会。公司已经在城市级交通治理、区级交通治理、大队级交通治理、社区交通治理等场景上 领先积累了丰富业务经验。</w:t>
      </w:r>
    </w:p>
    <w:p>
      <w:pPr>
        <w:pStyle w:val="Style30"/>
        <w:keepNext w:val="0"/>
        <w:keepLines w:val="0"/>
        <w:widowControl w:val="0"/>
        <w:shd w:val="clear" w:color="auto" w:fill="auto"/>
        <w:tabs>
          <w:tab w:pos="929" w:val="left"/>
        </w:tabs>
        <w:bidi w:val="0"/>
        <w:spacing w:before="0" w:after="0" w:line="312" w:lineRule="exact"/>
        <w:ind w:left="0" w:right="0" w:firstLine="640"/>
        <w:jc w:val="both"/>
      </w:pPr>
      <w:bookmarkStart w:id="93" w:name="bookmark93"/>
      <w:r>
        <w:rPr>
          <w:color w:val="000000"/>
          <w:spacing w:val="0"/>
          <w:w w:val="100"/>
          <w:position w:val="0"/>
          <w:sz w:val="16"/>
          <w:szCs w:val="16"/>
        </w:rPr>
        <w:t>4</w:t>
      </w:r>
      <w:bookmarkEnd w:id="93"/>
      <w:r>
        <w:rPr>
          <w:color w:val="000000"/>
          <w:spacing w:val="0"/>
          <w:w w:val="100"/>
          <w:position w:val="0"/>
        </w:rPr>
        <w:t>、</w:t>
        <w:tab/>
        <w:t>布局</w:t>
      </w:r>
      <w:r>
        <w:rPr>
          <w:color w:val="000000"/>
          <w:spacing w:val="0"/>
          <w:w w:val="100"/>
          <w:position w:val="0"/>
          <w:sz w:val="16"/>
          <w:szCs w:val="16"/>
        </w:rPr>
        <w:t>V2X</w:t>
      </w:r>
      <w:r>
        <w:rPr>
          <w:color w:val="000000"/>
          <w:spacing w:val="0"/>
          <w:w w:val="100"/>
          <w:position w:val="0"/>
        </w:rPr>
        <w:t>终端设备，开启数字化基础设施新纪元</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报告期内公司布局</w:t>
      </w:r>
      <w:r>
        <w:rPr>
          <w:color w:val="000000"/>
          <w:spacing w:val="0"/>
          <w:w w:val="100"/>
          <w:position w:val="0"/>
          <w:sz w:val="16"/>
          <w:szCs w:val="16"/>
        </w:rPr>
        <w:t>V2X</w:t>
      </w:r>
      <w:r>
        <w:rPr>
          <w:color w:val="000000"/>
          <w:spacing w:val="0"/>
          <w:w w:val="100"/>
          <w:position w:val="0"/>
        </w:rPr>
        <w:t>终端设备，启动自研硬件产品线，目前已研发出</w:t>
      </w:r>
      <w:r>
        <w:rPr>
          <w:color w:val="000000"/>
          <w:spacing w:val="0"/>
          <w:w w:val="100"/>
          <w:position w:val="0"/>
          <w:sz w:val="16"/>
          <w:szCs w:val="16"/>
        </w:rPr>
        <w:t>HER</w:t>
      </w:r>
      <w:r>
        <w:rPr>
          <w:color w:val="000000"/>
          <w:spacing w:val="0"/>
          <w:w w:val="100"/>
          <w:position w:val="0"/>
        </w:rPr>
        <w:t>。</w:t>
      </w:r>
      <w:r>
        <w:rPr>
          <w:color w:val="000000"/>
          <w:spacing w:val="0"/>
          <w:w w:val="100"/>
          <w:position w:val="0"/>
        </w:rPr>
        <w:t>交通信号机</w:t>
      </w:r>
      <w:r>
        <w:rPr>
          <w:color w:val="000000"/>
          <w:spacing w:val="0"/>
          <w:w w:val="100"/>
          <w:position w:val="0"/>
          <w:sz w:val="16"/>
          <w:szCs w:val="16"/>
        </w:rPr>
        <w:t>1.0</w:t>
      </w:r>
      <w:r>
        <w:rPr>
          <w:color w:val="000000"/>
          <w:spacing w:val="0"/>
          <w:w w:val="100"/>
          <w:position w:val="0"/>
        </w:rPr>
        <w:t>版本，正处于小批量产和小批 量测试中。该产品具备与自研统一信控平台及</w:t>
      </w:r>
      <w:r>
        <w:rPr>
          <w:color w:val="000000"/>
          <w:spacing w:val="0"/>
          <w:w w:val="100"/>
          <w:position w:val="0"/>
          <w:sz w:val="16"/>
          <w:szCs w:val="16"/>
        </w:rPr>
        <w:t>AI</w:t>
      </w:r>
      <w:r>
        <w:rPr>
          <w:color w:val="000000"/>
          <w:spacing w:val="0"/>
          <w:w w:val="100"/>
          <w:position w:val="0"/>
        </w:rPr>
        <w:t>交通治理业务进行无缝整合的能力。未来将进一步拓展</w:t>
      </w:r>
      <w:r>
        <w:rPr>
          <w:color w:val="000000"/>
          <w:spacing w:val="0"/>
          <w:w w:val="100"/>
          <w:position w:val="0"/>
          <w:sz w:val="16"/>
          <w:szCs w:val="16"/>
        </w:rPr>
        <w:t>V2X</w:t>
      </w:r>
      <w:r>
        <w:rPr>
          <w:color w:val="000000"/>
          <w:spacing w:val="0"/>
          <w:w w:val="100"/>
          <w:position w:val="0"/>
        </w:rPr>
        <w:t>功能，集成先进 检测设备、边缘计算设备、路侧单元通信设备等，更好地与汽车的智能网联相结合，在提升行驶安全、提高交通效率、提供 出行信息服务等方面发挥作用，为自动驾驶保驾护航。</w:t>
      </w:r>
    </w:p>
    <w:p>
      <w:pPr>
        <w:pStyle w:val="Style30"/>
        <w:keepNext w:val="0"/>
        <w:keepLines w:val="0"/>
        <w:widowControl w:val="0"/>
        <w:shd w:val="clear" w:color="auto" w:fill="auto"/>
        <w:tabs>
          <w:tab w:pos="1121" w:val="left"/>
        </w:tabs>
        <w:bidi w:val="0"/>
        <w:spacing w:before="0" w:after="0" w:line="312" w:lineRule="exact"/>
        <w:ind w:left="0" w:right="0" w:firstLine="640"/>
        <w:jc w:val="both"/>
      </w:pPr>
      <w:bookmarkStart w:id="94" w:name="bookmark94"/>
      <w:r>
        <w:rPr>
          <w:b/>
          <w:bCs/>
          <w:color w:val="000000"/>
          <w:spacing w:val="0"/>
          <w:w w:val="100"/>
          <w:position w:val="0"/>
        </w:rPr>
        <w:t>（</w:t>
      </w:r>
      <w:bookmarkEnd w:id="94"/>
      <w:r>
        <w:rPr>
          <w:b/>
          <w:bCs/>
          <w:color w:val="000000"/>
          <w:spacing w:val="0"/>
          <w:w w:val="100"/>
          <w:position w:val="0"/>
        </w:rPr>
        <w:t>二）</w:t>
        <w:tab/>
        <w:t>镇街大脑平台有序落地，创新社会基层治理模式</w:t>
      </w:r>
    </w:p>
    <w:p>
      <w:pPr>
        <w:pStyle w:val="Style30"/>
        <w:keepNext w:val="0"/>
        <w:keepLines w:val="0"/>
        <w:widowControl w:val="0"/>
        <w:shd w:val="clear" w:color="auto" w:fill="auto"/>
        <w:bidi w:val="0"/>
        <w:spacing w:before="0" w:after="0" w:line="312" w:lineRule="exact"/>
        <w:ind w:left="0" w:right="0" w:firstLine="640"/>
        <w:jc w:val="both"/>
      </w:pPr>
      <w:r>
        <w:rPr>
          <w:color w:val="000000"/>
          <w:spacing w:val="0"/>
          <w:w w:val="100"/>
          <w:position w:val="0"/>
        </w:rPr>
        <w:t xml:space="preserve">报告期内，公司率先布局基层治理数字化建设，基于城市大脑总体框架及社会治理“五位一体”的理念，运用物联网、 </w:t>
      </w:r>
      <w:r>
        <w:rPr>
          <w:color w:val="000000"/>
          <w:spacing w:val="0"/>
          <w:w w:val="100"/>
          <w:position w:val="0"/>
        </w:rPr>
        <w:t>云计算、大数据、人工智能、区块链等前技术，构建了 “智慧党建为引领、智慧执法+智慧经济为双引擎、智慧平安+智慧防 控为双保障、智慧民生为实现目标”的多元化全域智治平台，以打造以乡镇和街道级别的基层大脑（即镇街大脑或数字驾驶 舱），为基层社会治理提供一揽子方案。</w:t>
      </w:r>
    </w:p>
    <w:p>
      <w:pPr>
        <w:pStyle w:val="Style30"/>
        <w:keepNext w:val="0"/>
        <w:keepLines w:val="0"/>
        <w:widowControl w:val="0"/>
        <w:shd w:val="clear" w:color="auto" w:fill="auto"/>
        <w:tabs>
          <w:tab w:pos="914" w:val="left"/>
        </w:tabs>
        <w:bidi w:val="0"/>
        <w:spacing w:before="0" w:after="0" w:line="314" w:lineRule="exact"/>
        <w:ind w:left="0" w:right="0" w:firstLine="640"/>
        <w:jc w:val="both"/>
      </w:pPr>
      <w:bookmarkStart w:id="95" w:name="bookmark95"/>
      <w:r>
        <w:rPr>
          <w:color w:val="000000"/>
          <w:spacing w:val="0"/>
          <w:w w:val="100"/>
          <w:position w:val="0"/>
          <w:sz w:val="16"/>
          <w:szCs w:val="16"/>
        </w:rPr>
        <w:t>1</w:t>
      </w:r>
      <w:bookmarkEnd w:id="95"/>
      <w:r>
        <w:rPr>
          <w:color w:val="000000"/>
          <w:spacing w:val="0"/>
          <w:w w:val="100"/>
          <w:position w:val="0"/>
        </w:rPr>
        <w:t>、</w:t>
        <w:tab/>
        <w:t>三墩模式得到复制，镇街大脑省外落地</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rPr>
        <w:t>报告期内，随着三墩镇数字驾驶舱及其他已落地平台的不断完善与数据积累，基于城市大脑数据中枢和智能中枢的数智 平台逐渐呈现；通过数据中枢已打通</w:t>
      </w:r>
      <w:r>
        <w:rPr>
          <w:color w:val="000000"/>
          <w:spacing w:val="0"/>
          <w:w w:val="100"/>
          <w:position w:val="0"/>
          <w:sz w:val="16"/>
          <w:szCs w:val="16"/>
        </w:rPr>
        <w:t>110</w:t>
      </w:r>
      <w:r>
        <w:rPr>
          <w:color w:val="000000"/>
          <w:spacing w:val="0"/>
          <w:w w:val="100"/>
          <w:position w:val="0"/>
        </w:rPr>
        <w:t>联动平台、</w:t>
      </w:r>
      <w:r>
        <w:rPr>
          <w:color w:val="000000"/>
          <w:spacing w:val="0"/>
          <w:w w:val="100"/>
          <w:position w:val="0"/>
          <w:sz w:val="16"/>
          <w:szCs w:val="16"/>
        </w:rPr>
        <w:t>119</w:t>
      </w:r>
      <w:r>
        <w:rPr>
          <w:color w:val="000000"/>
          <w:spacing w:val="0"/>
          <w:w w:val="100"/>
          <w:position w:val="0"/>
        </w:rPr>
        <w:t>战勤平台、基层治理四平台、区视频资源共享平台、区数据资源共享 平台等诸多数据平台，实现数据资源共享，通过智能中枢，对平台产生的项目治理、服务及经济数据进行建模分析，实现辅 助决策、预测预判并可出具数字化报告，赋能基层政府实现社会治理体系及治理能力的现代化。</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rPr>
        <w:t>报告期内，三墩数字驾驶舱平台已由数字化基层社会治理的试点项目变为样板项目，并陆续收到全区、全市、全省甚至 全国各级部门及相关单位的关注及赞许，并陆续接待了全国相关部门的参观交流，镇街大脑全域智治平台赋能基层社会治理 项目在省内及省外有序落地。除杭州三墩镇数字驾驶舱平台，报告期内公司还先后在杭州市留下街道、杭州市前进街道、成 都市固驿街道等社会基层治理数字化平台落地实践。</w:t>
      </w:r>
    </w:p>
    <w:p>
      <w:pPr>
        <w:pStyle w:val="Style30"/>
        <w:keepNext w:val="0"/>
        <w:keepLines w:val="0"/>
        <w:widowControl w:val="0"/>
        <w:shd w:val="clear" w:color="auto" w:fill="auto"/>
        <w:tabs>
          <w:tab w:pos="924" w:val="left"/>
        </w:tabs>
        <w:bidi w:val="0"/>
        <w:spacing w:before="0" w:after="0" w:line="314" w:lineRule="exact"/>
        <w:ind w:left="0" w:right="0" w:firstLine="640"/>
        <w:jc w:val="both"/>
      </w:pPr>
      <w:bookmarkStart w:id="96" w:name="bookmark96"/>
      <w:r>
        <w:rPr>
          <w:color w:val="000000"/>
          <w:spacing w:val="0"/>
          <w:w w:val="100"/>
          <w:position w:val="0"/>
          <w:sz w:val="16"/>
          <w:szCs w:val="16"/>
        </w:rPr>
        <w:t>2</w:t>
      </w:r>
      <w:bookmarkEnd w:id="96"/>
      <w:r>
        <w:rPr>
          <w:color w:val="000000"/>
          <w:spacing w:val="0"/>
          <w:w w:val="100"/>
          <w:position w:val="0"/>
        </w:rPr>
        <w:t>、</w:t>
        <w:tab/>
        <w:t>生态协同与政策保障加推，镇街大脑有望加速全国布局</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rPr>
        <w:t>报告期内，公司在镇街大脑平台打造及市场拓展的同时，也建设了良好的政企生态合作环境。先后与中国电信杭州分公 司、杭州新华三技术有限公司、浙江大学、相关政府单位等达成战略合作。同时公司也有效整合了社会治理各细分领域的专 业团队，为下一步数字化基层治理镇街大脑平台标准的制定、赋能基层社会治理产生实效等方面继续探索，贡献银江力量。</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rPr>
        <w:t>报告期末，基层治理已作为章节写入《中共中央关于制定国民经济和社会发展第十四个五年规划和二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 的建议》当中，加强数字社会、数字政府建设，提升公共服务、社会治理等数字化智能化成为我国政府未来努力的方向。</w:t>
      </w:r>
    </w:p>
    <w:p>
      <w:pPr>
        <w:pStyle w:val="Style30"/>
        <w:keepNext w:val="0"/>
        <w:keepLines w:val="0"/>
        <w:widowControl w:val="0"/>
        <w:shd w:val="clear" w:color="auto" w:fill="auto"/>
        <w:bidi w:val="0"/>
        <w:spacing w:before="0" w:after="0" w:line="314" w:lineRule="exact"/>
        <w:ind w:left="0" w:right="0" w:firstLine="640"/>
        <w:jc w:val="both"/>
      </w:pPr>
      <w:bookmarkStart w:id="97" w:name="bookmark97"/>
      <w:r>
        <w:rPr>
          <w:b/>
          <w:bCs/>
          <w:color w:val="000000"/>
          <w:spacing w:val="0"/>
          <w:w w:val="100"/>
          <w:position w:val="0"/>
        </w:rPr>
        <w:t>（</w:t>
      </w:r>
      <w:bookmarkEnd w:id="97"/>
      <w:r>
        <w:rPr>
          <w:b/>
          <w:bCs/>
          <w:color w:val="000000"/>
          <w:spacing w:val="0"/>
          <w:w w:val="100"/>
          <w:position w:val="0"/>
        </w:rPr>
        <w:t>三）沈阳健康平台运营首年，多方面获得创新突破</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sz w:val="16"/>
          <w:szCs w:val="16"/>
        </w:rPr>
        <w:t>2020</w:t>
      </w:r>
      <w:r>
        <w:rPr>
          <w:color w:val="000000"/>
          <w:spacing w:val="0"/>
          <w:w w:val="100"/>
          <w:position w:val="0"/>
        </w:rPr>
        <w:t>年是沈阳市区域人口健康信息平台（以下简称：平台）项目建成后运营的第一年，截止报告期末，平台已覆盖沈阳 市属</w:t>
      </w:r>
      <w:r>
        <w:rPr>
          <w:color w:val="000000"/>
          <w:spacing w:val="0"/>
          <w:w w:val="100"/>
          <w:position w:val="0"/>
          <w:sz w:val="16"/>
          <w:szCs w:val="16"/>
        </w:rPr>
        <w:t>21</w:t>
      </w:r>
      <w:r>
        <w:rPr>
          <w:color w:val="000000"/>
          <w:spacing w:val="0"/>
          <w:w w:val="100"/>
          <w:position w:val="0"/>
        </w:rPr>
        <w:t>家三级医院，</w:t>
      </w:r>
      <w:r>
        <w:rPr>
          <w:color w:val="000000"/>
          <w:spacing w:val="0"/>
          <w:w w:val="100"/>
          <w:position w:val="0"/>
          <w:sz w:val="16"/>
          <w:szCs w:val="16"/>
        </w:rPr>
        <w:t>9</w:t>
      </w:r>
      <w:r>
        <w:rPr>
          <w:color w:val="000000"/>
          <w:spacing w:val="0"/>
          <w:w w:val="100"/>
          <w:position w:val="0"/>
        </w:rPr>
        <w:t>家大型民营医院，</w:t>
      </w:r>
      <w:r>
        <w:rPr>
          <w:color w:val="000000"/>
          <w:spacing w:val="0"/>
          <w:w w:val="100"/>
          <w:position w:val="0"/>
          <w:sz w:val="16"/>
          <w:szCs w:val="16"/>
        </w:rPr>
        <w:t>6</w:t>
      </w:r>
      <w:r>
        <w:rPr>
          <w:color w:val="000000"/>
          <w:spacing w:val="0"/>
          <w:w w:val="100"/>
          <w:position w:val="0"/>
        </w:rPr>
        <w:t>个区县中心医院及</w:t>
      </w:r>
      <w:r>
        <w:rPr>
          <w:color w:val="000000"/>
          <w:spacing w:val="0"/>
          <w:w w:val="100"/>
          <w:position w:val="0"/>
          <w:sz w:val="16"/>
          <w:szCs w:val="16"/>
        </w:rPr>
        <w:t>5</w:t>
      </w:r>
      <w:r>
        <w:rPr>
          <w:color w:val="000000"/>
          <w:spacing w:val="0"/>
          <w:w w:val="100"/>
          <w:position w:val="0"/>
        </w:rPr>
        <w:t>个区县平台，累计生成门诊电子病历</w:t>
      </w:r>
      <w:r>
        <w:rPr>
          <w:color w:val="000000"/>
          <w:spacing w:val="0"/>
          <w:w w:val="100"/>
          <w:position w:val="0"/>
          <w:sz w:val="16"/>
          <w:szCs w:val="16"/>
        </w:rPr>
        <w:t>2500</w:t>
      </w:r>
      <w:r>
        <w:rPr>
          <w:color w:val="000000"/>
          <w:spacing w:val="0"/>
          <w:w w:val="100"/>
          <w:position w:val="0"/>
        </w:rPr>
        <w:t>万份，住院病历</w:t>
      </w:r>
      <w:r>
        <w:rPr>
          <w:color w:val="000000"/>
          <w:spacing w:val="0"/>
          <w:w w:val="100"/>
          <w:position w:val="0"/>
          <w:sz w:val="16"/>
          <w:szCs w:val="16"/>
        </w:rPr>
        <w:t xml:space="preserve">210 </w:t>
      </w:r>
      <w:r>
        <w:rPr>
          <w:color w:val="000000"/>
          <w:spacing w:val="0"/>
          <w:w w:val="100"/>
          <w:position w:val="0"/>
        </w:rPr>
        <w:t>万份，影像</w:t>
      </w:r>
      <w:r>
        <w:rPr>
          <w:color w:val="000000"/>
          <w:spacing w:val="0"/>
          <w:w w:val="100"/>
          <w:position w:val="0"/>
          <w:sz w:val="16"/>
          <w:szCs w:val="16"/>
        </w:rPr>
        <w:t>250</w:t>
      </w:r>
      <w:r>
        <w:rPr>
          <w:color w:val="000000"/>
          <w:spacing w:val="0"/>
          <w:w w:val="100"/>
          <w:position w:val="0"/>
        </w:rPr>
        <w:t>万份，健康档案数总数</w:t>
      </w:r>
      <w:r>
        <w:rPr>
          <w:color w:val="000000"/>
          <w:spacing w:val="0"/>
          <w:w w:val="100"/>
          <w:position w:val="0"/>
          <w:sz w:val="16"/>
          <w:szCs w:val="16"/>
        </w:rPr>
        <w:t>408</w:t>
      </w:r>
      <w:r>
        <w:rPr>
          <w:color w:val="000000"/>
          <w:spacing w:val="0"/>
          <w:w w:val="100"/>
          <w:position w:val="0"/>
        </w:rPr>
        <w:t>万余份，大量医疗数据支撑了平台的稳定运行。公司在提升沈阳市区域医疗环境的 同时，为居民、医疗卫生从业人员以及卫生管理者提供线上、线下全方位的信息化便捷健康管理服务。在巩固医院和公共卫 生传统医疗信息市场的基础上，不断以“互联网+医疗健康”、“互联网+服务”等创新模式，积极探索运营的新模式和开拓 数据运营服务。</w:t>
      </w:r>
    </w:p>
    <w:p>
      <w:pPr>
        <w:pStyle w:val="Style30"/>
        <w:keepNext w:val="0"/>
        <w:keepLines w:val="0"/>
        <w:widowControl w:val="0"/>
        <w:shd w:val="clear" w:color="auto" w:fill="auto"/>
        <w:bidi w:val="0"/>
        <w:spacing w:before="0" w:after="0" w:line="314" w:lineRule="exact"/>
        <w:ind w:left="280" w:right="0"/>
        <w:jc w:val="both"/>
      </w:pPr>
      <w:r>
        <w:rPr>
          <w:color w:val="000000"/>
          <w:spacing w:val="0"/>
          <w:w w:val="100"/>
          <w:position w:val="0"/>
        </w:rPr>
        <w:t>报告期内，公司还与多家民营医院针对就医导流运营开展合作探索，将多家民营医疗机构接入沈阳市区域人口健康信息 平台，在沈阳区域实现健康档案调阅、预约挂号、双向转诊等功能。报告期内，公司与腾讯公司在国家医保电子凭证推广项 目上达成合作。医保电子凭证业务覆盖全市</w:t>
      </w:r>
      <w:r>
        <w:rPr>
          <w:color w:val="000000"/>
          <w:spacing w:val="0"/>
          <w:w w:val="100"/>
          <w:position w:val="0"/>
          <w:sz w:val="16"/>
          <w:szCs w:val="16"/>
        </w:rPr>
        <w:t>4500</w:t>
      </w:r>
      <w:r>
        <w:rPr>
          <w:color w:val="000000"/>
          <w:spacing w:val="0"/>
          <w:w w:val="100"/>
          <w:position w:val="0"/>
        </w:rPr>
        <w:t>家药房、</w:t>
      </w:r>
      <w:r>
        <w:rPr>
          <w:color w:val="000000"/>
          <w:spacing w:val="0"/>
          <w:w w:val="100"/>
          <w:position w:val="0"/>
          <w:sz w:val="16"/>
          <w:szCs w:val="16"/>
        </w:rPr>
        <w:t>18</w:t>
      </w:r>
      <w:r>
        <w:rPr>
          <w:color w:val="000000"/>
          <w:spacing w:val="0"/>
          <w:w w:val="100"/>
          <w:position w:val="0"/>
        </w:rPr>
        <w:t>家医疗机构、</w:t>
      </w:r>
      <w:r>
        <w:rPr>
          <w:color w:val="000000"/>
          <w:spacing w:val="0"/>
          <w:w w:val="100"/>
          <w:position w:val="0"/>
          <w:sz w:val="16"/>
          <w:szCs w:val="16"/>
        </w:rPr>
        <w:t>300</w:t>
      </w:r>
      <w:r>
        <w:rPr>
          <w:color w:val="000000"/>
          <w:spacing w:val="0"/>
          <w:w w:val="100"/>
          <w:position w:val="0"/>
        </w:rPr>
        <w:t>家诊所及卫生服务中心，医保电子凭证激活量 达</w:t>
      </w:r>
      <w:r>
        <w:rPr>
          <w:color w:val="000000"/>
          <w:spacing w:val="0"/>
          <w:w w:val="100"/>
          <w:position w:val="0"/>
          <w:sz w:val="16"/>
          <w:szCs w:val="16"/>
        </w:rPr>
        <w:t>20</w:t>
      </w:r>
      <w:r>
        <w:rPr>
          <w:color w:val="000000"/>
          <w:spacing w:val="0"/>
          <w:w w:val="100"/>
          <w:position w:val="0"/>
        </w:rPr>
        <w:t>余万，支付笔数达</w:t>
      </w:r>
      <w:r>
        <w:rPr>
          <w:color w:val="000000"/>
          <w:spacing w:val="0"/>
          <w:w w:val="100"/>
          <w:position w:val="0"/>
          <w:sz w:val="16"/>
          <w:szCs w:val="16"/>
        </w:rPr>
        <w:t>50</w:t>
      </w:r>
      <w:r>
        <w:rPr>
          <w:color w:val="000000"/>
          <w:spacing w:val="0"/>
          <w:w w:val="100"/>
          <w:position w:val="0"/>
        </w:rPr>
        <w:t>余万，沈城百姓就医购药更加方便快捷，助力智慧沈阳建设。公司以健康盛京</w:t>
      </w:r>
      <w:r>
        <w:rPr>
          <w:color w:val="000000"/>
          <w:spacing w:val="0"/>
          <w:w w:val="100"/>
          <w:position w:val="0"/>
          <w:sz w:val="16"/>
          <w:szCs w:val="16"/>
        </w:rPr>
        <w:t>APP</w:t>
      </w:r>
      <w:r>
        <w:rPr>
          <w:color w:val="000000"/>
          <w:spacing w:val="0"/>
          <w:w w:val="100"/>
          <w:position w:val="0"/>
        </w:rPr>
        <w:t>为出口，深度集 成</w:t>
      </w:r>
      <w:r>
        <w:rPr>
          <w:color w:val="000000"/>
          <w:spacing w:val="0"/>
          <w:w w:val="100"/>
          <w:position w:val="0"/>
          <w:sz w:val="16"/>
          <w:szCs w:val="16"/>
        </w:rPr>
        <w:t>AI+</w:t>
      </w:r>
      <w:r>
        <w:rPr>
          <w:color w:val="000000"/>
          <w:spacing w:val="0"/>
          <w:w w:val="100"/>
          <w:position w:val="0"/>
        </w:rPr>
        <w:t>门诊业务，在诊疗过程中实现人工智能赋能，并深度融合收费、门诊业务、检查检查、收费管理、住院业务等功能应 用，实现智能辅诊、业务一体化、集约部署、标准化、灵活配置、全面支撑等产品特性。</w:t>
      </w:r>
    </w:p>
    <w:p>
      <w:pPr>
        <w:pStyle w:val="Style30"/>
        <w:keepNext w:val="0"/>
        <w:keepLines w:val="0"/>
        <w:widowControl w:val="0"/>
        <w:shd w:val="clear" w:color="auto" w:fill="auto"/>
        <w:bidi w:val="0"/>
        <w:spacing w:before="0" w:after="380" w:line="314" w:lineRule="exact"/>
        <w:ind w:left="280" w:right="0"/>
        <w:jc w:val="both"/>
      </w:pPr>
      <w:r>
        <w:rPr>
          <w:color w:val="000000"/>
          <w:spacing w:val="0"/>
          <w:w w:val="100"/>
          <w:position w:val="0"/>
        </w:rPr>
        <w:t>报告期内，公司在第三方疾病精细化管理服务（智能</w:t>
      </w:r>
      <w:r>
        <w:rPr>
          <w:color w:val="000000"/>
          <w:spacing w:val="0"/>
          <w:w w:val="100"/>
          <w:position w:val="0"/>
          <w:sz w:val="16"/>
          <w:szCs w:val="16"/>
        </w:rPr>
        <w:t>AI</w:t>
      </w:r>
      <w:r>
        <w:rPr>
          <w:color w:val="000000"/>
          <w:spacing w:val="0"/>
          <w:w w:val="100"/>
          <w:position w:val="0"/>
        </w:rPr>
        <w:t>随访）项目上进展顺利。通过对患者提供持续性动态病情追踪和 及时的康复指导、疾病宣教、疾病风险筛查等服务，进一步满足患者对预防、治疗、康复、保健等各阶段医疗服务需求，从 而让患者享受优质、高效、全面的医学服务，实现医院、医生、患者、服务商的四方共赢。</w:t>
      </w:r>
    </w:p>
    <w:p>
      <w:pPr>
        <w:pStyle w:val="Style28"/>
        <w:keepNext/>
        <w:keepLines/>
        <w:widowControl w:val="0"/>
        <w:shd w:val="clear" w:color="auto" w:fill="auto"/>
        <w:bidi w:val="0"/>
        <w:spacing w:before="0" w:after="380" w:line="240" w:lineRule="auto"/>
        <w:ind w:left="0" w:right="0" w:firstLine="280"/>
        <w:jc w:val="both"/>
      </w:pPr>
      <w:bookmarkStart w:id="100" w:name="bookmark100"/>
      <w:bookmarkStart w:id="101" w:name="bookmark101"/>
      <w:bookmarkStart w:id="98" w:name="bookmark98"/>
      <w:bookmarkStart w:id="99" w:name="bookmark99"/>
      <w:r>
        <w:rPr>
          <w:color w:val="000000"/>
          <w:spacing w:val="0"/>
          <w:w w:val="100"/>
          <w:position w:val="0"/>
        </w:rPr>
        <w:t>二</w:t>
      </w:r>
      <w:bookmarkEnd w:id="100"/>
      <w:r>
        <w:rPr>
          <w:color w:val="000000"/>
          <w:spacing w:val="0"/>
          <w:w w:val="100"/>
          <w:position w:val="0"/>
        </w:rPr>
        <w:t>、主营业务分析</w:t>
      </w:r>
      <w:bookmarkEnd w:id="101"/>
      <w:bookmarkEnd w:id="98"/>
      <w:bookmarkEnd w:id="99"/>
    </w:p>
    <w:p>
      <w:pPr>
        <w:pStyle w:val="Style33"/>
        <w:keepNext/>
        <w:keepLines/>
        <w:widowControl w:val="0"/>
        <w:shd w:val="clear" w:color="auto" w:fill="auto"/>
        <w:bidi w:val="0"/>
        <w:spacing w:before="0" w:after="260" w:line="240" w:lineRule="auto"/>
        <w:ind w:left="0" w:right="0" w:firstLine="28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30"/>
        <w:keepNext w:val="0"/>
        <w:keepLines w:val="0"/>
        <w:widowControl w:val="0"/>
        <w:shd w:val="clear" w:color="auto" w:fill="auto"/>
        <w:bidi w:val="0"/>
        <w:spacing w:before="0" w:after="320" w:line="314" w:lineRule="exact"/>
        <w:ind w:left="0" w:right="0" w:firstLine="28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3"/>
        <w:keepNext/>
        <w:keepLines/>
        <w:widowControl w:val="0"/>
        <w:shd w:val="clear" w:color="auto" w:fill="auto"/>
        <w:bidi w:val="0"/>
        <w:spacing w:before="0" w:line="240" w:lineRule="auto"/>
        <w:ind w:left="0" w:right="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47"/>
        <w:keepNext/>
        <w:keepLines/>
        <w:widowControl w:val="0"/>
        <w:numPr>
          <w:ilvl w:val="0"/>
          <w:numId w:val="3"/>
        </w:numPr>
        <w:shd w:val="clear" w:color="auto" w:fill="auto"/>
        <w:bidi w:val="0"/>
        <w:spacing w:before="0" w:after="360" w:line="240" w:lineRule="auto"/>
        <w:ind w:left="0" w:right="0"/>
        <w:jc w:val="left"/>
      </w:pPr>
      <w:bookmarkStart w:id="110" w:name="bookmark110"/>
      <w:bookmarkStart w:id="111" w:name="bookmark111"/>
      <w:bookmarkStart w:id="112" w:name="bookmark112"/>
      <w:bookmarkStart w:id="113" w:name="bookmark113"/>
      <w:bookmarkEnd w:id="112"/>
      <w:r>
        <w:rPr>
          <w:color w:val="000000"/>
          <w:spacing w:val="0"/>
          <w:w w:val="100"/>
          <w:position w:val="0"/>
        </w:rPr>
        <w:t>营业收入构成</w:t>
      </w:r>
      <w:bookmarkEnd w:id="110"/>
      <w:bookmarkEnd w:id="111"/>
      <w:bookmarkEnd w:id="113"/>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2,079,504,434.71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w:t>
            </w:r>
          </w:p>
        </w:tc>
      </w:tr>
      <w:tr>
        <w:trPr>
          <w:trHeight w:val="322"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2,079,504,434.71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w:t>
            </w:r>
          </w:p>
        </w:tc>
      </w:tr>
      <w:tr>
        <w:trPr>
          <w:trHeight w:val="322"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1,009,863,325.67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977,575,034.76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333,984,017.51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299,864,539.48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771,669,858.63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779,814,163.01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综合服务收入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22,664,728.46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22,250,697.46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22"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48,750,548.01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106,470,627.06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-54.21%</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385,941,838.41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395,313,793.04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1,027,182,599.30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1,001,281,385.31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144,327,280.29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192,354,160.21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117,813,824.36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86,507,384.48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36.19%</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89,589,822.88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93,993,600.45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w:t>
            </w:r>
          </w:p>
        </w:tc>
      </w:tr>
      <w:tr>
        <w:trPr>
          <w:trHeight w:val="33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324,576,017.02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203,583,484.16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59.43%</w:t>
            </w:r>
          </w:p>
        </w:tc>
      </w:tr>
    </w:tbl>
    <w:p>
      <w:pPr>
        <w:widowControl w:val="0"/>
        <w:spacing w:after="319" w:line="1" w:lineRule="exact"/>
      </w:pPr>
    </w:p>
    <w:p>
      <w:pPr>
        <w:pStyle w:val="Style47"/>
        <w:keepNext/>
        <w:keepLines/>
        <w:widowControl w:val="0"/>
        <w:numPr>
          <w:ilvl w:val="0"/>
          <w:numId w:val="3"/>
        </w:numPr>
        <w:shd w:val="clear" w:color="auto" w:fill="auto"/>
        <w:bidi w:val="0"/>
        <w:spacing w:before="0" w:after="360" w:line="240" w:lineRule="auto"/>
        <w:ind w:left="0" w:right="0" w:firstLine="40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6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22"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1,609,601,729.45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22"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1,009,863,325.67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707,902,840.61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333,984,017.51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220,998,317.45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771,669,858.63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665,570,315.13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22"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385,941,838.41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290,372,151.99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1,027,182,599.30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775,023,232.73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324,576,017.02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244,015,622.18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r>
    </w:tbl>
    <w:p>
      <w:pPr>
        <w:pStyle w:val="Style30"/>
        <w:keepNext w:val="0"/>
        <w:keepLines w:val="0"/>
        <w:widowControl w:val="0"/>
        <w:shd w:val="clear" w:color="auto" w:fill="auto"/>
        <w:bidi w:val="0"/>
        <w:spacing w:before="0" w:after="340" w:line="341" w:lineRule="exact"/>
        <w:ind w:left="260" w:right="0" w:firstLine="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753" w:val="left"/>
        </w:tabs>
        <w:bidi w:val="0"/>
        <w:spacing w:before="0" w:line="240" w:lineRule="auto"/>
        <w:ind w:left="0" w:right="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8"/>
      <w:bookmarkEnd w:id="119"/>
      <w:bookmarkEnd w:id="121"/>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753" w:val="left"/>
        </w:tabs>
        <w:bidi w:val="0"/>
        <w:spacing w:before="0" w:line="240" w:lineRule="auto"/>
        <w:ind w:left="0" w:right="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753" w:val="left"/>
        </w:tabs>
        <w:bidi w:val="0"/>
        <w:spacing w:before="0" w:line="240" w:lineRule="auto"/>
        <w:ind w:left="0" w:right="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30"/>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行业和产品分类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1,609,601,729.45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1,596,541,427.28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0.82%</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707,902,840.61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706,948,544.00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220,998,317.45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201,323,873.98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3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665,570,315.13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673,580,828.17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综合服务收入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15,130,256.26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14,688,181.13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3.01%</w:t>
            </w:r>
          </w:p>
        </w:tc>
      </w:tr>
    </w:tbl>
    <w:p>
      <w:pPr>
        <w:widowControl w:val="0"/>
        <w:spacing w:after="319" w:line="1" w:lineRule="exact"/>
      </w:pPr>
    </w:p>
    <w:p>
      <w:pPr>
        <w:pStyle w:val="Style47"/>
        <w:keepNext/>
        <w:keepLines/>
        <w:widowControl w:val="0"/>
        <w:shd w:val="clear" w:color="auto" w:fill="auto"/>
        <w:tabs>
          <w:tab w:pos="753" w:val="left"/>
        </w:tabs>
        <w:bidi w:val="0"/>
        <w:spacing w:before="0" w:line="240" w:lineRule="auto"/>
        <w:ind w:left="0" w:right="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0"/>
      <w:bookmarkEnd w:id="131"/>
      <w:bookmarkEnd w:id="133"/>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753" w:val="left"/>
        </w:tabs>
        <w:bidi w:val="0"/>
        <w:spacing w:before="0" w:line="240" w:lineRule="auto"/>
        <w:ind w:left="0" w:right="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753" w:val="left"/>
        </w:tabs>
        <w:bidi w:val="0"/>
        <w:spacing w:before="0" w:line="240" w:lineRule="auto"/>
        <w:ind w:left="0" w:right="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30"/>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410,666,442.44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162,145,410.71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74,088,393.34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80,818,949.25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53,042,839.40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40,570,849.74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410,666,442.44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公司主要供应商情况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179,944,856.22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47,401,291.33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38,480,841.55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35,671,487.57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28,391,235.77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179,944,856.22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46,427,801.18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45,839,747.88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139,077,278.60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135,043,762.30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80,955,025.62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47,642,587.39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年短期借款增加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71,735,352.83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90,176,735.40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30"/>
        <w:keepNext w:val="0"/>
        <w:keepLines w:val="0"/>
        <w:widowControl w:val="0"/>
        <w:shd w:val="clear" w:color="auto" w:fill="auto"/>
        <w:bidi w:val="0"/>
        <w:spacing w:before="0" w:after="0" w:line="312" w:lineRule="exact"/>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26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年度，公司持续加大研发投入，积极将更多已完成的技术研发成果自主知识产权和技术专利等转化为能进一步提升 公司核心竞争能力的无形资产，报告期内研发投入总额</w:t>
      </w:r>
      <w:r>
        <w:rPr>
          <w:rFonts w:ascii="Times New Roman" w:eastAsia="Times New Roman" w:hAnsi="Times New Roman" w:cs="Times New Roman"/>
          <w:color w:val="000000"/>
          <w:spacing w:val="0"/>
          <w:w w:val="100"/>
          <w:position w:val="0"/>
          <w:sz w:val="18"/>
          <w:szCs w:val="18"/>
        </w:rPr>
        <w:t>91,269,778.30</w:t>
      </w:r>
      <w:r>
        <w:rPr>
          <w:color w:val="000000"/>
          <w:spacing w:val="0"/>
          <w:w w:val="100"/>
          <w:position w:val="0"/>
        </w:rPr>
        <w:t>元。公司重大研发创新项目主要有：</w:t>
      </w:r>
    </w:p>
    <w:p>
      <w:pPr>
        <w:pStyle w:val="Style30"/>
        <w:keepNext w:val="0"/>
        <w:keepLines w:val="0"/>
        <w:widowControl w:val="0"/>
        <w:shd w:val="clear" w:color="auto" w:fill="auto"/>
        <w:bidi w:val="0"/>
        <w:spacing w:before="0" w:after="0" w:line="312" w:lineRule="exact"/>
        <w:ind w:left="0" w:right="0" w:firstLine="6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HERO</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全域交通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控制系统</w:t>
      </w:r>
    </w:p>
    <w:p>
      <w:pPr>
        <w:pStyle w:val="Style30"/>
        <w:keepNext w:val="0"/>
        <w:keepLines w:val="0"/>
        <w:widowControl w:val="0"/>
        <w:shd w:val="clear" w:color="auto" w:fill="auto"/>
        <w:bidi w:val="0"/>
        <w:spacing w:before="0" w:after="0" w:line="312" w:lineRule="exact"/>
        <w:ind w:left="260" w:right="0" w:firstLine="380"/>
        <w:jc w:val="left"/>
      </w:pPr>
      <w:r>
        <w:rPr>
          <w:rFonts w:ascii="Times New Roman" w:eastAsia="Times New Roman" w:hAnsi="Times New Roman" w:cs="Times New Roman"/>
          <w:color w:val="000000"/>
          <w:spacing w:val="0"/>
          <w:w w:val="100"/>
          <w:position w:val="0"/>
          <w:sz w:val="18"/>
          <w:szCs w:val="18"/>
        </w:rPr>
        <w:t>HERO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Hangzhou Evolving AI-tRaffic cOntrol System</w:t>
      </w:r>
      <w:r>
        <w:rPr>
          <w:color w:val="000000"/>
          <w:spacing w:val="0"/>
          <w:w w:val="100"/>
          <w:position w:val="0"/>
        </w:rPr>
        <w:t>）</w:t>
      </w:r>
      <w:r>
        <w:rPr>
          <w:color w:val="000000"/>
          <w:spacing w:val="0"/>
          <w:w w:val="100"/>
          <w:position w:val="0"/>
        </w:rPr>
        <w:t>，是银江依托杭州交通信号配时中心实战场景自主研发迭代进化 的一款全域交通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控制系统。从技术架构上，采用了自建的数据工厂和深度强化学习技术，同时采用了多</w:t>
      </w:r>
      <w:r>
        <w:rPr>
          <w:rFonts w:ascii="Times New Roman" w:eastAsia="Times New Roman" w:hAnsi="Times New Roman" w:cs="Times New Roman"/>
          <w:color w:val="000000"/>
          <w:spacing w:val="0"/>
          <w:w w:val="100"/>
          <w:position w:val="0"/>
          <w:sz w:val="18"/>
          <w:szCs w:val="18"/>
        </w:rPr>
        <w:t>Agent</w:t>
      </w:r>
      <w:r>
        <w:rPr>
          <w:color w:val="000000"/>
          <w:spacing w:val="0"/>
          <w:w w:val="100"/>
          <w:position w:val="0"/>
        </w:rPr>
        <w:t xml:space="preserve">强化学习方 </w:t>
      </w:r>
      <w:r>
        <w:rPr>
          <w:color w:val="000000"/>
          <w:spacing w:val="0"/>
          <w:w w:val="100"/>
          <w:position w:val="0"/>
        </w:rPr>
        <w:t>法，能够同时处理全域规模性的道路交通控制和优化。</w:t>
      </w:r>
      <w:r>
        <w:rPr>
          <w:rFonts w:ascii="Times New Roman" w:eastAsia="Times New Roman" w:hAnsi="Times New Roman" w:cs="Times New Roman"/>
          <w:color w:val="000000"/>
          <w:spacing w:val="0"/>
          <w:w w:val="100"/>
          <w:position w:val="0"/>
          <w:sz w:val="18"/>
          <w:szCs w:val="18"/>
        </w:rPr>
        <w:t>HERO</w:t>
      </w:r>
      <w:r>
        <w:rPr>
          <w:color w:val="000000"/>
          <w:spacing w:val="0"/>
          <w:w w:val="100"/>
          <w:position w:val="0"/>
        </w:rPr>
        <w:t>主要功能包括：传统信控、配时优化、</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控制、全域优化、仿 真推演、数据工厂、信控集成、</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、信控评价和智能容灾。</w:t>
      </w:r>
    </w:p>
    <w:p>
      <w:pPr>
        <w:pStyle w:val="Style30"/>
        <w:keepNext w:val="0"/>
        <w:keepLines w:val="0"/>
        <w:widowControl w:val="0"/>
        <w:shd w:val="clear" w:color="auto" w:fill="auto"/>
        <w:bidi w:val="0"/>
        <w:spacing w:before="0" w:after="100" w:line="312" w:lineRule="exact"/>
        <w:ind w:left="280" w:right="0"/>
        <w:jc w:val="both"/>
      </w:pPr>
      <w:r>
        <w:rPr>
          <w:rFonts w:ascii="Times New Roman" w:eastAsia="Times New Roman" w:hAnsi="Times New Roman" w:cs="Times New Roman"/>
          <w:color w:val="000000"/>
          <w:spacing w:val="0"/>
          <w:w w:val="100"/>
          <w:position w:val="0"/>
          <w:sz w:val="18"/>
          <w:szCs w:val="18"/>
        </w:rPr>
        <w:t>HERO</w:t>
      </w:r>
      <w:r>
        <w:rPr>
          <w:color w:val="000000"/>
          <w:spacing w:val="0"/>
          <w:w w:val="100"/>
          <w:position w:val="0"/>
        </w:rPr>
        <w:t>技术来源于银江承担的国家、省市级科研课题以及承担建设的杭州城市大脑工程项目。</w:t>
      </w:r>
      <w:r>
        <w:rPr>
          <w:rFonts w:ascii="Times New Roman" w:eastAsia="Times New Roman" w:hAnsi="Times New Roman" w:cs="Times New Roman"/>
          <w:color w:val="000000"/>
          <w:spacing w:val="0"/>
          <w:w w:val="100"/>
          <w:position w:val="0"/>
          <w:sz w:val="18"/>
          <w:szCs w:val="18"/>
        </w:rPr>
        <w:t>HERO</w:t>
      </w:r>
      <w:r>
        <w:rPr>
          <w:color w:val="000000"/>
          <w:spacing w:val="0"/>
          <w:w w:val="100"/>
          <w:position w:val="0"/>
        </w:rPr>
        <w:t>已沉淀几十项</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信 控方面的发明专利，形成了围绕</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信控的自主知识产权技术和工程应用的产品，曾获得中国智能交通协会科学技术一等奖。 项目部分技术成果已在杭州、南昌、太原等多个城市落地应用。</w:t>
      </w:r>
    </w:p>
    <w:p>
      <w:pPr>
        <w:pStyle w:val="Style30"/>
        <w:keepNext w:val="0"/>
        <w:keepLines w:val="0"/>
        <w:widowControl w:val="0"/>
        <w:shd w:val="clear" w:color="auto" w:fill="auto"/>
        <w:tabs>
          <w:tab w:pos="934" w:val="left"/>
        </w:tabs>
        <w:bidi w:val="0"/>
        <w:spacing w:before="0" w:after="0" w:line="360" w:lineRule="auto"/>
        <w:ind w:left="0" w:right="0" w:firstLine="640"/>
        <w:jc w:val="both"/>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w:t>
        <w:tab/>
        <w:t>智慧安保平台</w:t>
      </w:r>
    </w:p>
    <w:p>
      <w:pPr>
        <w:pStyle w:val="Style30"/>
        <w:keepNext w:val="0"/>
        <w:keepLines w:val="0"/>
        <w:widowControl w:val="0"/>
        <w:shd w:val="clear" w:color="auto" w:fill="auto"/>
        <w:bidi w:val="0"/>
        <w:spacing w:before="0" w:after="100" w:line="312" w:lineRule="exact"/>
        <w:ind w:left="280" w:right="0"/>
        <w:jc w:val="both"/>
      </w:pPr>
      <w:r>
        <w:rPr>
          <w:color w:val="000000"/>
          <w:spacing w:val="0"/>
          <w:w w:val="100"/>
          <w:position w:val="0"/>
        </w:rPr>
        <w:t>智慧安保平台集无人机、高精差分定位系统、信号控制系统、视频监控系统、地理信息系统为一体，针对特种运输车辆、 交通应急事件、以及大型安保任务等场景应用提供专门的解决方案，实现特殊任务的指挥调度管理可视化、资源物质配置预 案化、智能设备联动控制自动化，为交通管理部门提供高效的信息化支撑，辅助用户分析决策。平台充分发挥物联网优势， 以地理信息可视化为手段，实时监测路网中的特殊车辆的位置信息以及安保警力位置分布；以监控、无人机为可视化辅助手 段，全过程动态跟踪处置突发情况，保障车辆安全；以智能设备的自动化控制为技术手段保障车辆快速抵达目的地，切实提 高防疫、安保的核心战斗力。利用这套系统交通管理部门可实现部门间的高效协作和快速的处突响应，目前该系统已在南昌 等地上线试运行。</w:t>
      </w:r>
    </w:p>
    <w:p>
      <w:pPr>
        <w:pStyle w:val="Style30"/>
        <w:keepNext w:val="0"/>
        <w:keepLines w:val="0"/>
        <w:widowControl w:val="0"/>
        <w:shd w:val="clear" w:color="auto" w:fill="auto"/>
        <w:tabs>
          <w:tab w:pos="924" w:val="left"/>
        </w:tabs>
        <w:bidi w:val="0"/>
        <w:spacing w:before="0" w:after="0" w:line="360" w:lineRule="auto"/>
        <w:ind w:left="0" w:right="0" w:firstLine="640"/>
        <w:jc w:val="both"/>
      </w:pPr>
      <w:bookmarkStart w:id="151" w:name="bookmark151"/>
      <w:r>
        <w:rPr>
          <w:rFonts w:ascii="Times New Roman" w:eastAsia="Times New Roman" w:hAnsi="Times New Roman" w:cs="Times New Roman"/>
          <w:color w:val="000000"/>
          <w:spacing w:val="0"/>
          <w:w w:val="100"/>
          <w:position w:val="0"/>
          <w:sz w:val="18"/>
          <w:szCs w:val="18"/>
        </w:rPr>
        <w:t>3</w:t>
      </w:r>
      <w:bookmarkEnd w:id="151"/>
      <w:r>
        <w:rPr>
          <w:color w:val="000000"/>
          <w:spacing w:val="0"/>
          <w:w w:val="100"/>
          <w:position w:val="0"/>
        </w:rPr>
        <w:t>、</w:t>
        <w:tab/>
        <w:t>可视化实战分析应用平台</w:t>
      </w:r>
    </w:p>
    <w:p>
      <w:pPr>
        <w:pStyle w:val="Style30"/>
        <w:keepNext w:val="0"/>
        <w:keepLines w:val="0"/>
        <w:widowControl w:val="0"/>
        <w:shd w:val="clear" w:color="auto" w:fill="auto"/>
        <w:bidi w:val="0"/>
        <w:spacing w:before="0" w:after="100" w:line="312" w:lineRule="exact"/>
        <w:ind w:left="280" w:right="0"/>
        <w:jc w:val="both"/>
      </w:pPr>
      <w:r>
        <w:rPr>
          <w:color w:val="000000"/>
          <w:spacing w:val="0"/>
          <w:w w:val="100"/>
          <w:position w:val="0"/>
        </w:rPr>
        <w:t>银江可视化实战分析应用平台基于大数据分析基础平台，利用大数据、云计算、互联网、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人工智能等新技术手段，通 过数据价值挖掘解决交通系统中的深层次问题，赋予交通系统真正的智慧。平台融合各类别、各级别、各维度的海量交通大 数据，面向路网态势、交通设备、交通设施、交通枢纽等智能交通基础设施资源，以及车辆画像、交通通警情、交通违法、 交通事故、交通警力、资源运维、资源协调等交通运行信息建立专题化、可视化的分析与监测信息。该平台具有实时分析计 算、多层次、多场景、多维度分析，技战法丰富等特点，可以为交管部门在交通堵点治理、交通警情处置等实际业务场景应 用提供支撑，最终实现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缓堵保畅、治安防控、警力调度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的目标，为城市交通的管理与健康发展提供了有力支撑。</w:t>
      </w:r>
    </w:p>
    <w:p>
      <w:pPr>
        <w:pStyle w:val="Style30"/>
        <w:keepNext w:val="0"/>
        <w:keepLines w:val="0"/>
        <w:widowControl w:val="0"/>
        <w:shd w:val="clear" w:color="auto" w:fill="auto"/>
        <w:tabs>
          <w:tab w:pos="934" w:val="left"/>
        </w:tabs>
        <w:bidi w:val="0"/>
        <w:spacing w:before="0" w:after="0" w:line="360" w:lineRule="auto"/>
        <w:ind w:left="0" w:right="0" w:firstLine="640"/>
        <w:jc w:val="both"/>
      </w:pPr>
      <w:bookmarkStart w:id="152" w:name="bookmark152"/>
      <w:r>
        <w:rPr>
          <w:rFonts w:ascii="Times New Roman" w:eastAsia="Times New Roman" w:hAnsi="Times New Roman" w:cs="Times New Roman"/>
          <w:color w:val="000000"/>
          <w:spacing w:val="0"/>
          <w:w w:val="100"/>
          <w:position w:val="0"/>
          <w:sz w:val="18"/>
          <w:szCs w:val="18"/>
        </w:rPr>
        <w:t>4</w:t>
      </w:r>
      <w:bookmarkEnd w:id="152"/>
      <w:r>
        <w:rPr>
          <w:color w:val="000000"/>
          <w:spacing w:val="0"/>
          <w:w w:val="100"/>
          <w:position w:val="0"/>
        </w:rPr>
        <w:t>、</w:t>
        <w:tab/>
        <w:t>镇街社会治理数字驾驶舱平台</w:t>
      </w:r>
    </w:p>
    <w:p>
      <w:pPr>
        <w:pStyle w:val="Style30"/>
        <w:keepNext w:val="0"/>
        <w:keepLines w:val="0"/>
        <w:widowControl w:val="0"/>
        <w:shd w:val="clear" w:color="auto" w:fill="auto"/>
        <w:bidi w:val="0"/>
        <w:spacing w:before="0" w:after="100" w:line="312" w:lineRule="exact"/>
        <w:ind w:left="28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镇街社会治理数字驾驶舱平台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是公司城市大脑领域的又一个重要应用。平台是创新运用大数据、云计算、物联网、区 块链及人工智能技术等前沿科技构建的平台型城市协同和智能中枢</w:t>
      </w:r>
      <w:r>
        <w:rPr>
          <w:color w:val="000000"/>
          <w:spacing w:val="0"/>
          <w:w w:val="100"/>
          <w:position w:val="0"/>
          <w:sz w:val="18"/>
          <w:szCs w:val="18"/>
        </w:rPr>
        <w:t>，</w:t>
      </w:r>
      <w:r>
        <w:rPr>
          <w:color w:val="000000"/>
          <w:spacing w:val="0"/>
          <w:w w:val="100"/>
          <w:position w:val="0"/>
        </w:rPr>
        <w:t>整合了汇集政府、企业和社会数据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在城市治理领域进行 融合计算</w:t>
      </w:r>
      <w:r>
        <w:rPr>
          <w:color w:val="000000"/>
          <w:spacing w:val="0"/>
          <w:w w:val="100"/>
          <w:position w:val="0"/>
          <w:sz w:val="18"/>
          <w:szCs w:val="18"/>
        </w:rPr>
        <w:t>，</w:t>
      </w:r>
      <w:r>
        <w:rPr>
          <w:color w:val="000000"/>
          <w:spacing w:val="0"/>
          <w:w w:val="100"/>
          <w:position w:val="0"/>
        </w:rPr>
        <w:t>实现城市运行的生命体征感知、公共资源配置、宏观决策指挥、事件预测预警、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治理等功能。研发内容 包括智慧党建平台、智慧执法平台、智慧平安平台、智慧经济平台、智慧民生及社区平台、智慧防控平台、数智平台及</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 子场景应用。在城市大脑建设的总体框架下，按照社会管理创新的指导思想和建设规范要求，构建政府基层社会治理的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据收集、数据分析、预警预判、流程再造、互动指挥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五大功能环节，结合镇街基层政府社会治理的痛点、难点，整合公安、 交警、城管、市场监管、消防、综治等相关部门的执法力量，实现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跨层级执法联动、跨事权矛盾联调、跨部门信息协同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矛盾联处、应急联动、治安联防、问题联治、平安联创、服务联送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，让联合执法力量下沉落到实处，赋能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县乡一体、 条抓块统、整体智治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社会治理新机制，提高社会治理的扁平化、数字化、实战化、精细化，为镇街政府提供社会治理智慧 化整体解决方案。</w:t>
      </w:r>
    </w:p>
    <w:p>
      <w:pPr>
        <w:pStyle w:val="Style30"/>
        <w:keepNext w:val="0"/>
        <w:keepLines w:val="0"/>
        <w:widowControl w:val="0"/>
        <w:shd w:val="clear" w:color="auto" w:fill="auto"/>
        <w:tabs>
          <w:tab w:pos="934" w:val="left"/>
        </w:tabs>
        <w:bidi w:val="0"/>
        <w:spacing w:before="0" w:after="0" w:line="360" w:lineRule="auto"/>
        <w:ind w:left="0" w:right="0" w:firstLine="640"/>
        <w:jc w:val="both"/>
      </w:pPr>
      <w:bookmarkStart w:id="153" w:name="bookmark153"/>
      <w:r>
        <w:rPr>
          <w:rFonts w:ascii="Times New Roman" w:eastAsia="Times New Roman" w:hAnsi="Times New Roman" w:cs="Times New Roman"/>
          <w:color w:val="000000"/>
          <w:spacing w:val="0"/>
          <w:w w:val="100"/>
          <w:position w:val="0"/>
          <w:sz w:val="18"/>
          <w:szCs w:val="18"/>
        </w:rPr>
        <w:t>5</w:t>
      </w:r>
      <w:bookmarkEnd w:id="153"/>
      <w:r>
        <w:rPr>
          <w:color w:val="000000"/>
          <w:spacing w:val="0"/>
          <w:w w:val="100"/>
          <w:position w:val="0"/>
        </w:rPr>
        <w:t>、</w:t>
        <w:tab/>
        <w:t>指挥通</w:t>
      </w:r>
    </w:p>
    <w:p>
      <w:pPr>
        <w:pStyle w:val="Style30"/>
        <w:keepNext w:val="0"/>
        <w:keepLines w:val="0"/>
        <w:widowControl w:val="0"/>
        <w:shd w:val="clear" w:color="auto" w:fill="auto"/>
        <w:bidi w:val="0"/>
        <w:spacing w:before="0" w:after="100" w:line="312" w:lineRule="exact"/>
        <w:ind w:left="280" w:right="0"/>
        <w:jc w:val="both"/>
      </w:pPr>
      <w:r>
        <w:rPr>
          <w:color w:val="000000"/>
          <w:spacing w:val="0"/>
          <w:w w:val="100"/>
          <w:position w:val="0"/>
        </w:rPr>
        <w:t>指挥通是公司在智慧公益领域的创新应用，运用移动互联网、云计算、地理信息等技术，打造志愿服务一站式云平台， 优化志愿服务工作流程，对志愿者服务时间、服务地点、服务内容等工作进行实时动态管理和数据统计，进而实现志愿服务 指挥调度可视化、服务工作数据化，建设一套完整、高效、性能优良的志愿服务智能指挥系统，提升管理决策、组织建设、 项目实施的科学化水平。该产品顺利完成第十三届全国学生运动会志愿服务指挥工作智能化支持，及杭州</w:t>
      </w:r>
      <w:r>
        <w:rPr>
          <w:rFonts w:ascii="Times New Roman" w:eastAsia="Times New Roman" w:hAnsi="Times New Roman" w:cs="Times New Roman"/>
          <w:color w:val="000000"/>
          <w:spacing w:val="0"/>
          <w:w w:val="100"/>
          <w:position w:val="0"/>
          <w:sz w:val="18"/>
          <w:szCs w:val="18"/>
        </w:rPr>
        <w:t>G2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峰会、三次世 界互联网大会等大型会务活动。产品在志愿服务领域应用逐渐成熟并拓展深入，在该领域积累了较强的实力和优势，为公司 在智慧公益领域发展开启新的篇章，提升了我司在智慧产业领域的地位。</w:t>
      </w:r>
    </w:p>
    <w:p>
      <w:pPr>
        <w:pStyle w:val="Style30"/>
        <w:keepNext w:val="0"/>
        <w:keepLines w:val="0"/>
        <w:widowControl w:val="0"/>
        <w:shd w:val="clear" w:color="auto" w:fill="auto"/>
        <w:tabs>
          <w:tab w:pos="929" w:val="left"/>
        </w:tabs>
        <w:bidi w:val="0"/>
        <w:spacing w:before="0" w:after="0" w:line="360" w:lineRule="auto"/>
        <w:ind w:left="0" w:right="0" w:firstLine="640"/>
        <w:jc w:val="both"/>
      </w:pPr>
      <w:bookmarkStart w:id="154" w:name="bookmark154"/>
      <w:r>
        <w:rPr>
          <w:rFonts w:ascii="Times New Roman" w:eastAsia="Times New Roman" w:hAnsi="Times New Roman" w:cs="Times New Roman"/>
          <w:color w:val="000000"/>
          <w:spacing w:val="0"/>
          <w:w w:val="100"/>
          <w:position w:val="0"/>
          <w:sz w:val="18"/>
          <w:szCs w:val="18"/>
        </w:rPr>
        <w:t>6</w:t>
      </w:r>
      <w:bookmarkEnd w:id="1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ENLOOP</w:t>
      </w:r>
      <w:r>
        <w:rPr>
          <w:color w:val="000000"/>
          <w:spacing w:val="0"/>
          <w:w w:val="100"/>
          <w:position w:val="0"/>
        </w:rPr>
        <w:t>大数据平台</w:t>
      </w:r>
    </w:p>
    <w:p>
      <w:pPr>
        <w:pStyle w:val="Style30"/>
        <w:keepNext w:val="0"/>
        <w:keepLines w:val="0"/>
        <w:widowControl w:val="0"/>
        <w:shd w:val="clear" w:color="auto" w:fill="auto"/>
        <w:bidi w:val="0"/>
        <w:spacing w:before="0" w:after="100" w:line="312" w:lineRule="exact"/>
        <w:ind w:left="280" w:right="0"/>
        <w:jc w:val="both"/>
      </w:pPr>
      <w:r>
        <w:rPr>
          <w:rFonts w:ascii="Times New Roman" w:eastAsia="Times New Roman" w:hAnsi="Times New Roman" w:cs="Times New Roman"/>
          <w:color w:val="000000"/>
          <w:spacing w:val="0"/>
          <w:w w:val="100"/>
          <w:position w:val="0"/>
          <w:sz w:val="18"/>
          <w:szCs w:val="18"/>
        </w:rPr>
        <w:t>ENLOOP</w:t>
      </w:r>
      <w:r>
        <w:rPr>
          <w:color w:val="000000"/>
          <w:spacing w:val="0"/>
          <w:w w:val="100"/>
          <w:position w:val="0"/>
        </w:rPr>
        <w:t>大数据平台以构建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业务数据化、数据业务化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的数字化应用闭环为目标，持续研发并提供通用的大数据共性技 术平台，为政府、企业提供从数据整合、治理、保护、共享到数据分析、可视表达、智能应用的全过程支撑。平台包括两大 核心组成部分：</w:t>
      </w:r>
      <w:r>
        <w:rPr>
          <w:rFonts w:ascii="Times New Roman" w:eastAsia="Times New Roman" w:hAnsi="Times New Roman" w:cs="Times New Roman"/>
          <w:color w:val="000000"/>
          <w:spacing w:val="0"/>
          <w:w w:val="100"/>
          <w:position w:val="0"/>
          <w:sz w:val="18"/>
          <w:szCs w:val="18"/>
        </w:rPr>
        <w:t>ENLOOP-Hub</w:t>
      </w:r>
      <w:r>
        <w:rPr>
          <w:color w:val="000000"/>
          <w:spacing w:val="0"/>
          <w:w w:val="100"/>
          <w:position w:val="0"/>
        </w:rPr>
        <w:t>数据中枢平台和</w:t>
      </w:r>
      <w:r>
        <w:rPr>
          <w:rFonts w:ascii="Times New Roman" w:eastAsia="Times New Roman" w:hAnsi="Times New Roman" w:cs="Times New Roman"/>
          <w:color w:val="000000"/>
          <w:spacing w:val="0"/>
          <w:w w:val="100"/>
          <w:position w:val="0"/>
          <w:sz w:val="18"/>
          <w:szCs w:val="18"/>
        </w:rPr>
        <w:t>ENLOOP-Ana</w:t>
      </w:r>
      <w:r>
        <w:rPr>
          <w:color w:val="000000"/>
          <w:spacing w:val="0"/>
          <w:w w:val="100"/>
          <w:position w:val="0"/>
        </w:rPr>
        <w:t>智能中枢平台。目前，</w:t>
      </w:r>
      <w:r>
        <w:rPr>
          <w:rFonts w:ascii="Times New Roman" w:eastAsia="Times New Roman" w:hAnsi="Times New Roman" w:cs="Times New Roman"/>
          <w:color w:val="000000"/>
          <w:spacing w:val="0"/>
          <w:w w:val="100"/>
          <w:position w:val="0"/>
          <w:sz w:val="18"/>
          <w:szCs w:val="18"/>
        </w:rPr>
        <w:t>ENLOOP-Hub</w:t>
      </w:r>
      <w:r>
        <w:rPr>
          <w:color w:val="000000"/>
          <w:spacing w:val="0"/>
          <w:w w:val="100"/>
          <w:position w:val="0"/>
        </w:rPr>
        <w:t>数据中枢平台已完成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版 本的升级迭代，具备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加持的数据治理能力，并再次通过中国信通院大数据产品检测，以及通过华为鲲鹏凌云认证； </w:t>
      </w:r>
      <w:r>
        <w:rPr>
          <w:rFonts w:ascii="Times New Roman" w:eastAsia="Times New Roman" w:hAnsi="Times New Roman" w:cs="Times New Roman"/>
          <w:color w:val="000000"/>
          <w:spacing w:val="0"/>
          <w:w w:val="100"/>
          <w:position w:val="0"/>
          <w:sz w:val="18"/>
          <w:szCs w:val="18"/>
        </w:rPr>
        <w:t>ENLOOP-Ana</w:t>
      </w:r>
      <w:r>
        <w:rPr>
          <w:color w:val="000000"/>
          <w:spacing w:val="0"/>
          <w:w w:val="100"/>
          <w:position w:val="0"/>
        </w:rPr>
        <w:t>智能中枢平台已完成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版本的升级迭代，包括具备增强型数据分析能力的</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和低代码应用集成</w:t>
      </w:r>
    </w:p>
    <w:p>
      <w:pPr>
        <w:pStyle w:val="Style30"/>
        <w:keepNext w:val="0"/>
        <w:keepLines w:val="0"/>
        <w:widowControl w:val="0"/>
        <w:shd w:val="clear" w:color="auto" w:fill="auto"/>
        <w:bidi w:val="0"/>
        <w:spacing w:before="0" w:after="0" w:line="312" w:lineRule="exact"/>
        <w:ind w:left="0" w:right="0" w:firstLine="280"/>
        <w:jc w:val="both"/>
      </w:pPr>
      <w:r>
        <w:rPr>
          <w:color w:val="000000"/>
          <w:spacing w:val="0"/>
          <w:w w:val="100"/>
          <w:position w:val="0"/>
        </w:rPr>
        <w:t>管控工具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ENLOOP</w:t>
      </w:r>
      <w:r>
        <w:rPr>
          <w:color w:val="000000"/>
          <w:spacing w:val="0"/>
          <w:w w:val="100"/>
          <w:position w:val="0"/>
        </w:rPr>
        <w:t>大数据平台系列产品目前已在交通、医疗、司法、基层社会治理等领域全面应用。</w:t>
      </w:r>
    </w:p>
    <w:p>
      <w:pPr>
        <w:pStyle w:val="Style30"/>
        <w:keepNext w:val="0"/>
        <w:keepLines w:val="0"/>
        <w:widowControl w:val="0"/>
        <w:shd w:val="clear" w:color="auto" w:fill="auto"/>
        <w:tabs>
          <w:tab w:pos="953" w:val="left"/>
        </w:tabs>
        <w:bidi w:val="0"/>
        <w:spacing w:before="0" w:after="0" w:line="312" w:lineRule="exact"/>
        <w:ind w:left="0" w:right="0" w:firstLine="640"/>
        <w:jc w:val="left"/>
        <w:rPr>
          <w:sz w:val="18"/>
          <w:szCs w:val="18"/>
        </w:rPr>
      </w:pPr>
      <w:bookmarkStart w:id="155" w:name="bookmark155"/>
      <w:r>
        <w:rPr>
          <w:rFonts w:ascii="Times New Roman" w:eastAsia="Times New Roman" w:hAnsi="Times New Roman" w:cs="Times New Roman"/>
          <w:color w:val="000000"/>
          <w:spacing w:val="0"/>
          <w:w w:val="100"/>
          <w:position w:val="0"/>
          <w:sz w:val="18"/>
          <w:szCs w:val="18"/>
        </w:rPr>
        <w:t>7</w:t>
      </w:r>
      <w:bookmarkEnd w:id="155"/>
      <w:r>
        <w:rPr>
          <w:color w:val="000000"/>
          <w:spacing w:val="0"/>
          <w:w w:val="100"/>
          <w:position w:val="0"/>
          <w:sz w:val="17"/>
          <w:szCs w:val="17"/>
        </w:rPr>
        <w:t>、</w:t>
        <w:tab/>
        <w:t>智慧法援系统</w:t>
      </w:r>
      <w:r>
        <w:rPr>
          <w:rFonts w:ascii="Times New Roman" w:eastAsia="Times New Roman" w:hAnsi="Times New Roman" w:cs="Times New Roman"/>
          <w:color w:val="000000"/>
          <w:spacing w:val="0"/>
          <w:w w:val="100"/>
          <w:position w:val="0"/>
          <w:sz w:val="18"/>
          <w:szCs w:val="18"/>
        </w:rPr>
        <w:t>2.0</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智慧法援</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在智慧法援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连通数据，流程再造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提升案件质量、提高服务水平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的目标，重点研发了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 件评价码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智能案件质量评估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案件质量大数据研判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等特色功能，及时获取人民群众对法律援助的服务与诉求、精准 评估案件办理过程各个环节质量，全面分析案件办理质量情况，为法律援助律师遴选、退出，律师指派相关制度修订完善提 供科学的决策依据，让人民群众获得更好的法律援助服务。目前，智慧法援</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已在上海市持续稳定运行，累计已办理</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万 余件法律援助案件。智慧法援下一阶段的研发目标是打造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效能中枢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群智中枢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，沉淀辅助办案工具和知识经验，为法律 援助工作者的日常工作提质增效。</w:t>
      </w:r>
    </w:p>
    <w:p>
      <w:pPr>
        <w:pStyle w:val="Style30"/>
        <w:keepNext w:val="0"/>
        <w:keepLines w:val="0"/>
        <w:widowControl w:val="0"/>
        <w:shd w:val="clear" w:color="auto" w:fill="auto"/>
        <w:tabs>
          <w:tab w:pos="953" w:val="left"/>
        </w:tabs>
        <w:bidi w:val="0"/>
        <w:spacing w:before="0" w:after="0" w:line="312" w:lineRule="exact"/>
        <w:ind w:left="0" w:right="0" w:firstLine="640"/>
        <w:jc w:val="both"/>
        <w:rPr>
          <w:sz w:val="18"/>
          <w:szCs w:val="18"/>
        </w:rPr>
      </w:pPr>
      <w:bookmarkStart w:id="156" w:name="bookmark156"/>
      <w:r>
        <w:rPr>
          <w:rFonts w:ascii="Times New Roman" w:eastAsia="Times New Roman" w:hAnsi="Times New Roman" w:cs="Times New Roman"/>
          <w:color w:val="000000"/>
          <w:spacing w:val="0"/>
          <w:w w:val="100"/>
          <w:position w:val="0"/>
          <w:sz w:val="18"/>
          <w:szCs w:val="18"/>
        </w:rPr>
        <w:t>8</w:t>
      </w:r>
      <w:bookmarkEnd w:id="156"/>
      <w:r>
        <w:rPr>
          <w:color w:val="000000"/>
          <w:spacing w:val="0"/>
          <w:w w:val="100"/>
          <w:position w:val="0"/>
          <w:sz w:val="17"/>
          <w:szCs w:val="17"/>
        </w:rPr>
        <w:t>、</w:t>
        <w:tab/>
        <w:t>数据管家</w:t>
      </w:r>
      <w:r>
        <w:rPr>
          <w:rFonts w:ascii="Times New Roman" w:eastAsia="Times New Roman" w:hAnsi="Times New Roman" w:cs="Times New Roman"/>
          <w:color w:val="000000"/>
          <w:spacing w:val="0"/>
          <w:w w:val="100"/>
          <w:position w:val="0"/>
          <w:sz w:val="18"/>
          <w:szCs w:val="18"/>
        </w:rPr>
        <w:t>1.0</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数据管家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是一套融合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的一站式数据资产管理服务体系解决方案，针对数据要素拥有方存在的数据标准不 统一、数据解读困难、数据质量差、数据价值低等数据管理痛点，通过自研的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数据治理工具，帮助客户建立起符合自身 特征的数据标准和数据管理体系，帮助客户提高数据资产管理能力和数据服务运营能力，实现提升数据质量、释放数据价值 的目标。目前，数据管家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正在上海市司法局实施。</w:t>
      </w:r>
    </w:p>
    <w:p>
      <w:pPr>
        <w:pStyle w:val="Style30"/>
        <w:keepNext w:val="0"/>
        <w:keepLines w:val="0"/>
        <w:widowControl w:val="0"/>
        <w:shd w:val="clear" w:color="auto" w:fill="auto"/>
        <w:tabs>
          <w:tab w:pos="953" w:val="left"/>
        </w:tabs>
        <w:bidi w:val="0"/>
        <w:spacing w:before="0" w:after="0" w:line="312" w:lineRule="exact"/>
        <w:ind w:left="0" w:right="0" w:firstLine="640"/>
        <w:jc w:val="both"/>
      </w:pPr>
      <w:bookmarkStart w:id="157" w:name="bookmark157"/>
      <w:r>
        <w:rPr>
          <w:rFonts w:ascii="Times New Roman" w:eastAsia="Times New Roman" w:hAnsi="Times New Roman" w:cs="Times New Roman"/>
          <w:color w:val="000000"/>
          <w:spacing w:val="0"/>
          <w:w w:val="100"/>
          <w:position w:val="0"/>
          <w:sz w:val="18"/>
          <w:szCs w:val="18"/>
        </w:rPr>
        <w:t>9</w:t>
      </w:r>
      <w:bookmarkEnd w:id="157"/>
      <w:r>
        <w:rPr>
          <w:color w:val="000000"/>
          <w:spacing w:val="0"/>
          <w:w w:val="100"/>
          <w:position w:val="0"/>
        </w:rPr>
        <w:t>、</w:t>
        <w:tab/>
        <w:t>医疗物联网统一融合与运营管理平台</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在物联网、云计算、移动互联等新技术大革命的背景下，医疗物联网应用的市场化需求强烈，其中新建医院已将物联网 需求纳入标准建设规范中。面向医院基于统一的物联网管理平台管理多种不同业务场景的多种传感器设备对接、多种物联网 连接技术以及统一运维的需求，银江股份已于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年与华为</w:t>
      </w:r>
      <w:r>
        <w:rPr>
          <w:rFonts w:ascii="Times New Roman" w:eastAsia="Times New Roman" w:hAnsi="Times New Roman" w:cs="Times New Roman"/>
          <w:color w:val="000000"/>
          <w:spacing w:val="0"/>
          <w:w w:val="100"/>
          <w:position w:val="0"/>
          <w:sz w:val="18"/>
          <w:szCs w:val="18"/>
        </w:rPr>
        <w:t>ROMA</w:t>
      </w:r>
      <w:r>
        <w:rPr>
          <w:color w:val="000000"/>
          <w:spacing w:val="0"/>
          <w:w w:val="100"/>
          <w:position w:val="0"/>
        </w:rPr>
        <w:t>平台在医疗物联网领域形成统一的解决方案，医疗物联网 统一融合与运营管理平台是公司与华为在医院信息化领域共同研发的新一代数据平台。银江医疗</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平台与华为</w:t>
      </w:r>
      <w:r>
        <w:rPr>
          <w:rFonts w:ascii="Times New Roman" w:eastAsia="Times New Roman" w:hAnsi="Times New Roman" w:cs="Times New Roman"/>
          <w:color w:val="000000"/>
          <w:spacing w:val="0"/>
          <w:w w:val="100"/>
          <w:position w:val="0"/>
          <w:sz w:val="18"/>
          <w:szCs w:val="18"/>
        </w:rPr>
        <w:t>ROMA</w:t>
      </w:r>
      <w:r>
        <w:rPr>
          <w:color w:val="000000"/>
          <w:spacing w:val="0"/>
          <w:w w:val="100"/>
          <w:position w:val="0"/>
        </w:rPr>
        <w:t>进行 耦合对接，支持接入各种协议的设备，并通过</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color w:val="000000"/>
          <w:spacing w:val="0"/>
          <w:w w:val="100"/>
          <w:position w:val="0"/>
        </w:rPr>
        <w:t>消息等形式提供开放能力，与医院已有系统进行无缝对接，协助应用系 统对物理实体的信息采集，加强了业务流程的管控，实现对多医疗物联网应用系统的集成管理，最终实现物与人、物与物的 控制和信息的智能交互，提升了医院整体的运营效率、降低运维成本。</w:t>
      </w:r>
    </w:p>
    <w:p>
      <w:pPr>
        <w:pStyle w:val="Style30"/>
        <w:keepNext w:val="0"/>
        <w:keepLines w:val="0"/>
        <w:widowControl w:val="0"/>
        <w:shd w:val="clear" w:color="auto" w:fill="auto"/>
        <w:tabs>
          <w:tab w:pos="1006" w:val="left"/>
        </w:tabs>
        <w:bidi w:val="0"/>
        <w:spacing w:before="0" w:after="0" w:line="312" w:lineRule="exact"/>
        <w:ind w:left="0" w:right="0" w:firstLine="640"/>
        <w:jc w:val="both"/>
      </w:pPr>
      <w:bookmarkStart w:id="158" w:name="bookmark158"/>
      <w:r>
        <w:rPr>
          <w:rFonts w:ascii="Times New Roman" w:eastAsia="Times New Roman" w:hAnsi="Times New Roman" w:cs="Times New Roman"/>
          <w:color w:val="000000"/>
          <w:spacing w:val="0"/>
          <w:w w:val="100"/>
          <w:position w:val="0"/>
          <w:sz w:val="18"/>
          <w:szCs w:val="18"/>
        </w:rPr>
        <w:t>1</w:t>
      </w:r>
      <w:bookmarkEnd w:id="15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家庭医生签约综合服务平台</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家庭医生签约综合服务平台是以国家卫健委家庭医生建设为背景，为各地居民搭建的签约服务平台。通过签约的方式， 使家庭医生成为居民的健康守门人，不仅单纯治疗居民的疾病，还会主动帮助签约服务对象养成良好的生活习惯，预防疾病 的发生；促使家庭医生与签约居民建立一种长期、稳定、可及的健康服务关系，以提高居民的健康服务品质。家庭医生签约 综合服务平台技术来源于银江为沈阳打造的中国首个副省级省会城市全域大健康服务平台，目前已成功在沈阳市、兰州市投 入运营。在沈阳运营阶段成功实现全市</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个区县的医生入驻平台，实现家庭医生进入社区，致力于为全市</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多万居民提供 </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模式的医疗健康服务。家庭医生签约综合服务平台主要功能包括：居民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端（在线签约、报告查询、健康小屋、家有 老人、健康教育、孕产妇健康管理、慢病管理）；医生</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端（签约居民管理、在线服务、工作统计分析、资质认证，签约 团队管理）；机构</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端（大数据统计分析、医生管理、绩效考核、资质管理、内容公告管理、健康宣教）；微信端（快 捷签约、健康地图、健康宣教、报告查询）。</w:t>
      </w:r>
    </w:p>
    <w:p>
      <w:pPr>
        <w:pStyle w:val="Style30"/>
        <w:keepNext w:val="0"/>
        <w:keepLines w:val="0"/>
        <w:widowControl w:val="0"/>
        <w:shd w:val="clear" w:color="auto" w:fill="auto"/>
        <w:tabs>
          <w:tab w:pos="1006" w:val="left"/>
        </w:tabs>
        <w:bidi w:val="0"/>
        <w:spacing w:before="0" w:after="0" w:line="312" w:lineRule="exact"/>
        <w:ind w:left="0" w:right="0" w:firstLine="640"/>
        <w:jc w:val="left"/>
      </w:pPr>
      <w:bookmarkStart w:id="159" w:name="bookmark159"/>
      <w:r>
        <w:rPr>
          <w:rFonts w:ascii="Times New Roman" w:eastAsia="Times New Roman" w:hAnsi="Times New Roman" w:cs="Times New Roman"/>
          <w:color w:val="000000"/>
          <w:spacing w:val="0"/>
          <w:w w:val="100"/>
          <w:position w:val="0"/>
          <w:sz w:val="18"/>
          <w:szCs w:val="18"/>
        </w:rPr>
        <w:t>1</w:t>
      </w:r>
      <w:bookmarkEnd w:id="1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健康大数据分析与综合管理平台</w:t>
      </w:r>
    </w:p>
    <w:p>
      <w:pPr>
        <w:pStyle w:val="Style30"/>
        <w:keepNext w:val="0"/>
        <w:keepLines w:val="0"/>
        <w:widowControl w:val="0"/>
        <w:shd w:val="clear" w:color="auto" w:fill="auto"/>
        <w:bidi w:val="0"/>
        <w:spacing w:before="0" w:after="0" w:line="312" w:lineRule="exact"/>
        <w:ind w:left="280" w:right="0"/>
        <w:jc w:val="both"/>
      </w:pPr>
      <w:r>
        <w:rPr>
          <w:color w:val="000000"/>
          <w:spacing w:val="0"/>
          <w:w w:val="100"/>
          <w:position w:val="0"/>
        </w:rPr>
        <w:t>健康大数据分析与综合管理平台技术来源于银江为沈阳打造的中国首个副省级省会城市全域大健康服务平台，业务涵盖 区域医疗、公共卫生、智慧医院、互联网医疗等多个领域，持续为客户创造价值。同时，本公司参与沈阳区域人口健康信息 平台建设，在数据准确性、实时性和安全性方面有深厚的技术积累和经验优势。该平台主要功能包括：健康大数据仓库、管 理决策支持系统、居民健康分析系统、临床数据分析系统、自定义报表等功能，支持开展健康医疗大数据分析应用，提升了 各级医疗机构的诊疗能力和水平，有效支撑跨部门协同、社会服务和政府决策，实现了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百姓就医、诊疗服务、政府管理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三大方面能力的重大提升。</w:t>
      </w:r>
    </w:p>
    <w:p>
      <w:pPr>
        <w:pStyle w:val="Style30"/>
        <w:keepNext w:val="0"/>
        <w:keepLines w:val="0"/>
        <w:widowControl w:val="0"/>
        <w:shd w:val="clear" w:color="auto" w:fill="auto"/>
        <w:tabs>
          <w:tab w:pos="1006" w:val="left"/>
        </w:tabs>
        <w:bidi w:val="0"/>
        <w:spacing w:before="0" w:after="0" w:line="312" w:lineRule="exact"/>
        <w:ind w:left="0" w:right="0" w:firstLine="640"/>
        <w:jc w:val="both"/>
      </w:pPr>
      <w:bookmarkStart w:id="160" w:name="bookmark160"/>
      <w:r>
        <w:rPr>
          <w:rFonts w:ascii="Times New Roman" w:eastAsia="Times New Roman" w:hAnsi="Times New Roman" w:cs="Times New Roman"/>
          <w:color w:val="000000"/>
          <w:spacing w:val="0"/>
          <w:w w:val="100"/>
          <w:position w:val="0"/>
          <w:sz w:val="18"/>
          <w:szCs w:val="18"/>
        </w:rPr>
        <w:t>1</w:t>
      </w:r>
      <w:bookmarkEnd w:id="1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智慧水务物联网应用及大数据服务平台</w:t>
      </w:r>
    </w:p>
    <w:p>
      <w:pPr>
        <w:pStyle w:val="Style30"/>
        <w:keepNext w:val="0"/>
        <w:keepLines w:val="0"/>
        <w:widowControl w:val="0"/>
        <w:shd w:val="clear" w:color="auto" w:fill="auto"/>
        <w:bidi w:val="0"/>
        <w:spacing w:before="0" w:after="80" w:line="312" w:lineRule="exact"/>
        <w:ind w:left="28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智慧水务物联网应用及大数据服务平台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是公司智慧水务领域又一个项重要应用。研发内容包括智慧水务基础支撑平台、 智慧水务综合管理平台、水务大数据及人工智能分析应用模型及应用平台、水务云服务平台和水务物联网终端。平台通过采 用物联网、云计算、大数据、人工智能、移动互联网等先进信息化技术，获得、处理并公开水务信息，建立水务综合应用模 型，再造业务（事务）流程。以低碳节能、运行安全、资源高效利用为目标，有效地管理供水、用水、耗水、排水、污水收 集处理、再生水综合利用等过程，实现水资源循环全生命周期的管控，全程感知，深度互联，将高度复杂的水环境系统构建</w:t>
        <w:br w:type="page"/>
      </w:r>
      <w:r>
        <w:rPr>
          <w:color w:val="000000"/>
          <w:spacing w:val="0"/>
          <w:w w:val="100"/>
          <w:position w:val="0"/>
        </w:rPr>
        <w:t>成智慧的有机体，为水务企业提供智慧水务综合管理整体解决方案。 近三年公司研发投入金额及占营业收入的比例</w:t>
      </w:r>
    </w:p>
    <w:tbl>
      <w:tblPr>
        <w:tblOverlap w:val="never"/>
        <w:jc w:val="center"/>
        <w:tblLayout w:type="fixed"/>
      </w:tblPr>
      <w:tblGrid>
        <w:gridCol w:w="3835"/>
        <w:gridCol w:w="2126"/>
        <w:gridCol w:w="1843"/>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91,269,778.30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119,155,919.99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111,649,420.66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20,341,232.46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31,409,977.91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25,721,554.91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w:t>
            </w:r>
          </w:p>
        </w:tc>
      </w:tr>
    </w:tbl>
    <w:p>
      <w:pPr>
        <w:pStyle w:val="Style30"/>
        <w:keepNext w:val="0"/>
        <w:keepLines w:val="0"/>
        <w:widowControl w:val="0"/>
        <w:shd w:val="clear" w:color="auto" w:fill="auto"/>
        <w:bidi w:val="0"/>
        <w:spacing w:before="0" w:after="0" w:line="341" w:lineRule="exact"/>
        <w:ind w:left="260" w:right="0" w:firstLine="2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260" w:right="0" w:firstLine="2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240" w:line="396"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702"/>
        <w:gridCol w:w="2270"/>
        <w:gridCol w:w="2213"/>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1,799,434,770.79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2,325,660,293.26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1,890,926,855.36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2,312,518,541.25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13,141,752.01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950,951,214.97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1,028,903,642.51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792,307,677.88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1,455,649,908.08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158,643,537.09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-426,746,265.57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2,056,516,489.63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2,238,208,151.54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2,050,910,339.14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1,867,874,746.48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5,606,150.49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370,333,405.06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72,809,599.98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-43,269,670.05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594" w:val="left"/>
        </w:tabs>
        <w:bidi w:val="0"/>
        <w:spacing w:before="0" w:after="80" w:line="240" w:lineRule="auto"/>
        <w:ind w:left="0" w:right="0" w:firstLine="260"/>
        <w:jc w:val="both"/>
      </w:pPr>
      <w:bookmarkStart w:id="165" w:name="bookmark165"/>
      <w:r>
        <w:rPr>
          <w:rFonts w:ascii="Times New Roman" w:eastAsia="Times New Roman" w:hAnsi="Times New Roman" w:cs="Times New Roman"/>
          <w:color w:val="000000"/>
          <w:spacing w:val="0"/>
          <w:w w:val="100"/>
          <w:position w:val="0"/>
          <w:sz w:val="18"/>
          <w:szCs w:val="18"/>
        </w:rPr>
        <w:t>1</w:t>
      </w:r>
      <w:bookmarkEnd w:id="165"/>
      <w:r>
        <w:rPr>
          <w:color w:val="000000"/>
          <w:spacing w:val="0"/>
          <w:w w:val="100"/>
          <w:position w:val="0"/>
        </w:rPr>
        <w:t>、</w:t>
        <w:tab/>
        <w:t>经营活动产生的现金流量净额减少，主要是项目采购支付增加和项目回款不及预期所致。</w:t>
      </w:r>
    </w:p>
    <w:p>
      <w:pPr>
        <w:pStyle w:val="Style30"/>
        <w:keepNext w:val="0"/>
        <w:keepLines w:val="0"/>
        <w:widowControl w:val="0"/>
        <w:shd w:val="clear" w:color="auto" w:fill="auto"/>
        <w:tabs>
          <w:tab w:pos="614" w:val="left"/>
        </w:tabs>
        <w:bidi w:val="0"/>
        <w:spacing w:before="0" w:after="80" w:line="240" w:lineRule="auto"/>
        <w:ind w:left="0" w:right="0" w:firstLine="260"/>
        <w:jc w:val="both"/>
      </w:pPr>
      <w:bookmarkStart w:id="166" w:name="bookmark166"/>
      <w:r>
        <w:rPr>
          <w:rFonts w:ascii="Times New Roman" w:eastAsia="Times New Roman" w:hAnsi="Times New Roman" w:cs="Times New Roman"/>
          <w:color w:val="000000"/>
          <w:spacing w:val="0"/>
          <w:w w:val="100"/>
          <w:position w:val="0"/>
          <w:sz w:val="18"/>
          <w:szCs w:val="18"/>
        </w:rPr>
        <w:t>2</w:t>
      </w:r>
      <w:bookmarkEnd w:id="166"/>
      <w:r>
        <w:rPr>
          <w:color w:val="000000"/>
          <w:spacing w:val="0"/>
          <w:w w:val="100"/>
          <w:position w:val="0"/>
        </w:rPr>
        <w:t>、</w:t>
        <w:tab/>
        <w:t>投资活动产生的现金流量净额增加，主要是控股股东回款所致。</w:t>
      </w:r>
    </w:p>
    <w:p>
      <w:pPr>
        <w:pStyle w:val="Style30"/>
        <w:keepNext w:val="0"/>
        <w:keepLines w:val="0"/>
        <w:widowControl w:val="0"/>
        <w:shd w:val="clear" w:color="auto" w:fill="auto"/>
        <w:tabs>
          <w:tab w:pos="614" w:val="left"/>
        </w:tabs>
        <w:bidi w:val="0"/>
        <w:spacing w:before="0" w:after="140" w:line="240" w:lineRule="auto"/>
        <w:ind w:left="0" w:right="0" w:firstLine="260"/>
        <w:jc w:val="both"/>
      </w:pPr>
      <w:bookmarkStart w:id="167" w:name="bookmark167"/>
      <w:r>
        <w:rPr>
          <w:rFonts w:ascii="Times New Roman" w:eastAsia="Times New Roman" w:hAnsi="Times New Roman" w:cs="Times New Roman"/>
          <w:color w:val="000000"/>
          <w:spacing w:val="0"/>
          <w:w w:val="100"/>
          <w:position w:val="0"/>
          <w:sz w:val="18"/>
          <w:szCs w:val="18"/>
        </w:rPr>
        <w:t>3</w:t>
      </w:r>
      <w:bookmarkEnd w:id="167"/>
      <w:r>
        <w:rPr>
          <w:color w:val="000000"/>
          <w:spacing w:val="0"/>
          <w:w w:val="100"/>
          <w:position w:val="0"/>
        </w:rPr>
        <w:t>、</w:t>
        <w:tab/>
        <w:t>筹资活动产生的现金流量净额减少，主要支付股利和利息费用所致。</w:t>
      </w:r>
    </w:p>
    <w:p>
      <w:pPr>
        <w:pStyle w:val="Style30"/>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82" w:val="left"/>
        </w:tabs>
        <w:bidi w:val="0"/>
        <w:spacing w:before="0" w:line="240" w:lineRule="auto"/>
        <w:ind w:left="0" w:right="0"/>
        <w:jc w:val="left"/>
      </w:pPr>
      <w:bookmarkStart w:id="168" w:name="bookmark168"/>
      <w:bookmarkStart w:id="169" w:name="bookmark169"/>
      <w:bookmarkStart w:id="170" w:name="bookmark170"/>
      <w:bookmarkStart w:id="171" w:name="bookmark171"/>
      <w:r>
        <w:rPr>
          <w:color w:val="000000"/>
          <w:spacing w:val="0"/>
          <w:w w:val="100"/>
          <w:position w:val="0"/>
        </w:rPr>
        <w:t>三</w:t>
      </w:r>
      <w:bookmarkEnd w:id="170"/>
      <w:r>
        <w:rPr>
          <w:color w:val="000000"/>
          <w:spacing w:val="0"/>
          <w:w w:val="100"/>
          <w:position w:val="0"/>
        </w:rPr>
        <w:t>、</w:t>
        <w:tab/>
        <w:t>非主营业务情况</w:t>
      </w:r>
      <w:bookmarkEnd w:id="168"/>
      <w:bookmarkEnd w:id="169"/>
      <w:bookmarkEnd w:id="171"/>
    </w:p>
    <w:p>
      <w:pPr>
        <w:pStyle w:val="Style3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782" w:val="left"/>
        </w:tabs>
        <w:bidi w:val="0"/>
        <w:spacing w:before="0" w:line="240" w:lineRule="auto"/>
        <w:ind w:left="0" w:right="0"/>
        <w:jc w:val="left"/>
      </w:pPr>
      <w:bookmarkStart w:id="172" w:name="bookmark172"/>
      <w:bookmarkStart w:id="173" w:name="bookmark173"/>
      <w:bookmarkStart w:id="174" w:name="bookmark174"/>
      <w:bookmarkStart w:id="175" w:name="bookmark175"/>
      <w:r>
        <w:rPr>
          <w:color w:val="000000"/>
          <w:spacing w:val="0"/>
          <w:w w:val="100"/>
          <w:position w:val="0"/>
        </w:rPr>
        <w:t>四</w:t>
      </w:r>
      <w:bookmarkEnd w:id="174"/>
      <w:r>
        <w:rPr>
          <w:color w:val="000000"/>
          <w:spacing w:val="0"/>
          <w:w w:val="100"/>
          <w:position w:val="0"/>
        </w:rPr>
        <w:t>、</w:t>
        <w:tab/>
        <w:t>资产及负债状况分析</w:t>
      </w:r>
      <w:bookmarkEnd w:id="172"/>
      <w:bookmarkEnd w:id="173"/>
      <w:bookmarkEnd w:id="175"/>
    </w:p>
    <w:p>
      <w:pPr>
        <w:pStyle w:val="Style33"/>
        <w:keepNext/>
        <w:keepLines/>
        <w:widowControl w:val="0"/>
        <w:shd w:val="clear" w:color="auto" w:fill="auto"/>
        <w:bidi w:val="0"/>
        <w:spacing w:before="0" w:line="240" w:lineRule="auto"/>
        <w:ind w:left="0" w:right="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适用</w:t>
      </w:r>
    </w:p>
    <w:p>
      <w:pPr>
        <w:pStyle w:val="Style30"/>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570"/>
        <w:gridCol w:w="1560"/>
        <w:gridCol w:w="1416"/>
        <w:gridCol w:w="1416"/>
        <w:gridCol w:w="1277"/>
        <w:gridCol w:w="1133"/>
        <w:gridCol w:w="121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699,721,404.35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634,221,957.43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1,635,029,402.65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1,415,743,767.11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116,629,925.34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190,636,682.42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592,330,993.57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634,035,259.83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96,845,820.71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523,299,079.57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39,893,577.98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1,737,724,263.22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286"/>
        <w:gridCol w:w="1272"/>
        <w:gridCol w:w="994"/>
        <w:gridCol w:w="1421"/>
        <w:gridCol w:w="1272"/>
        <w:gridCol w:w="710"/>
        <w:gridCol w:w="710"/>
        <w:gridCol w:w="701"/>
        <w:gridCol w:w="1219"/>
      </w:tblGrid>
      <w:tr>
        <w:trPr>
          <w:trHeight w:val="32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售金额</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vMerge/>
            <w:tcBorders>
              <w:left w:val="single" w:sz="4"/>
              <w:right w:val="single" w:sz="4"/>
            </w:tcBorders>
            <w:shd w:val="clear" w:color="auto" w:fill="D3D3D3"/>
            <w:vAlign w:val="center"/>
          </w:tcPr>
          <w:p>
            <w:pPr/>
          </w:p>
        </w:tc>
      </w:tr>
      <w:tr>
        <w:trPr>
          <w:trHeight w:val="322"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r>
      <w:tr>
        <w:trPr>
          <w:trHeight w:val="6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207,548,167.24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93,846,404.76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301,394,572.00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207,548,167.24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93,846,404.76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301,394,572.00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207,548,167.24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93,846,404.76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301,394,572.00</w:t>
            </w:r>
          </w:p>
        </w:tc>
      </w:tr>
      <w:tr>
        <w:trPr>
          <w:trHeight w:val="33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其他变动的内容</w:t>
      </w: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tbl>
      <w:tblPr>
        <w:tblOverlap w:val="never"/>
        <w:jc w:val="center"/>
        <w:tblLayout w:type="fixed"/>
      </w:tblPr>
      <w:tblGrid>
        <w:gridCol w:w="2875"/>
        <w:gridCol w:w="2342"/>
        <w:gridCol w:w="4013"/>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货币资金（注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65,872,250.50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应收账款（注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用于质押的应收账款</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投资性房地产（注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960,219.80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用于抵押的房屋建筑物</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固定资产（注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4, 540, </w:t>
            </w:r>
            <w:r>
              <w:rPr>
                <w:color w:val="000000"/>
                <w:spacing w:val="0"/>
                <w:w w:val="100"/>
                <w:position w:val="0"/>
                <w:sz w:val="16"/>
                <w:szCs w:val="16"/>
              </w:rPr>
              <w:t xml:space="preserve">296.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用于抵押的房屋建筑物</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145,372,767.26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jc w:val="left"/>
      </w:pPr>
      <w:bookmarkStart w:id="188" w:name="bookmark188"/>
      <w:bookmarkStart w:id="189" w:name="bookmark189"/>
      <w:bookmarkStart w:id="190" w:name="bookmark190"/>
      <w:bookmarkStart w:id="191" w:name="bookmark191"/>
      <w:r>
        <w:rPr>
          <w:color w:val="000000"/>
          <w:spacing w:val="0"/>
          <w:w w:val="100"/>
          <w:position w:val="0"/>
        </w:rPr>
        <w:t>五</w:t>
      </w:r>
      <w:bookmarkEnd w:id="190"/>
      <w:r>
        <w:rPr>
          <w:color w:val="000000"/>
          <w:spacing w:val="0"/>
          <w:w w:val="100"/>
          <w:position w:val="0"/>
        </w:rPr>
        <w:t>、投资状况分析</w:t>
      </w:r>
      <w:bookmarkEnd w:id="188"/>
      <w:bookmarkEnd w:id="189"/>
      <w:bookmarkEnd w:id="191"/>
    </w:p>
    <w:p>
      <w:pPr>
        <w:pStyle w:val="Style33"/>
        <w:keepNext/>
        <w:keepLines/>
        <w:widowControl w:val="0"/>
        <w:shd w:val="clear" w:color="auto" w:fill="auto"/>
        <w:bidi w:val="0"/>
        <w:spacing w:before="0" w:line="240" w:lineRule="auto"/>
        <w:ind w:left="0" w:right="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0"/>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73,540,994.03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479,075,908.08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w:t>
            </w:r>
          </w:p>
        </w:tc>
      </w:tr>
    </w:tbl>
    <w:p>
      <w:pPr>
        <w:widowControl w:val="0"/>
        <w:spacing w:after="359" w:line="1" w:lineRule="exact"/>
      </w:pPr>
    </w:p>
    <w:p>
      <w:pPr>
        <w:pStyle w:val="Style33"/>
        <w:keepNext/>
        <w:keepLines/>
        <w:widowControl w:val="0"/>
        <w:shd w:val="clear" w:color="auto" w:fill="auto"/>
        <w:tabs>
          <w:tab w:pos="638" w:val="left"/>
        </w:tabs>
        <w:bidi w:val="0"/>
        <w:spacing w:before="0" w:line="240" w:lineRule="auto"/>
        <w:ind w:left="0" w:right="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3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line="240" w:lineRule="auto"/>
        <w:ind w:left="0" w:right="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3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line="240" w:lineRule="auto"/>
        <w:ind w:left="0" w:right="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397"/>
        <w:gridCol w:w="893"/>
        <w:gridCol w:w="1090"/>
        <w:gridCol w:w="1450"/>
        <w:gridCol w:w="922"/>
        <w:gridCol w:w="960"/>
        <w:gridCol w:w="955"/>
        <w:gridCol w:w="955"/>
        <w:gridCol w:w="965"/>
      </w:tblGrid>
      <w:tr>
        <w:trPr>
          <w:trHeight w:val="6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92,854,000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98,424,572.00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191,278,572</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自由资金</w:t>
            </w:r>
          </w:p>
        </w:tc>
      </w:tr>
      <w:tr>
        <w:trPr>
          <w:trHeight w:val="64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92,854,000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98,424,572.00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191,278,572</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3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六</w:t>
      </w:r>
      <w:bookmarkEnd w:id="214"/>
      <w:r>
        <w:rPr>
          <w:color w:val="000000"/>
          <w:spacing w:val="0"/>
          <w:w w:val="100"/>
          <w:position w:val="0"/>
        </w:rPr>
        <w:t>、重大资产和股权出售</w:t>
      </w:r>
      <w:bookmarkEnd w:id="212"/>
      <w:bookmarkEnd w:id="213"/>
      <w:bookmarkEnd w:id="215"/>
    </w:p>
    <w:p>
      <w:pPr>
        <w:pStyle w:val="Style33"/>
        <w:keepNext/>
        <w:keepLines/>
        <w:widowControl w:val="0"/>
        <w:shd w:val="clear" w:color="auto" w:fill="auto"/>
        <w:tabs>
          <w:tab w:pos="36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出售重大资产情况</w:t>
      </w:r>
      <w:bookmarkEnd w:id="216"/>
      <w:bookmarkEnd w:id="217"/>
      <w:bookmarkEnd w:id="21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出售重大股权情况</w:t>
      </w:r>
      <w:bookmarkEnd w:id="220"/>
      <w:bookmarkEnd w:id="221"/>
      <w:bookmarkEnd w:id="22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七</w:t>
      </w:r>
      <w:bookmarkEnd w:id="226"/>
      <w:r>
        <w:rPr>
          <w:color w:val="000000"/>
          <w:spacing w:val="0"/>
          <w:w w:val="100"/>
          <w:position w:val="0"/>
        </w:rPr>
        <w:t>、主要控股参股公司分析</w:t>
      </w:r>
      <w:bookmarkEnd w:id="224"/>
      <w:bookmarkEnd w:id="225"/>
      <w:bookmarkEnd w:id="22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86"/>
        <w:gridCol w:w="850"/>
        <w:gridCol w:w="1166"/>
        <w:gridCol w:w="1099"/>
        <w:gridCol w:w="1138"/>
        <w:gridCol w:w="1133"/>
        <w:gridCol w:w="994"/>
        <w:gridCol w:w="1133"/>
        <w:gridCol w:w="1142"/>
      </w:tblGrid>
      <w:tr>
        <w:trPr>
          <w:trHeight w:val="3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山东银江交通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15,312,792.94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10,641,064.18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174,313.59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-7,255,910.02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-7,253,834.27</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福建银江智慧 城市信息技术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2,732,783.94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-5,725,149.93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636,391.56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-1,271,175.12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-1,271,175.12</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西安银江智慧 城市技术有限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19,796,976.28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2,346,946.08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5,930,404.8</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-944,731.33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-677,283.24</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湖南银江交通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955,112.07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-1,229,891.93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-1,145,433.98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-1,145,433.98</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山西银江交通 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12,378,959.32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6,226,641.92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18,797,210.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1,531,536.52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1,557,312.63</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健康宝互联网</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25,952,800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15,929,231.96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6,102,092.97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94,811.32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-2,023,560.68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-1,877,124.26</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济南银江信息</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9,132,935.62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8,490,570.86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623,905.71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-509,496.80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-509,496.80</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沈阳智享大健 康信息科技有</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130,343,998.9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115,092,172.3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1,312,296.2</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-10,925,223.4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-10,928,443.4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浙江银江研究 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37,950,563.93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31,196,756.66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5,354,859.2</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1,583,386.13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1,796,131.25</w:t>
            </w:r>
          </w:p>
        </w:tc>
      </w:tr>
      <w:tr>
        <w:trPr>
          <w:trHeight w:val="9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浙江银江智慧 交通集团有限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232,299,449.7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13,004,746.12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73,396,285.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-8,827,768.22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-8,782,823.17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r>
        <w:br w:type="page"/>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八</w:t>
      </w:r>
      <w:bookmarkEnd w:id="230"/>
      <w:r>
        <w:rPr>
          <w:color w:val="000000"/>
          <w:spacing w:val="0"/>
          <w:w w:val="100"/>
          <w:position w:val="0"/>
        </w:rPr>
        <w:t>、</w:t>
        <w:tab/>
        <w:t>公司控制的结构化主体情况</w:t>
      </w:r>
      <w:bookmarkEnd w:id="228"/>
      <w:bookmarkEnd w:id="229"/>
      <w:bookmarkEnd w:id="23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w:t>
        <w:tab/>
        <w:t>公司未来发展的展望</w:t>
      </w:r>
      <w:bookmarkEnd w:id="232"/>
      <w:bookmarkEnd w:id="233"/>
      <w:bookmarkEnd w:id="235"/>
    </w:p>
    <w:p>
      <w:pPr>
        <w:pStyle w:val="Style30"/>
        <w:keepNext w:val="0"/>
        <w:keepLines w:val="0"/>
        <w:widowControl w:val="0"/>
        <w:shd w:val="clear" w:color="auto" w:fill="auto"/>
        <w:bidi w:val="0"/>
        <w:spacing w:before="0" w:after="180" w:line="240" w:lineRule="auto"/>
        <w:ind w:left="0" w:right="0"/>
        <w:jc w:val="left"/>
      </w:pPr>
      <w:bookmarkStart w:id="236" w:name="bookmark236"/>
      <w:r>
        <w:rPr>
          <w:b/>
          <w:bCs/>
          <w:color w:val="000000"/>
          <w:spacing w:val="0"/>
          <w:w w:val="100"/>
          <w:position w:val="0"/>
        </w:rPr>
        <w:t>（</w:t>
      </w:r>
      <w:bookmarkEnd w:id="236"/>
      <w:r>
        <w:rPr>
          <w:b/>
          <w:bCs/>
          <w:color w:val="000000"/>
          <w:spacing w:val="0"/>
          <w:w w:val="100"/>
          <w:position w:val="0"/>
        </w:rPr>
        <w:t>一）公司所处的行业发展趋势</w:t>
      </w:r>
    </w:p>
    <w:p>
      <w:pPr>
        <w:pStyle w:val="Style30"/>
        <w:keepNext w:val="0"/>
        <w:keepLines w:val="0"/>
        <w:widowControl w:val="0"/>
        <w:shd w:val="clear" w:color="auto" w:fill="auto"/>
        <w:bidi w:val="0"/>
        <w:spacing w:before="0" w:after="80" w:line="240" w:lineRule="auto"/>
        <w:ind w:left="0" w:right="0"/>
        <w:jc w:val="left"/>
      </w:pPr>
      <w:bookmarkStart w:id="237" w:name="bookmark237"/>
      <w:r>
        <w:rPr>
          <w:rFonts w:ascii="Times New Roman" w:eastAsia="Times New Roman" w:hAnsi="Times New Roman" w:cs="Times New Roman"/>
          <w:color w:val="000000"/>
          <w:spacing w:val="0"/>
          <w:w w:val="100"/>
          <w:position w:val="0"/>
          <w:sz w:val="18"/>
          <w:szCs w:val="18"/>
        </w:rPr>
        <w:t>1</w:t>
      </w:r>
      <w:bookmarkEnd w:id="237"/>
      <w:r>
        <w:rPr>
          <w:color w:val="000000"/>
          <w:spacing w:val="0"/>
          <w:w w:val="100"/>
          <w:position w:val="0"/>
        </w:rPr>
        <w:t>、政策背景</w:t>
      </w:r>
    </w:p>
    <w:tbl>
      <w:tblPr>
        <w:tblOverlap w:val="never"/>
        <w:jc w:val="center"/>
        <w:tblLayout w:type="fixed"/>
      </w:tblPr>
      <w:tblGrid>
        <w:gridCol w:w="821"/>
        <w:gridCol w:w="1176"/>
        <w:gridCol w:w="7661"/>
      </w:tblGrid>
      <w:tr>
        <w:trPr>
          <w:trHeight w:val="355"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智慧城市行业近年国家政策</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国家发改委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中央网信办</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《新型智慧城市建设部际协调工作组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年任务分工》提出为全面推进新型智慧城市建设 成立新型智慧城市建设部际协调工作组，并明确了协调工作组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个部门的</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项任务职责。</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《关于组织开展新型智慧城市评价工作务实推动推动新型智慧城市健康快速发展的通知》研究制 定了新型智慧城市评价指标、评价工作要求以及评价组织形式。</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国家发改委 中央网信办 国家标准委</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《新型智慧城市评价指标（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以人为本、惠民便民、绩效导向、客观量化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的原则制 定，包括主客观指标和自选指标。</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年新型城镇化建设重点任务》引导城市产业高端化发展，发挥在产业选择上和人才引进上 的优势，提升经济密度、强化创新驱动、做优产业集群，形成以高端制造业、生产性服务业为主 的产业结构。</w:t>
            </w:r>
          </w:p>
        </w:tc>
      </w:tr>
      <w:tr>
        <w:trPr>
          <w:trHeight w:val="15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中共中央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国务院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《关于支持国家级新区深化改革创新加快推动高质量发展的指导意见》指出，深入推进智慧城市 建设，提升城市精细化管理水平。优化主城区与新区功能布局，推动新区有序承接主城区部分功 能。提高新区基础设施和公共服务设施建设水平，增强教育、医疗、文化等配套功能，率先全面 执行绿色建筑标准，推进海绵城市建设，把宜居、绿色、便利等理念体现到规划建设的各个细节, 创造体现品质和文化底蕴的生产生活环境。</w:t>
            </w:r>
          </w:p>
        </w:tc>
      </w:tr>
      <w:tr>
        <w:trPr>
          <w:trHeight w:val="9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年新型城镇化建设和城乡融合发展重点任务》提出将推进以县城为重要载体的新型城镇化 建设；促进大中小城市和小城镇协调发展，提升城市治理水平，推进城乡融合发展，实现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亿非户 籍人口在城市落户目标和国家新型城镇化规划圆满收官，为全面建成小康社会提供有力支撑。</w:t>
            </w:r>
          </w:p>
        </w:tc>
      </w:tr>
      <w:tr>
        <w:trPr>
          <w:trHeight w:val="350"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智能交通行业近年国家政策</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《交通运输信息化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发展规划》，大力推进智慧交通建设，以行业信息化重点工程和示范试 点工程为依托，努力实现交通运输信息化的上下贯通、左右连通和内外融通，促进现代综合交通 运输体系发展。</w:t>
            </w:r>
          </w:p>
        </w:tc>
      </w:tr>
      <w:tr>
        <w:trPr>
          <w:trHeight w:val="9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发改委</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交通部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便捷交通促进智能交通发展的实施方案》，逐步构建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三系统、两支撑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的智能交 通体系，实现先进技术装备自主开发和规模化应用，交通运输服务效率、资源配置效率以及交通 治理能力全面提升。</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《推进智慧交通行动计划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2017-2020</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年逐步在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基础设施智能化方面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生产组织智 能化方面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决策监管智能化方面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运输服务智能化方面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实现工作目标。</w:t>
            </w:r>
          </w:p>
        </w:tc>
      </w:tr>
      <w:tr>
        <w:trPr>
          <w:trHeight w:val="9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科技部 交通运输部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交通领域科技创新专项规划》突破交通运输系统综合化关键技术，形成我国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 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综合交通协同管理与泛在服务核心技术体系，形成我国新一代智能交通技术架构和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使能交通 流管控、出行服务和交通资源配置优化核心技术与系统装备体系。</w:t>
            </w:r>
          </w:p>
        </w:tc>
      </w:tr>
    </w:tbl>
    <w:p>
      <w:pPr>
        <w:spacing w:lineRule="exact" w:line="1"/>
        <w:rPr>
          <w:sz w:val="2"/>
          <w:szCs w:val="2"/>
        </w:rPr>
      </w:pPr>
      <w:r>
        <w:br w:type="page"/>
      </w:r>
    </w:p>
    <w:tbl>
      <w:tblPr>
        <w:tblOverlap w:val="never"/>
        <w:jc w:val="center"/>
        <w:tblLayout w:type="fixed"/>
      </w:tblPr>
      <w:tblGrid>
        <w:gridCol w:w="821"/>
        <w:gridCol w:w="1176"/>
        <w:gridCol w:w="7661"/>
      </w:tblGrid>
      <w:tr>
        <w:trPr>
          <w:trHeight w:val="12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公安部 中央文明办</w:t>
            </w:r>
          </w:p>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住建部 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《城市道路交通文明畅通提升行动计划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）》加快推进城市智能交通管理系统建设， 积极运用大数据、物联网、云计算等现代信息技术，加强交通状态感知、高清视频监控、信号控 制、交通诱导等基础系统建设，实现道路状况自动感知、交通态势自动研判、信号控制自动调整、 交通违法行为自动监测、路况信息自动发布。</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《智慧交通让出行更便捷行动方案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2017—2020</w:t>
            </w:r>
            <w:r>
              <w:rPr>
                <w:color w:val="000000"/>
                <w:spacing w:val="0"/>
                <w:w w:val="100"/>
                <w:position w:val="0"/>
              </w:rPr>
              <w:t>年）》从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提升城际交通出行智能化水平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 城市交通出行智能化发展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大力推广城乡和农村客运智能化应用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不断完善智慧出行发展环 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四个方面提出了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项工作目标。</w:t>
            </w:r>
          </w:p>
        </w:tc>
      </w:tr>
      <w:tr>
        <w:trPr>
          <w:trHeight w:val="9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《关于加快推进新一代国家交通控制网和智慧公路试点的通知》提出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个重点方向，基础设施数字 化、陆运一体化车路协同、北斗高精度定位综合应用、基于大数据的路网综合管理、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路网 综合服务和新一代国家交通控制网。</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《数字交通发展规划纲要》以数据为关键要素，以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为主线，构建数字化的采集体系、网络 化的传输体系和智能化的应用体系，加快交通运输信息化向数字化、网络化、智能化发展，为交 通强国建设提供支撑</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中共中央</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国务院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《交通强国建设纲要》大力发展智慧交通。推动大数据、人工智能、区块链、超级计算等新技术 与交通行业深度融合。到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年，基本建成交通强国，到本世纪中叶，全面建成交通强国。</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《推进综合交通运输大数据发展行动纲要（</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年）》提出五大工作任务：夯实大数据发 展基础；深入推进大数据共享开放；全面推动大数据创新应用；加强大数据安全保障；完善大数 据管理体系。</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《关于做好交通运输促进消费扩容提质有关工作的通知》指出，推进交通运输新型基础设施建设, 提升交通基础设施智能化、数字化水平。推进自动驾驶、车路协同技术应用。</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《关于推动交通运输领域新型基础设施建设的指导意见》。意见指出到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年，交通运输领域新 型基础设施建设取得显著成效，智能列车、自动驾驶汽车、智能船舶等逐步应用。</w:t>
            </w:r>
          </w:p>
        </w:tc>
      </w:tr>
      <w:tr>
        <w:trPr>
          <w:trHeight w:val="350"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全国城市大脑领域的首部地方性法规实施</w:t>
            </w:r>
          </w:p>
        </w:tc>
      </w:tr>
      <w:tr>
        <w:trPr>
          <w:trHeight w:val="9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杭州市</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杭州市推行《杭州城市大脑赋能城市治理促进条例》，该条例将为促进与规范城市大脑赋能城市 治理工作，保护公民、法人和其他组织的合法权益，推动治理手段、治理模式和治理理念创新， 推进城市治理体系和治理能力现代化，建设新型智慧城市等方面提供官方指导性意见。</w:t>
            </w:r>
          </w:p>
        </w:tc>
      </w:tr>
    </w:tbl>
    <w:p>
      <w:pPr>
        <w:pStyle w:val="Style3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、智慧城市发展趋势分析</w:t>
      </w:r>
    </w:p>
    <w:p>
      <w:pPr>
        <w:pStyle w:val="Style30"/>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是运用人工智能、大数据、物联网等先进技术，为城市交通治理、环境保护、城市精细化管理、区域经 济管理等构建一个后台系统，打通各数据后台，发挥数据价值，形成数据资产，推动城市数字化管理。城市大脑是智慧 城市建设发展的产物，中国智慧城市建设历经三个发展阶段：分散建设阶段，试点探索规范发展阶段，以人为本、成效 导向、统筹集约、协同创新的新型智慧城市发展阶段。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新型智慧城市</w:t>
      </w:r>
      <w:r>
        <w:rPr>
          <w:color w:val="000000"/>
          <w:spacing w:val="0"/>
          <w:w w:val="100"/>
          <w:position w:val="0"/>
        </w:rPr>
        <w:t>''</w:t>
      </w:r>
      <w:r>
        <w:rPr>
          <w:color w:val="000000"/>
          <w:spacing w:val="0"/>
          <w:w w:val="100"/>
          <w:position w:val="0"/>
        </w:rPr>
        <w:t>是数字中国、智慧社会的核心载体。相较于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 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，其更加重视顶层设计与数据的融合，发展重点在于进一步强化城市智能设施统筹布局和共性平台建设，破除数 据孤岛，加强城乡统筹，形成智慧城市一体化运行格局。</w:t>
      </w:r>
    </w:p>
    <w:p>
      <w:pPr>
        <w:pStyle w:val="Style30"/>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年是我国十三五规划收官之年也是十四五规划谋划之年，高标准的智慧城市建设显的尤为重要。在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日，国家发改委、工信部、公安部等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部委联合印发《智能汽车创新发展战略》文件，加推车路协同和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网络技术在 智能驾驶中的应用。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日，中共中央政治局常务委员会会议强调，加快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网络、数据中心等新型基础设施建设进度。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月二十九日中国共产党第十九届中央委员会第五次全体会议通过《中共中央关于制定国民经济和社会发展第十 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三五年远景目标的建议》，对新型基础设施、数字经济、数字社会、数字政府、数字生态发展等诸 多方面进行了谋划部署。在《十四五规划》的指导下，未来新型智慧城市、城市大脑、基层治理、医疗信息化建设等多 方面建设将加大投入。</w:t>
      </w:r>
    </w:p>
    <w:p>
      <w:pPr>
        <w:pStyle w:val="Style30"/>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、公司所处行业市场格局分析</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公司所处于智慧城市之智慧交通和智慧医疗两个细分领域，诸如城市大脑、镇街大脑、交通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治理、信号优化等均 是公司在行业发展过程中创新出来的新业务形态。智慧城市是一个大的范畴领域，但就智慧交通和智慧医疗领域来看又 </w:t>
      </w:r>
      <w:r>
        <w:rPr>
          <w:color w:val="000000"/>
          <w:spacing w:val="0"/>
          <w:w w:val="100"/>
          <w:position w:val="0"/>
        </w:rPr>
        <w:t>可以分出来很多细分行业。当前该行业行业内参与众多，且区域分布较为明显，市场份额较为分散，呈现出较低的市场 集中度。</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面对当下不断增长的行业规模及不断深化的行业需求，行业大额订单比例正在不断增加，而行业中的头部公司依靠 较强的综合服务能力拿单优势明显，将充分受益；头部公司多为上市公司，能够借助资本市场通过并购扩大市场份额及 丰富自身产品线，因此整个行业的产业集中度势必将会进一步提升。为此，越来越多的企业要么选择生态抱团，要么突 破创新走差异化竞争路线，抢占市场份额，树立行业地位。</w:t>
      </w:r>
    </w:p>
    <w:p>
      <w:pPr>
        <w:pStyle w:val="Style30"/>
        <w:keepNext w:val="0"/>
        <w:keepLines w:val="0"/>
        <w:widowControl w:val="0"/>
        <w:shd w:val="clear" w:color="auto" w:fill="auto"/>
        <w:tabs>
          <w:tab w:pos="861" w:val="left"/>
        </w:tabs>
        <w:bidi w:val="0"/>
        <w:spacing w:before="0" w:after="120" w:line="313" w:lineRule="exact"/>
        <w:ind w:left="0" w:right="0" w:firstLine="380"/>
        <w:jc w:val="both"/>
      </w:pPr>
      <w:bookmarkStart w:id="238" w:name="bookmark238"/>
      <w:r>
        <w:rPr>
          <w:b/>
          <w:bCs/>
          <w:color w:val="000000"/>
          <w:spacing w:val="0"/>
          <w:w w:val="100"/>
          <w:position w:val="0"/>
        </w:rPr>
        <w:t>（</w:t>
      </w:r>
      <w:bookmarkEnd w:id="238"/>
      <w:r>
        <w:rPr>
          <w:b/>
          <w:bCs/>
          <w:color w:val="000000"/>
          <w:spacing w:val="0"/>
          <w:w w:val="100"/>
          <w:position w:val="0"/>
        </w:rPr>
        <w:t>二）</w:t>
        <w:tab/>
        <w:t>公司未来发展战略及</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30"/>
        <w:keepNext w:val="0"/>
        <w:keepLines w:val="0"/>
        <w:widowControl w:val="0"/>
        <w:shd w:val="clear" w:color="auto" w:fill="auto"/>
        <w:tabs>
          <w:tab w:pos="719" w:val="left"/>
        </w:tabs>
        <w:bidi w:val="0"/>
        <w:spacing w:before="0" w:after="0" w:line="360" w:lineRule="auto"/>
        <w:ind w:left="0" w:right="0" w:firstLine="38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t>公司未来发展战略</w:t>
      </w:r>
    </w:p>
    <w:p>
      <w:pPr>
        <w:pStyle w:val="Style30"/>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年是中国十四五规划的开启之年，公司作为城市大脑运营服务商，牢牢把握新基建和基层治理的宏观方向，坚 持以技术产品创新驱动产业升级迭代，以城市大脑赋能智慧城市实现转型发展。未来公司将专注于运用物联网、云计算、 大数据、人工智能、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等技术的行业应用，为城市管理和民生服务打造跨领域、跨区域的城市大脑数据资源交换和共享 平台，推动城市文明发展的新浪潮。</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未来，在智慧交通和智慧出行方面，将高度聚焦交通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治理、信号优化、</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 xml:space="preserve">信号机等方面产品的研发与创新；同 时将加大城市大脑技术体系的创新应用。通过在全国各地设立区域服务公司构建了覆盖全国的完整市场营销网络，通过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系统建设、软件交付、运营服务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落实三位一体的企业发展战略和经营策略，通过市场平台和产业资本的深度融合构建 全产业链的开放生态系统。</w:t>
      </w:r>
    </w:p>
    <w:p>
      <w:pPr>
        <w:pStyle w:val="Style30"/>
        <w:keepNext w:val="0"/>
        <w:keepLines w:val="0"/>
        <w:widowControl w:val="0"/>
        <w:shd w:val="clear" w:color="auto" w:fill="auto"/>
        <w:tabs>
          <w:tab w:pos="719" w:val="left"/>
        </w:tabs>
        <w:bidi w:val="0"/>
        <w:spacing w:before="0" w:after="0" w:line="360" w:lineRule="auto"/>
        <w:ind w:left="0" w:right="0" w:firstLine="380"/>
        <w:jc w:val="left"/>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经营计划</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根据公司战略规划，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年公司总体经营思路是巩固现有业务，继续开拓新领域新产品业务，进一步执行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 脑运营服务商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的战略定位并稳抓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的基本盘，实现智慧城市建设、维护、运营和服务全过程发展，持续提升公 司综合竞争力。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年度重点工作计划如下：</w:t>
      </w:r>
    </w:p>
    <w:p>
      <w:pPr>
        <w:pStyle w:val="Style30"/>
        <w:keepNext w:val="0"/>
        <w:keepLines w:val="0"/>
        <w:widowControl w:val="0"/>
        <w:shd w:val="clear" w:color="auto" w:fill="auto"/>
        <w:tabs>
          <w:tab w:pos="765" w:val="left"/>
        </w:tabs>
        <w:bidi w:val="0"/>
        <w:spacing w:before="0" w:after="0" w:line="313" w:lineRule="exact"/>
        <w:ind w:left="0" w:right="0" w:firstLine="380"/>
        <w:jc w:val="left"/>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坚定城市大脑战略，持续构建数字产业平台</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公司通过技术和产品创新，持续构建城市大脑产业平台，覆盖交通大脑、镇街大脑等。其中城市大脑在交通领域通 过大脑中枢和手脚联动，实现完整的交通大脑闭环和深度应用服务，在杭州、南昌、太原等地实现进一步应用升级并在 其他目标城市进行推广；镇街大脑以杭州三墩镇模式为样板，以杭州留下街道、杭州前进街道、成都固驿镇为切入点， 将全面在杭州西湖区、浙江省内及其他省份城市推广复制。</w:t>
      </w:r>
    </w:p>
    <w:p>
      <w:pPr>
        <w:pStyle w:val="Style30"/>
        <w:keepNext w:val="0"/>
        <w:keepLines w:val="0"/>
        <w:widowControl w:val="0"/>
        <w:shd w:val="clear" w:color="auto" w:fill="auto"/>
        <w:tabs>
          <w:tab w:pos="765" w:val="left"/>
        </w:tabs>
        <w:bidi w:val="0"/>
        <w:spacing w:before="0" w:after="0" w:line="313" w:lineRule="exact"/>
        <w:ind w:left="0" w:right="0" w:firstLine="380"/>
        <w:jc w:val="left"/>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深耕交通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治理，为智慧出行赋能</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年的基础上，公司将继续加大对智能信控、交通信号配时、交通治理综等方面产品和解决方案的完善。进一步巩 固交通数据治理基础，强化交通信号集成总控能力；深耕数字化运营服务，商业模式迅速复制；紧密结合市场需求，探索多 样化交通治理场景；布局</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终端设备，为自动驾驶保驾护航。</w:t>
      </w:r>
    </w:p>
    <w:p>
      <w:pPr>
        <w:pStyle w:val="Style30"/>
        <w:keepNext w:val="0"/>
        <w:keepLines w:val="0"/>
        <w:widowControl w:val="0"/>
        <w:shd w:val="clear" w:color="auto" w:fill="auto"/>
        <w:tabs>
          <w:tab w:pos="765" w:val="left"/>
        </w:tabs>
        <w:bidi w:val="0"/>
        <w:spacing w:before="0" w:after="0" w:line="313" w:lineRule="exact"/>
        <w:ind w:left="0" w:right="0" w:firstLine="380"/>
        <w:jc w:val="left"/>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推广复制镇街大脑，创新社会基层治理模式</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公司以《十四五规划和二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三五年远景目标的建议》和浙江省数字化改革为契机，顺应国家和各级政府部门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加强数字 社会、数字政府建设，提升公共服务、社会治理等数字化智能化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的方向，公司将重点关注基层治理数字化建设业务。紧密 结合城市大脑总体框架及社会治理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的理念，运用物联网、云计算、大数据、人工智能、区块链等前沿技术，构建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智慧党建为引领、智慧执法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智慧经济为双引擎、智慧平安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智慧防控为双保障、智慧民生为实现目标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的多元化全域智治平 台，以打造以乡镇和街道级别的基层大脑（即镇街大脑或数字驾驶舱）。公司将继续加大在浙江省及其他省份推广复制的力 度，打造公司业务创新的标杆典范。</w:t>
      </w:r>
    </w:p>
    <w:p>
      <w:pPr>
        <w:pStyle w:val="Style30"/>
        <w:keepNext w:val="0"/>
        <w:keepLines w:val="0"/>
        <w:widowControl w:val="0"/>
        <w:shd w:val="clear" w:color="auto" w:fill="auto"/>
        <w:tabs>
          <w:tab w:pos="765" w:val="left"/>
        </w:tabs>
        <w:bidi w:val="0"/>
        <w:spacing w:before="0" w:after="0" w:line="313" w:lineRule="exact"/>
        <w:ind w:left="0" w:right="0" w:firstLine="380"/>
        <w:jc w:val="left"/>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全力推进再融资，实现产业再升级</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公司拟通过非公开发行股票募集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亿元，推动公司技术和产业再升级发展。本次募集资金用于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整体解决 方案研发升级、建设、推广和服务项目、交通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综合治理及一体化运营、推广和服务项目、基于物联网技术的智慧医院 平台项目和补充流动资金项目。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年是公司上市的第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个年头，公司的战略已由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智慧城市建设运营服务商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 市大脑运营服务商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，公司技术和产业的发展离不开资本市场和全体股东的支持。公司将以本次再融资为契机，以技术 创新驱动为核心，以建设运营服务为抓手，推广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系统建设和服务，不断提升公司数据运营服务能力。</w:t>
      </w:r>
    </w:p>
    <w:p>
      <w:pPr>
        <w:pStyle w:val="Style30"/>
        <w:keepNext w:val="0"/>
        <w:keepLines w:val="0"/>
        <w:widowControl w:val="0"/>
        <w:shd w:val="clear" w:color="auto" w:fill="auto"/>
        <w:tabs>
          <w:tab w:pos="861" w:val="left"/>
        </w:tabs>
        <w:bidi w:val="0"/>
        <w:spacing w:before="0" w:after="0" w:line="313" w:lineRule="exact"/>
        <w:ind w:left="0" w:right="0" w:firstLine="380"/>
        <w:jc w:val="left"/>
      </w:pPr>
      <w:bookmarkStart w:id="245" w:name="bookmark245"/>
      <w:r>
        <w:rPr>
          <w:b/>
          <w:bCs/>
          <w:color w:val="000000"/>
          <w:spacing w:val="0"/>
          <w:w w:val="100"/>
          <w:position w:val="0"/>
        </w:rPr>
        <w:t>（</w:t>
      </w:r>
      <w:bookmarkEnd w:id="245"/>
      <w:r>
        <w:rPr>
          <w:b/>
          <w:bCs/>
          <w:color w:val="000000"/>
          <w:spacing w:val="0"/>
          <w:w w:val="100"/>
          <w:position w:val="0"/>
        </w:rPr>
        <w:t>三）</w:t>
        <w:tab/>
        <w:t>风险因素</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sz w:val="16"/>
          <w:szCs w:val="16"/>
        </w:rPr>
        <w:t>1</w:t>
      </w:r>
      <w:r>
        <w:rPr>
          <w:color w:val="000000"/>
          <w:spacing w:val="0"/>
          <w:w w:val="100"/>
          <w:position w:val="0"/>
        </w:rPr>
        <w:t>、政策性风险</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公司所处智慧城市建设相关行业与国家宏观经济运行状况密切，公司的发展与国民经济运行状况呈正相关性，当前公司 主要客户为政府部门，政府政策、宏观调控政策、政府主管负责人的更替等因素直接和间接影响公司主营业务和公司客户。</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应对措施：为减少因行业集中形成的风险，公司更积极增加各相关细分行业的投入，筛选优质客户，并选择信誉好、财 政充足的客户共同合作，规避客户风险。</w:t>
      </w:r>
    </w:p>
    <w:p>
      <w:pPr>
        <w:pStyle w:val="Style30"/>
        <w:keepNext w:val="0"/>
        <w:keepLines w:val="0"/>
        <w:widowControl w:val="0"/>
        <w:shd w:val="clear" w:color="auto" w:fill="auto"/>
        <w:tabs>
          <w:tab w:pos="664" w:val="left"/>
        </w:tabs>
        <w:bidi w:val="0"/>
        <w:spacing w:before="0" w:after="0" w:line="313" w:lineRule="exact"/>
        <w:ind w:left="0" w:right="0" w:firstLine="380"/>
        <w:jc w:val="left"/>
      </w:pPr>
      <w:bookmarkStart w:id="246" w:name="bookmark246"/>
      <w:r>
        <w:rPr>
          <w:color w:val="000000"/>
          <w:spacing w:val="0"/>
          <w:w w:val="100"/>
          <w:position w:val="0"/>
          <w:sz w:val="16"/>
          <w:szCs w:val="16"/>
        </w:rPr>
        <w:t>2</w:t>
      </w:r>
      <w:bookmarkEnd w:id="246"/>
      <w:r>
        <w:rPr>
          <w:color w:val="000000"/>
          <w:spacing w:val="0"/>
          <w:w w:val="100"/>
          <w:position w:val="0"/>
        </w:rPr>
        <w:t>、</w:t>
        <w:tab/>
        <w:t>核心人员流失风险</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行业技术变革日新月异和市场竞争的不断加剧，特别是大数据和互联网的产业兴起，对公司的市场开拓、技术储备和人 才储备带来一定的挑战。如果公司不能有效保持和完善核心人员的激励机制，将会影响到核心人员积极性、创造性的发挥， 也会影响到核心团队后备力量的建设，造成人才流失，从而给公司的生产经营造成不利影响。</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应对措施:人才资源是公司核心竞争力，公司把对外部高端人才的引进和对内部骨干及后备人才的培养提到了战略高度， 建立完善了的人才聘用及管理、激励制度，并通过股权激励、员工持股计划、子公司改制来稳定核心技术人才队伍。公司的 “银江合伙人计划”通过选择合适的全资和控股子公司股权改造，实现子公司经营管理层持有其所经营的子公司适当比例的 股权，使股东、管理层、骨干员工的利益进一步趋同，为公司的持续发展提供制度性和政策性的保障环境。公司自上市以来， 核心人员稳定，流失风险较小。</w:t>
      </w:r>
    </w:p>
    <w:p>
      <w:pPr>
        <w:pStyle w:val="Style30"/>
        <w:keepNext w:val="0"/>
        <w:keepLines w:val="0"/>
        <w:widowControl w:val="0"/>
        <w:shd w:val="clear" w:color="auto" w:fill="auto"/>
        <w:tabs>
          <w:tab w:pos="664" w:val="left"/>
        </w:tabs>
        <w:bidi w:val="0"/>
        <w:spacing w:before="0" w:after="0" w:line="313" w:lineRule="exact"/>
        <w:ind w:left="0" w:right="0" w:firstLine="380"/>
        <w:jc w:val="both"/>
      </w:pPr>
      <w:bookmarkStart w:id="247" w:name="bookmark247"/>
      <w:r>
        <w:rPr>
          <w:color w:val="000000"/>
          <w:spacing w:val="0"/>
          <w:w w:val="100"/>
          <w:position w:val="0"/>
          <w:sz w:val="16"/>
          <w:szCs w:val="16"/>
        </w:rPr>
        <w:t>3</w:t>
      </w:r>
      <w:bookmarkEnd w:id="247"/>
      <w:r>
        <w:rPr>
          <w:color w:val="000000"/>
          <w:spacing w:val="0"/>
          <w:w w:val="100"/>
          <w:position w:val="0"/>
        </w:rPr>
        <w:t>、</w:t>
        <w:tab/>
        <w:t>智慧城市业务模式的风险</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智慧城市建设主导者是城市管理者即地方政府或政府有关部门，而受益者则是城市的主体即城市中的企业和市民。由于 智慧城市总包项目投资总金额大、项目建设周期长、项目所涉及的地方政府下属部门或分支机构较多、智慧城市总包合同仅 为较笼统的框架性协议，因此智慧城市总包业务模式存在政府换届或国家政策调整变化、地方政府财政紧张导致投入延迟或 无法持续投入、费用控制不力、公司现金流压力和回款压力等因素造成项目部分或全部无法实施或延期的风险。</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应对措施：公司会持续密切关注国家政策和相关法律法规规章制度在智慧城市建设方面的变化，选择地方财政和信誉情 况较好的地区开拓业务市场，由专门的工作小组跟进总包业务项目，及时向公司管理层反馈项目进展情况，按照项目计划严 格控制项目费用和成本投入，并以“质量优先、风险为上”为指导原则，对于风险可能较大的总包业务项目采取“宁可暂缓、 宁可放弃、不可强求”的执行原则，降低总包业务风险。</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248" w:name="bookmark248"/>
      <w:r>
        <w:rPr>
          <w:color w:val="000000"/>
          <w:spacing w:val="0"/>
          <w:w w:val="100"/>
          <w:position w:val="0"/>
          <w:sz w:val="16"/>
          <w:szCs w:val="16"/>
        </w:rPr>
        <w:t>4</w:t>
      </w:r>
      <w:bookmarkEnd w:id="248"/>
      <w:r>
        <w:rPr>
          <w:color w:val="000000"/>
          <w:spacing w:val="0"/>
          <w:w w:val="100"/>
          <w:position w:val="0"/>
        </w:rPr>
        <w:t>、</w:t>
        <w:tab/>
        <w:t>投资并购及管理风险</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为了公司发展战略及规划的需要，公司及公司全资子公司或产业基金于相继完成多个公司的股权投资和并购，但投资并 购本身就是一种风险较高的商业活动。随着投资并购项目的不断增多，公司与被投资并购的企业之间存在业务模式、管理制 度、企业文化上的差异，异地管理带来的管控风险、团队的稳定性风险等因素都给公司管理带来新的挑战。同时，公司对外 投资并购时，存在项目本身承诺利润能否实现、市场政策变化及法律等方面的风险因素。</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应对措施：公司在投资并购方面采取较为稳健的投资策略，审慎选择投资标的，投前做好市场以及收购对象的尽职调查 工作，并完善投资并购协议以减少法律风险，投后发挥协同效应实现其价值，从而不断提升公司盈利能力和市场规模。同时， 公司将加强内部控制尤其是风险控制体系建设，以面对公司规模扩大后所带来的管理风险。</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249" w:name="bookmark249"/>
      <w:r>
        <w:rPr>
          <w:color w:val="000000"/>
          <w:spacing w:val="0"/>
          <w:w w:val="100"/>
          <w:position w:val="0"/>
          <w:sz w:val="16"/>
          <w:szCs w:val="16"/>
        </w:rPr>
        <w:t>5</w:t>
      </w:r>
      <w:bookmarkEnd w:id="249"/>
      <w:r>
        <w:rPr>
          <w:color w:val="000000"/>
          <w:spacing w:val="0"/>
          <w:w w:val="100"/>
          <w:position w:val="0"/>
        </w:rPr>
        <w:t>、</w:t>
        <w:tab/>
        <w:t>商业模式创新风险</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凡是创新就一定具有不确定性，就一定存在风险。目前公司业务采用的是智慧城市项目建设+业务总包+数据运营服务三 结合的商业模式，无论是政府出资企业建设模式，或政府和企业共同出资建设模式，或政府规划第三方建设和运营模式，均 存在不同利弊和风险。同时，公司创新的城市大脑运营服务是智慧城市推进面临的最大挑战之一，是全行业企业都需要探索 的新业务和新模式，存在大量的不确定性。</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应对措施：公司会密切关注与行业相关的国家政策法规的跟踪与研究，在现有智慧城市项目商业模式的基础上，根据市 场和行业发展需求，采取“存量”业务和“增量”业务并重且比例优化的经营方式，在保证“存量”业务体量的基础上，逐 步提升“增量”业务一一大型软件支持和交付、运维/数据运营服务的业务占比，待“增量”业务的商业模式得到充分验证 后再大规模推进，由此可以尽可能降低由于商业模式创新风险对公司可能带来的影响。</w:t>
      </w:r>
      <w:r>
        <w:br w:type="page"/>
      </w:r>
    </w:p>
    <w:p>
      <w:pPr>
        <w:pStyle w:val="Style28"/>
        <w:keepNext/>
        <w:keepLines/>
        <w:widowControl w:val="0"/>
        <w:shd w:val="clear" w:color="auto" w:fill="auto"/>
        <w:bidi w:val="0"/>
        <w:spacing w:before="0" w:after="340" w:line="240" w:lineRule="auto"/>
        <w:ind w:left="0" w:right="0" w:firstLine="0"/>
        <w:jc w:val="left"/>
      </w:pPr>
      <w:bookmarkStart w:id="250" w:name="bookmark250"/>
      <w:bookmarkStart w:id="251" w:name="bookmark251"/>
      <w:bookmarkStart w:id="252" w:name="bookmark252"/>
      <w:r>
        <w:rPr>
          <w:color w:val="000000"/>
          <w:spacing w:val="0"/>
          <w:w w:val="100"/>
          <w:position w:val="0"/>
        </w:rPr>
        <w:t>十、接待调研、沟通、采访等活动登记表</w:t>
      </w:r>
      <w:bookmarkEnd w:id="250"/>
      <w:bookmarkEnd w:id="251"/>
      <w:bookmarkEnd w:id="252"/>
    </w:p>
    <w:p>
      <w:pPr>
        <w:pStyle w:val="Style33"/>
        <w:keepNext/>
        <w:keepLines/>
        <w:widowControl w:val="0"/>
        <w:shd w:val="clear" w:color="auto" w:fill="auto"/>
        <w:bidi w:val="0"/>
        <w:spacing w:before="0" w:after="34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、报告期内接待调研、沟通、采访等活动登记表</w:t>
      </w:r>
      <w:bookmarkEnd w:id="253"/>
      <w:bookmarkEnd w:id="254"/>
      <w:bookmarkEnd w:id="25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056"/>
        <w:gridCol w:w="1531"/>
        <w:gridCol w:w="1810"/>
      </w:tblGrid>
      <w:tr>
        <w:trPr>
          <w:trHeight w:val="63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就公司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年报和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一季报告相关问题 进行解答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就公司非公开性相 关事宜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ectPr>
          <w:footnotePr>
            <w:pos w:val="pageBottom"/>
            <w:numFmt w:val="decimal"/>
            <w:numRestart w:val="continuous"/>
          </w:footnotePr>
          <w:pgSz w:w="11900" w:h="16840"/>
          <w:pgMar w:top="1350" w:right="833" w:bottom="1465" w:left="847" w:header="0" w:footer="3" w:gutter="0"/>
          <w:cols w:space="720"/>
          <w:noEndnote/>
          <w:rtlGutter w:val="0"/>
          <w:docGrid w:linePitch="360"/>
        </w:sectPr>
      </w:pPr>
    </w:p>
    <w:p>
      <w:pPr>
        <w:pStyle w:val="Style15"/>
        <w:keepNext/>
        <w:keepLines/>
        <w:widowControl w:val="0"/>
        <w:shd w:val="clear" w:color="auto" w:fill="auto"/>
        <w:bidi w:val="0"/>
        <w:spacing w:before="540" w:line="240" w:lineRule="auto"/>
        <w:ind w:left="0" w:right="0" w:firstLine="0"/>
        <w:jc w:val="center"/>
      </w:pPr>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p>
    <w:p>
      <w:pPr>
        <w:pStyle w:val="Style28"/>
        <w:keepNext/>
        <w:keepLines/>
        <w:widowControl w:val="0"/>
        <w:shd w:val="clear" w:color="auto" w:fill="auto"/>
        <w:bidi w:val="0"/>
        <w:spacing w:before="0" w:after="260" w:line="240" w:lineRule="auto"/>
        <w:ind w:left="0" w:right="0" w:firstLine="0"/>
        <w:jc w:val="left"/>
      </w:pPr>
      <w:bookmarkStart w:id="260" w:name="bookmark260"/>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、公司普通股利润分配及资本公积金转增股本情况</w:t>
      </w:r>
      <w:bookmarkEnd w:id="261"/>
      <w:bookmarkEnd w:id="262"/>
      <w:bookmarkEnd w:id="264"/>
      <w:bookmarkEnd w:id="260"/>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股为基 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19,673,672.58</w:t>
      </w:r>
      <w:r>
        <w:rPr>
          <w:color w:val="000000"/>
          <w:spacing w:val="0"/>
          <w:w w:val="100"/>
          <w:position w:val="0"/>
        </w:rPr>
        <w:t>元（含税），剩余未分配利润结转以后年度分配。</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本次权益分配方案已于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日实施完毕。上述现金分红政策符合公司章程的规定，独立董事发表了独立意见。</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不适合</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1,193,906,741.48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日，公司召开第五届董事会第十次会议，审议通过了《关于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年度拟不进行利润分配的议案》：公司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年度拟不派发现金红利，不送红股，不进行资本公积金转增股本。本预案尚需提交公司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tc>
      </w:tr>
    </w:tbl>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 xml:space="preserve">655,789,086 </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19,673,672.58</w:t>
      </w:r>
      <w:r>
        <w:rPr>
          <w:color w:val="000000"/>
          <w:spacing w:val="0"/>
          <w:w w:val="100"/>
          <w:position w:val="0"/>
        </w:rPr>
        <w:t>元（含税）。</w:t>
      </w:r>
      <w:r>
        <w:br w:type="page"/>
      </w:r>
    </w:p>
    <w:p>
      <w:pPr>
        <w:pStyle w:val="Style30"/>
        <w:keepNext w:val="0"/>
        <w:keepLines w:val="0"/>
        <w:widowControl w:val="0"/>
        <w:shd w:val="clear" w:color="auto" w:fill="auto"/>
        <w:tabs>
          <w:tab w:pos="546" w:val="left"/>
        </w:tabs>
        <w:bidi w:val="0"/>
        <w:spacing w:before="0" w:after="0" w:line="315" w:lineRule="exact"/>
        <w:ind w:left="0" w:right="0" w:firstLine="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日，公司召开第五届董事会第三次会议，审议通过了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年末公司总股本 </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19,673,672.58</w:t>
      </w:r>
      <w:r>
        <w:rPr>
          <w:color w:val="000000"/>
          <w:spacing w:val="0"/>
          <w:w w:val="100"/>
          <w:position w:val="0"/>
        </w:rPr>
        <w:t>元（含税）。</w:t>
      </w:r>
    </w:p>
    <w:p>
      <w:pPr>
        <w:pStyle w:val="Style30"/>
        <w:keepNext w:val="0"/>
        <w:keepLines w:val="0"/>
        <w:widowControl w:val="0"/>
        <w:shd w:val="clear" w:color="auto" w:fill="auto"/>
        <w:bidi w:val="0"/>
        <w:spacing w:before="0" w:after="340" w:line="315" w:lineRule="exact"/>
        <w:ind w:left="0" w:right="0" w:firstLine="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日，公司召开第五届董事会第十次会议，审议通过了《关于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年度拟不进行利润分配的议案》：公司召 开第五届董事会第十次会议，审议通过了《关于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年度拟不进行利润分配的议案》：公司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年度拟不派发现金红利，不 送红股，不进行资本公积金转增股本。本预案尚需提交公司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30"/>
        <w:keepNext w:val="0"/>
        <w:keepLines w:val="0"/>
        <w:widowControl w:val="0"/>
        <w:shd w:val="clear" w:color="auto" w:fill="auto"/>
        <w:bidi w:val="0"/>
        <w:spacing w:before="0" w:after="160" w:line="315"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1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现金分红总额</w:t>
            </w:r>
          </w:p>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157,704,491.11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19,673,672.58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150,042,583.64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19,673,672.58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13.22%</w:t>
            </w:r>
          </w:p>
        </w:tc>
      </w:tr>
      <w:tr>
        <w:trPr>
          <w:trHeight w:val="33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19,673,672.58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25,526,945.85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19,673,672.58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74.40%</w:t>
            </w:r>
          </w:p>
        </w:tc>
      </w:tr>
    </w:tbl>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二</w:t>
      </w:r>
      <w:bookmarkEnd w:id="269"/>
      <w:r>
        <w:rPr>
          <w:color w:val="000000"/>
          <w:spacing w:val="0"/>
          <w:w w:val="100"/>
          <w:position w:val="0"/>
        </w:rPr>
        <w:t>、承诺事项履行情况</w:t>
      </w:r>
      <w:bookmarkEnd w:id="267"/>
      <w:bookmarkEnd w:id="268"/>
      <w:bookmarkEnd w:id="270"/>
    </w:p>
    <w:p>
      <w:pPr>
        <w:pStyle w:val="Style33"/>
        <w:keepNext/>
        <w:keepLines/>
        <w:widowControl w:val="0"/>
        <w:shd w:val="clear" w:color="auto" w:fill="auto"/>
        <w:bidi w:val="0"/>
        <w:spacing w:before="0" w:after="340" w:line="317" w:lineRule="exact"/>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 尚未履行完毕的承诺事项</w:t>
      </w:r>
      <w:bookmarkEnd w:id="271"/>
      <w:bookmarkEnd w:id="272"/>
      <w:bookmarkEnd w:id="27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706"/>
        <w:gridCol w:w="994"/>
        <w:gridCol w:w="2410"/>
        <w:gridCol w:w="994"/>
        <w:gridCol w:w="994"/>
        <w:gridCol w:w="163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自本次交易中取得的股份自本 次发行结束之日起十二个月内 不得转让。自法定限售期十二 个月届满后，第一年可解禁所 获股份的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，第二年可再解 禁所获股份的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，第三年可 再解禁所获股份的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，第四 年可再解禁所获股份的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第五年可再解禁所获股份的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，自法定限售期届满后五 年即全解禁。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为李欣业绩承诺期，应待亚太 安讯审计报告出具后，视是否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年度业绩承诺 未达预期，涉及股份 补偿事宜。李欣未经 上市公司同意将所 持公司股份 </w:t>
            </w:r>
            <w:r>
              <w:rPr>
                <w:rFonts w:ascii="Times New Roman" w:eastAsia="Times New Roman" w:hAnsi="Times New Roman" w:cs="Times New Roman"/>
                <w:color w:val="000000"/>
                <w:spacing w:val="0"/>
                <w:w w:val="100"/>
                <w:position w:val="0"/>
                <w:sz w:val="18"/>
                <w:szCs w:val="18"/>
              </w:rPr>
              <w:t xml:space="preserve">27,813,840 </w:t>
            </w:r>
            <w:r>
              <w:rPr>
                <w:color w:val="000000"/>
                <w:spacing w:val="0"/>
                <w:w w:val="100"/>
                <w:position w:val="0"/>
              </w:rPr>
              <w:t>股在限 售期内质押给浙江 浙商证券资产管理 有限公司，违反了承 诺。</w:t>
            </w:r>
          </w:p>
        </w:tc>
      </w:tr>
    </w:tbl>
    <w:p>
      <w:pPr>
        <w:spacing w:lineRule="exact" w:line="1"/>
        <w:rPr>
          <w:sz w:val="2"/>
          <w:szCs w:val="2"/>
        </w:rPr>
      </w:pPr>
      <w:r>
        <w:br w:type="page"/>
      </w:r>
    </w:p>
    <w:tbl>
      <w:tblPr>
        <w:tblOverlap w:val="never"/>
        <w:jc w:val="center"/>
        <w:tblLayout w:type="fixed"/>
      </w:tblPr>
      <w:tblGrid>
        <w:gridCol w:w="1853"/>
        <w:gridCol w:w="706"/>
        <w:gridCol w:w="994"/>
        <w:gridCol w:w="2410"/>
        <w:gridCol w:w="994"/>
        <w:gridCol w:w="994"/>
        <w:gridCol w:w="163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需实行股份补偿，按以上比例 计算当年可解禁股份数并扣减 需进行股份补偿部分后予以解 禁，若不足扣减，则当年无股 份解禁。李欣承诺所持股份在 限售期内未经上市公司同意不 得用于质押。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、承诺人目前没有直接或间接 通过其直接或间接控制的其他 经营主体从事与银江股份及亚 太安迅业务相同或类似的业 务，或有其它任何与银江股份 或亚太安迅存在同业竞争的情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、本次交易完成后，承诺 人将不会以自营方式、直接或 间接通过直接或间接控制的其 他经营主体开展、经营与银江 股份或亚太安迅业务相同或相 似的业务；不以银江股份或亚 太安迅的名义为银江股份或亚 太安迅现有客户提供与银江股 份或亚太安迅业务相同或类似 的商品或服务，避免产生任何 同业竞争情形。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、如因承诺人 违反上述承诺而给银江股份或 亚太安迅造成损失的，应承担 全部赔偿。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本人将按照《中华人民共和国 公司法》等法律法规以及银江 股份有限公司《公司章程》的 有关规定行使股东权利；在股 东大会对涉及本人的关联交易 进行表决时，履行回避表决的 义务。本人将杜绝一切非法占 用银江股份有限公司的资金、 资产的行为、在任何情况下， 不要求银江股份有限公司向本 人及本人投资或控制的其他企 业提供任何形式的担保。本人 将尽可能地避免和减少与银江 股份有限公司的关联交易；对 无法避免或者有合理原因而发 生的关联交易，将遵循市场公 正、公平、公开的原则，并依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853"/>
        <w:gridCol w:w="706"/>
        <w:gridCol w:w="994"/>
        <w:gridCol w:w="2410"/>
        <w:gridCol w:w="994"/>
        <w:gridCol w:w="994"/>
        <w:gridCol w:w="163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法签订协议，履行合法程序， 按照银江股份有限公司《公司 章程》、有关法律法规和《上市 规则》等有关规定履行信息披 露义务和办理有关报批程序， 保证不通过关联交易损害银江 股份有限公司及其他股东的合 法权益。如因本人未履行本承 诺函所作的承诺而给银江股份 有限公司造成一切损失和后 果，本人承担赔偿责任。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本人现为亚太安迅实际控制 人，亚太安迅曾于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年设立 红筹架构成为外企企业并于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年解除红筹架构重新转 为内资企业，在红筹架构期间， 亚太安迅并未实际享受外资企 业企业所得税优惠政策，同事 红筹架构解除时，亚太安迅已 按相关规定为境外股东代扣代 缴了企业所得税。对于亚太安 迅设立及解除红筹架构的整个 过程中，各相关主体可能存在 未来发生补缴相关税收风险， 而因此给亚太安迅带来的任何 经济损失（包括行政处罚损 失），本人愿意承担全额赔偿责 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本人愿意承担亚太安迅</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年底解除其历史上红筹架构所 涉及相关税务、外汇管理等方 面的风险，承担亚太安迅因红 筹架构解除涉及相关税务、外 汇管理等方面风险所致的损 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重组交易期间，本人及本人控 制的企业，公司及其他经济组 织不会利用控股地位或股东身 份、职务便利以借款、代偿债 务、代垫款项或者其他方式占 用亚太安迅及其子公司之资 金；重组完成后，本人将遵守 并督促亚太安迅严格执行银江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李欣未遵守银江股 份货币资金管理制 度，违反了承诺。</w:t>
            </w:r>
          </w:p>
        </w:tc>
      </w:tr>
    </w:tbl>
    <w:p>
      <w:pPr>
        <w:spacing w:lineRule="exact" w:line="1"/>
        <w:rPr>
          <w:sz w:val="2"/>
          <w:szCs w:val="2"/>
        </w:rPr>
      </w:pPr>
      <w:r>
        <w:br w:type="page"/>
      </w:r>
    </w:p>
    <w:tbl>
      <w:tblPr>
        <w:tblOverlap w:val="never"/>
        <w:jc w:val="center"/>
        <w:tblLayout w:type="fixed"/>
      </w:tblPr>
      <w:tblGrid>
        <w:gridCol w:w="1853"/>
        <w:gridCol w:w="706"/>
        <w:gridCol w:w="994"/>
        <w:gridCol w:w="2410"/>
        <w:gridCol w:w="994"/>
        <w:gridCol w:w="994"/>
        <w:gridCol w:w="163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股份货币资金管理制度，不利 用职务便利以借款、代偿债务、 代垫款项或者其他方式占用亚 太安迅及其子公司之资金。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本次交易完成后，本人会将持 有的城城速通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的股权转让 给亚太安迅，并在本次交易完 成后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个月内办理完成工商变 更手续。如本人违反上述承诺 而给银江股份或亚太安迅造成 损失的，将承担全部赔偿责任。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本次交易完成后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年内，本人 将在亚太安迅继续担任经营管 理职务，不主动提出离职（经 银江股份书面批准的除外），并 在任职期间勤勉尽责，尽可能 为亚太安迅创造最佳业绩。如 因本人违反上述承诺而给银江 股份或亚太安迅造成损失的， 愿承担全部赔偿责任。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李欣违反了该项承 诺。</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本人承诺并确保，目前亚太安 迅租赁位于朝阳区三间房的租 赁物业，出租人未取得相应的 房产证书，如亚太安迅因租赁 该物业而导致亚太安迅承受任 何负责、直接经济损失、承诺 人将向亚太安迅全额予以赔 偿，避免给亚太安迅造成任何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在本次交易交割前，亚太安迅 核心团队（包括但不限于李欣、 颜廷健、于海燕、张晔、候世 勇、金鑫）应与亚太安迅签订 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年期限的聘用合同， 并出具承诺函承诺在本次交易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年内将不主动从亚太安迅 离职（经甲方书面批准的除 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本次交易后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于海燕未经公司批 准，在承诺期内擅自 离职，违反了承诺。 截至本报告出具日， 公司与于海燕就亚 太安讯工作交接问 题进行了妥善处理。</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承诺亚太安讯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年实现的净利润</w:t>
            </w:r>
          </w:p>
          <w:p>
            <w:pPr>
              <w:pStyle w:val="Style25"/>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（扣除非经常性损益后归属于 母公司所有者的净利润）分别 不得低于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5,750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5"/>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 诺未达预期，涉及股 份补偿事宜。李欣未 及时履行业绩补偿 承诺，违反了承诺。</w:t>
            </w:r>
          </w:p>
        </w:tc>
      </w:tr>
    </w:tbl>
    <w:p>
      <w:pPr>
        <w:spacing w:lineRule="exact" w:line="1"/>
        <w:rPr>
          <w:sz w:val="2"/>
          <w:szCs w:val="2"/>
        </w:rPr>
      </w:pPr>
      <w:r>
        <w:br w:type="page"/>
      </w:r>
    </w:p>
    <w:tbl>
      <w:tblPr>
        <w:tblOverlap w:val="never"/>
        <w:jc w:val="center"/>
        <w:tblLayout w:type="fixed"/>
      </w:tblPr>
      <w:tblGrid>
        <w:gridCol w:w="1853"/>
        <w:gridCol w:w="706"/>
        <w:gridCol w:w="994"/>
        <w:gridCol w:w="2410"/>
        <w:gridCol w:w="994"/>
        <w:gridCol w:w="994"/>
        <w:gridCol w:w="163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6,613</w:t>
            </w:r>
            <w:r>
              <w:rPr>
                <w:color w:val="000000"/>
                <w:spacing w:val="0"/>
                <w:w w:val="100"/>
                <w:position w:val="0"/>
              </w:rPr>
              <w:t>万元。如亚太安 讯对应的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年的实际盈利数不足上 述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年和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年承诺盈利数的，李欣应当进 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于海燕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 本人将在亚太安讯继续担任经 营管理职务，不主动提出离职</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（经银江股份书面批准的除 外），并在任职期间勤勉尽责， 尽可能为亚太安讯创造最佳业 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本次交易后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于海燕未经公司批 准，在承诺期内擅自 离职，违反了承诺。 截至本报告出具日， 公司与于海燕就亚 太安讯工作交接问 题进行了妥善处理。</w:t>
            </w:r>
          </w:p>
        </w:tc>
      </w:tr>
      <w:tr>
        <w:trPr>
          <w:trHeight w:val="352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 股股东 银江科 技集团 有限公 司及实 际控制 人王辉、 刘健夫 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本公司（本人）将不在中国境 内外直接或间接从事或参与任 何在商业上对股份公司构成竞 争的业务及活动或拥有与股份 公司存在竞争关系的任何经济 实体、机构、经济组织的权益； 或以其他任何形式取得该经济 实体、机构、经济组织的控制 权。本公司（本人）愿意承担 因违反上述承诺而给股份公司 造成的全部经济损失。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日，控股股东银 江科技集团及实际 控制人王辉、刘健夫 妇均遵守上述承诺， 未发现违反上述承 诺情况。</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公司承诺不为激励对象依股票 期权激励计划获取有关权益提 供贷款以及其他任何形式的财 务资助，包括为其贷款提供担 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5"/>
              <w:keepNext w:val="0"/>
              <w:keepLines w:val="0"/>
              <w:widowControl w:val="0"/>
              <w:shd w:val="clear" w:color="auto" w:fill="auto"/>
              <w:tabs>
                <w:tab w:pos="446"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tab/>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571" w:val="left"/>
              </w:tabs>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tab/>
            </w:r>
            <w:r>
              <w:rPr>
                <w:color w:val="000000"/>
                <w:spacing w:val="0"/>
                <w:w w:val="100"/>
                <w:position w:val="0"/>
                <w:sz w:val="16"/>
                <w:szCs w:val="16"/>
              </w:rPr>
              <w:t>0，</w:t>
            </w:r>
            <w:r>
              <w:rPr>
                <w:color w:val="000000"/>
                <w:spacing w:val="0"/>
                <w:w w:val="100"/>
                <w:position w:val="0"/>
              </w:rPr>
              <w:t>本公司</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严格遵守上述承诺， 未发现违反上述承 诺情况。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李欣未遵守承诺，目前公司已通过司法途径等方式追究李欣的相关法律责任。具体诉讼进展情况详 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十一、重大诉讼、仲裁事项</w:t>
            </w: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3"/>
        <w:keepNext/>
        <w:keepLines/>
        <w:widowControl w:val="0"/>
        <w:shd w:val="clear" w:color="auto" w:fill="auto"/>
        <w:bidi w:val="0"/>
        <w:spacing w:before="0" w:after="380" w:line="322"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、公司资产或项目存在盈利预测，且报告期仍处在盈利预测期间，公司就资产或项目达到原盈利预测及 其原因做出说明</w:t>
      </w:r>
      <w:bookmarkEnd w:id="275"/>
      <w:bookmarkEnd w:id="276"/>
      <w:bookmarkEnd w:id="278"/>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、控股股东及其关联方对上市公司的非经营性占用资金情况</w:t>
      </w:r>
      <w:bookmarkEnd w:id="279"/>
      <w:bookmarkEnd w:id="280"/>
      <w:bookmarkEnd w:id="28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427"/>
        <w:gridCol w:w="706"/>
        <w:gridCol w:w="677"/>
        <w:gridCol w:w="744"/>
        <w:gridCol w:w="850"/>
        <w:gridCol w:w="710"/>
        <w:gridCol w:w="566"/>
        <w:gridCol w:w="850"/>
        <w:gridCol w:w="850"/>
        <w:gridCol w:w="710"/>
        <w:gridCol w:w="706"/>
        <w:gridCol w:w="931"/>
      </w:tblGrid>
      <w:tr>
        <w:trPr>
          <w:trHeight w:val="126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占用 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新增占</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截至年报</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披露日余</w:t>
            </w:r>
          </w:p>
          <w:p>
            <w:pPr>
              <w:pStyle w:val="Style25"/>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预计偿</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 时间（月</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银江科技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非经营 性资金 占用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21,085.</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72,767.9</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银江科技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非经营 性资金 占用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14,685.</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35,771.</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79,543.8</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139"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当期新增大股东及其附 属企业非经营性资金占 用情况的原因、责任人追 究及董事会拟定采取措 施的情况说明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451"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公司控股股东银江科技集团有限公司（以下简称银江集团）存在通过资金往来、应付账款、 在建工程等形式占用公司资金的情况。其中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年度累计发生金额</w:t>
            </w:r>
            <w:r>
              <w:rPr>
                <w:rFonts w:ascii="Times New Roman" w:eastAsia="Times New Roman" w:hAnsi="Times New Roman" w:cs="Times New Roman"/>
                <w:color w:val="000000"/>
                <w:spacing w:val="0"/>
                <w:w w:val="100"/>
                <w:position w:val="0"/>
                <w:sz w:val="18"/>
                <w:szCs w:val="18"/>
              </w:rPr>
              <w:t>50,398.00</w:t>
            </w:r>
            <w:r>
              <w:rPr>
                <w:color w:val="000000"/>
                <w:spacing w:val="0"/>
                <w:w w:val="100"/>
                <w:position w:val="0"/>
              </w:rPr>
              <w:t>万元，累计偿还金 额</w:t>
            </w:r>
            <w:r>
              <w:rPr>
                <w:rFonts w:ascii="Times New Roman" w:eastAsia="Times New Roman" w:hAnsi="Times New Roman" w:cs="Times New Roman"/>
                <w:color w:val="000000"/>
                <w:spacing w:val="0"/>
                <w:w w:val="100"/>
                <w:position w:val="0"/>
                <w:sz w:val="18"/>
                <w:szCs w:val="18"/>
              </w:rPr>
              <w:t>45,398.00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年年末占用资金余额</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年度累计发生金额</w:t>
            </w:r>
            <w:r>
              <w:rPr>
                <w:rFonts w:ascii="Times New Roman" w:eastAsia="Times New Roman" w:hAnsi="Times New Roman" w:cs="Times New Roman"/>
                <w:color w:val="000000"/>
                <w:spacing w:val="0"/>
                <w:w w:val="100"/>
                <w:position w:val="0"/>
                <w:sz w:val="18"/>
                <w:szCs w:val="18"/>
              </w:rPr>
              <w:t xml:space="preserve">97,657.40 </w:t>
            </w:r>
            <w:r>
              <w:rPr>
                <w:color w:val="000000"/>
                <w:spacing w:val="0"/>
                <w:w w:val="100"/>
                <w:position w:val="0"/>
              </w:rPr>
              <w:t>万元，累计偿还金额</w:t>
            </w:r>
            <w:r>
              <w:rPr>
                <w:rFonts w:ascii="Times New Roman" w:eastAsia="Times New Roman" w:hAnsi="Times New Roman" w:cs="Times New Roman"/>
                <w:color w:val="000000"/>
                <w:spacing w:val="0"/>
                <w:w w:val="100"/>
                <w:position w:val="0"/>
                <w:sz w:val="18"/>
                <w:szCs w:val="18"/>
              </w:rPr>
              <w:t>84,335.00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年年末占用资金余额</w:t>
            </w:r>
            <w:r>
              <w:rPr>
                <w:rFonts w:ascii="Times New Roman" w:eastAsia="Times New Roman" w:hAnsi="Times New Roman" w:cs="Times New Roman"/>
                <w:color w:val="000000"/>
                <w:spacing w:val="0"/>
                <w:w w:val="100"/>
                <w:position w:val="0"/>
                <w:sz w:val="18"/>
                <w:szCs w:val="18"/>
              </w:rPr>
              <w:t>18,322.40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月累 计发生金额</w:t>
            </w:r>
            <w:r>
              <w:rPr>
                <w:rFonts w:ascii="Times New Roman" w:eastAsia="Times New Roman" w:hAnsi="Times New Roman" w:cs="Times New Roman"/>
                <w:color w:val="000000"/>
                <w:spacing w:val="0"/>
                <w:w w:val="100"/>
                <w:position w:val="0"/>
                <w:sz w:val="18"/>
                <w:szCs w:val="18"/>
              </w:rPr>
              <w:t>71,725.405</w:t>
            </w:r>
            <w:r>
              <w:rPr>
                <w:color w:val="000000"/>
                <w:spacing w:val="0"/>
                <w:w w:val="100"/>
                <w:position w:val="0"/>
              </w:rPr>
              <w:t>万元，累计偿还金额</w:t>
            </w:r>
            <w:r>
              <w:rPr>
                <w:rFonts w:ascii="Times New Roman" w:eastAsia="Times New Roman" w:hAnsi="Times New Roman" w:cs="Times New Roman"/>
                <w:color w:val="000000"/>
                <w:spacing w:val="0"/>
                <w:w w:val="100"/>
                <w:position w:val="0"/>
                <w:sz w:val="18"/>
                <w:szCs w:val="18"/>
              </w:rPr>
              <w:t>90,047.805</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日，本金均已 还清；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月偿还利息</w:t>
            </w:r>
            <w:r>
              <w:rPr>
                <w:rFonts w:ascii="Times New Roman" w:eastAsia="Times New Roman" w:hAnsi="Times New Roman" w:cs="Times New Roman"/>
                <w:color w:val="000000"/>
                <w:spacing w:val="0"/>
                <w:w w:val="100"/>
                <w:position w:val="0"/>
                <w:sz w:val="18"/>
                <w:szCs w:val="18"/>
              </w:rPr>
              <w:t>3,805.4404</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日利息均已还清；截止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日无资金占用。</w:t>
            </w:r>
          </w:p>
          <w:p>
            <w:pPr>
              <w:pStyle w:val="Style25"/>
              <w:keepNext w:val="0"/>
              <w:keepLines w:val="0"/>
              <w:widowControl w:val="0"/>
              <w:shd w:val="clear" w:color="auto" w:fill="auto"/>
              <w:tabs>
                <w:tab w:pos="432"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年期间，银江集团通过控制银江股份有限公司（简称本公司）参股的杭州银江智 慧产业创业投资合伙企业（有限合伙）（以下简称产业基金）向特定项目投资等方式，由被投资 方将资金转入银江集团及其关联方的方式占用产业基金资金的情况。按照本公司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年末对产 业基金的实缴出资比例计算，银江集团形成对本公司的间接资产占用本息合计</w:t>
            </w:r>
            <w:r>
              <w:rPr>
                <w:rFonts w:ascii="Times New Roman" w:eastAsia="Times New Roman" w:hAnsi="Times New Roman" w:cs="Times New Roman"/>
                <w:color w:val="000000"/>
                <w:spacing w:val="0"/>
                <w:w w:val="100"/>
                <w:position w:val="0"/>
                <w:sz w:val="18"/>
                <w:szCs w:val="18"/>
              </w:rPr>
              <w:t>21,461.73</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日，为消除对本公司的间接资金占用，产业基金已将银江集团归还的资金进 行了预分配，本公司累计已收到产业基金预分配的资金</w:t>
            </w:r>
            <w:r>
              <w:rPr>
                <w:rFonts w:ascii="Times New Roman" w:eastAsia="Times New Roman" w:hAnsi="Times New Roman" w:cs="Times New Roman"/>
                <w:color w:val="000000"/>
                <w:spacing w:val="0"/>
                <w:w w:val="100"/>
                <w:position w:val="0"/>
                <w:sz w:val="18"/>
                <w:szCs w:val="18"/>
              </w:rPr>
              <w:t>21,461.73</w:t>
            </w:r>
            <w:r>
              <w:rPr>
                <w:color w:val="000000"/>
                <w:spacing w:val="0"/>
                <w:w w:val="100"/>
                <w:position w:val="0"/>
              </w:rPr>
              <w:t>万元，银江集团通过产业基金 形成对本公司的间接资金占用已全部消除。</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后续公司将持续强化内部审计工作，密切关注和跟踪日常资金往来的情况。并进一步建立健全内 控制度，加强内控制度的执行，严格执行资金支付制度，提升规范运作水平，杜绝资金占用问题， 切实维护上市公司合法权益，提升上市公司质量。公司将加强对《证券法》的学习，严格执行《深 圳证券交易所上市公司规范运作指引》等法律法规及业务规则的要求，提高规范运作水平，杜绝 类似事项的发生，促进公司健康、稳定、可持续发展。</w:t>
            </w:r>
          </w:p>
        </w:tc>
      </w:tr>
      <w:tr>
        <w:trPr>
          <w:trHeight w:val="1339"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未能按计划清偿非经营 性资金占用的原因、责任 追究情况及董事会拟定 采取的措施说明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82"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 的专项审核意见的披露</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tbl>
      <w:tblPr>
        <w:tblOverlap w:val="never"/>
        <w:jc w:val="center"/>
        <w:tblLayout w:type="fixed"/>
      </w:tblPr>
      <w:tblGrid>
        <w:gridCol w:w="1992"/>
        <w:gridCol w:w="7594"/>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 的专项审核意见的披露 索引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中兴华会计师事务所（特殊普通合伙）出具的中兴华报字（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510015</w:t>
            </w:r>
            <w:r>
              <w:rPr>
                <w:color w:val="000000"/>
                <w:spacing w:val="0"/>
                <w:w w:val="100"/>
                <w:position w:val="0"/>
              </w:rPr>
              <w:t>号《关于银江股份 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年度财务报告非标准审计意见的专项说明》</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四</w:t>
      </w:r>
      <w:bookmarkEnd w:id="285"/>
      <w:r>
        <w:rPr>
          <w:color w:val="000000"/>
          <w:spacing w:val="0"/>
          <w:w w:val="100"/>
          <w:position w:val="0"/>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83"/>
      <w:bookmarkEnd w:id="284"/>
      <w:bookmarkEnd w:id="286"/>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鉴于银江股份公司已在财务报表附注以及控股股东资金占用情况的专项说明中对上述事项作出了充分披露，公司已经收回上 述关联方占用资金，该事项的影响已经消除，我们认为上述事项不会对银江股份公司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年度合并及母公司的经营成果和现金流量造成重大影响。我们将督促公司规范治理，杜绝该类事情的再次发生， 持续关注相关工作的开展，切实维护公司及全体股东的合法权益。</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具体内容见公司于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年带强调事项段的无保留意见审计报告涉及 事项的专项说明》。</w:t>
      </w:r>
    </w:p>
    <w:p>
      <w:pPr>
        <w:pStyle w:val="Style28"/>
        <w:keepNext/>
        <w:keepLines/>
        <w:widowControl w:val="0"/>
        <w:shd w:val="clear" w:color="auto" w:fill="auto"/>
        <w:tabs>
          <w:tab w:pos="480" w:val="left"/>
        </w:tabs>
        <w:bidi w:val="0"/>
        <w:spacing w:before="0" w:after="26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rPr>
        <w:t>五</w:t>
      </w:r>
      <w:bookmarkEnd w:id="28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7"/>
      <w:bookmarkEnd w:id="288"/>
      <w:bookmarkEnd w:id="290"/>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公司董事会、监事会和管理层认为该审计意见客观反映了公司的实际情况。</w:t>
      </w:r>
    </w:p>
    <w:p>
      <w:pPr>
        <w:pStyle w:val="Style28"/>
        <w:keepNext/>
        <w:keepLines/>
        <w:widowControl w:val="0"/>
        <w:shd w:val="clear" w:color="auto" w:fill="auto"/>
        <w:tabs>
          <w:tab w:pos="480" w:val="left"/>
        </w:tabs>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w:t>
        <w:tab/>
        <w:t>董事会关于报告期会计政策、会计估计变更或重大会计差错更正的说明</w:t>
      </w:r>
      <w:bookmarkEnd w:id="291"/>
      <w:bookmarkEnd w:id="292"/>
      <w:bookmarkEnd w:id="294"/>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295" w:val="left"/>
        </w:tabs>
        <w:bidi w:val="0"/>
        <w:spacing w:before="0" w:after="0" w:line="312" w:lineRule="exact"/>
        <w:ind w:left="0" w:right="0" w:firstLine="0"/>
        <w:jc w:val="both"/>
      </w:pPr>
      <w:bookmarkStart w:id="295" w:name="bookmark295"/>
      <w:r>
        <w:rPr>
          <w:color w:val="000000"/>
          <w:spacing w:val="0"/>
          <w:w w:val="100"/>
          <w:position w:val="0"/>
          <w:sz w:val="16"/>
          <w:szCs w:val="16"/>
        </w:rPr>
        <w:t>1</w:t>
      </w:r>
      <w:bookmarkEnd w:id="29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年第三次会议，审议通过了《关于会计政策变更的公告》。本次变更后，公 司将执行财会【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号的有关规定。除上述会计政策变更外，其他未变更部分，仍按照财政部前期 颁布的《企业会计准则一基本准则》和各项具体会计准则、企业会计准则应用指南、企业会计准则解释公告以及其他相关 规定执行。公司自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日开始执行新金融工具准则，并自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年第一季度起按新准则要求进行会计报表披露。根据新 旧准则衔接规定，企业无需重述前期可比数，比较财务报表列报的信息与新准则要求不一致的无须调整，本次会计政策变更 不影响公司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年度相关财务指标。</w:t>
      </w:r>
    </w:p>
    <w:p>
      <w:pPr>
        <w:pStyle w:val="Style30"/>
        <w:keepNext w:val="0"/>
        <w:keepLines w:val="0"/>
        <w:widowControl w:val="0"/>
        <w:shd w:val="clear" w:color="auto" w:fill="auto"/>
        <w:tabs>
          <w:tab w:pos="305" w:val="left"/>
        </w:tabs>
        <w:bidi w:val="0"/>
        <w:spacing w:before="0" w:after="140" w:line="312" w:lineRule="exact"/>
        <w:ind w:left="0" w:right="0" w:firstLine="0"/>
        <w:jc w:val="both"/>
      </w:pPr>
      <w:bookmarkStart w:id="296" w:name="bookmark296"/>
      <w:r>
        <w:rPr>
          <w:color w:val="000000"/>
          <w:spacing w:val="0"/>
          <w:w w:val="100"/>
          <w:position w:val="0"/>
          <w:sz w:val="16"/>
          <w:szCs w:val="16"/>
        </w:rPr>
        <w:t>2</w:t>
      </w:r>
      <w:bookmarkEnd w:id="296"/>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日披露了《关于深圳证券交易所关注函的回复公告》。经公司自查，公司在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年存在控 股股东非经营性资金占用情况，因此公司需对已披露的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年度报告中涉及的相关财务数据作为会计差错进行更 正。公司于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日召开第五届董事会第十次会议及第五届监事会第十次会议，审议通过了《关于前期会计差错更正 及追溯调整的议案》，根据《企业会计准则第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号一计政策、会计估计变更和差错更正》及中国证监会《公开发行证券 的公司信息披露编报规则第</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号——财务信息的更正及相关披露》的相关规定和要求，对公司前期会计差错进行更正。会计 差错更正事项对公司财务状况和经营成果的影响具体内容详见《关于前期会计差错更正及追溯调整的公告》（公告编号： </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p>
    <w:p>
      <w:pPr>
        <w:pStyle w:val="Style30"/>
        <w:keepNext w:val="0"/>
        <w:keepLines w:val="0"/>
        <w:widowControl w:val="0"/>
        <w:shd w:val="clear" w:color="auto" w:fill="auto"/>
        <w:tabs>
          <w:tab w:pos="295" w:val="left"/>
        </w:tabs>
        <w:bidi w:val="0"/>
        <w:spacing w:before="0" w:after="140" w:line="313" w:lineRule="exact"/>
        <w:ind w:left="0" w:right="0" w:firstLine="0"/>
        <w:jc w:val="both"/>
      </w:pPr>
      <w:bookmarkStart w:id="297" w:name="bookmark297"/>
      <w:r>
        <w:rPr>
          <w:rFonts w:ascii="Times New Roman" w:eastAsia="Times New Roman" w:hAnsi="Times New Roman" w:cs="Times New Roman"/>
          <w:color w:val="000000"/>
          <w:spacing w:val="0"/>
          <w:w w:val="100"/>
          <w:position w:val="0"/>
          <w:sz w:val="18"/>
          <w:szCs w:val="18"/>
        </w:rPr>
        <w:t>3</w:t>
      </w:r>
      <w:bookmarkEnd w:id="297"/>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日，公司第三期股票期权激励计划经深圳证券交易所、中国证券登记结算有限责任公司深圳分公司审核确</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认，银江股份公司已完成《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年股票期权激励计划（草案）》股票期权的授予登记工作，期权简称：银江</w:t>
      </w:r>
      <w:r>
        <w:rPr>
          <w:rFonts w:ascii="Times New Roman" w:eastAsia="Times New Roman" w:hAnsi="Times New Roman" w:cs="Times New Roman"/>
          <w:color w:val="000000"/>
          <w:spacing w:val="0"/>
          <w:w w:val="100"/>
          <w:position w:val="0"/>
          <w:sz w:val="18"/>
          <w:szCs w:val="18"/>
        </w:rPr>
        <w:t>JLC3</w:t>
      </w:r>
      <w:r>
        <w:rPr>
          <w:color w:val="000000"/>
          <w:spacing w:val="0"/>
          <w:w w:val="100"/>
          <w:position w:val="0"/>
        </w:rPr>
        <w:t>,</w:t>
      </w:r>
      <w:r>
        <w:rPr>
          <w:color w:val="000000"/>
          <w:spacing w:val="0"/>
          <w:w w:val="100"/>
          <w:position w:val="0"/>
        </w:rPr>
        <w:t>期权代 码：</w:t>
      </w:r>
      <w:r>
        <w:rPr>
          <w:rFonts w:ascii="Times New Roman" w:eastAsia="Times New Roman" w:hAnsi="Times New Roman" w:cs="Times New Roman"/>
          <w:color w:val="000000"/>
          <w:spacing w:val="0"/>
          <w:w w:val="100"/>
          <w:position w:val="0"/>
          <w:sz w:val="18"/>
          <w:szCs w:val="18"/>
        </w:rPr>
        <w:t>036262</w:t>
      </w:r>
      <w:r>
        <w:rPr>
          <w:color w:val="000000"/>
          <w:spacing w:val="0"/>
          <w:w w:val="100"/>
          <w:position w:val="0"/>
        </w:rPr>
        <w:t>。前期公司已根据股票期权公允价值模型，分别确认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年股权激励费用。其中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年因 未满足股票期权行权的业绩条件，第二个行权期、第三个行权期对应的所有激励对象均不可行权。根据《企业会计准则第</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号</w:t>
      </w:r>
      <w:r>
        <w:rPr>
          <w:color w:val="000000"/>
          <w:spacing w:val="0"/>
          <w:w w:val="100"/>
          <w:position w:val="0"/>
        </w:rPr>
        <w:t>一</w:t>
      </w:r>
      <w:r>
        <w:rPr>
          <w:color w:val="000000"/>
          <w:spacing w:val="0"/>
          <w:w w:val="100"/>
          <w:position w:val="0"/>
        </w:rPr>
        <w:t>股份支付》及应用指南、企业会计准则相关解释的规定，对公司前期会计差错进行更正。会计差错更正事项对公司财 务状况和经营成果的影响具体内容详见《关于前期会计差错更正及追溯调整的公告》（公告编号：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300" w:val="left"/>
        </w:tabs>
        <w:bidi w:val="0"/>
        <w:spacing w:before="0" w:after="360" w:line="314" w:lineRule="exact"/>
        <w:ind w:left="0" w:right="0" w:firstLine="0"/>
        <w:jc w:val="both"/>
      </w:pPr>
      <w:bookmarkStart w:id="298" w:name="bookmark298"/>
      <w:r>
        <w:rPr>
          <w:color w:val="000000"/>
          <w:spacing w:val="0"/>
          <w:w w:val="100"/>
          <w:position w:val="0"/>
          <w:sz w:val="16"/>
          <w:szCs w:val="16"/>
        </w:rPr>
        <w:t>4</w:t>
      </w:r>
      <w:bookmarkEnd w:id="298"/>
      <w:r>
        <w:rPr>
          <w:color w:val="000000"/>
          <w:spacing w:val="0"/>
          <w:w w:val="100"/>
          <w:position w:val="0"/>
        </w:rPr>
        <w:t>、</w:t>
        <w:tab/>
        <w:t>公司对杭州银江智慧产业创业投资合伙企业（有限合伙）（以下称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）的投资，公司对该项采用权益法进行后 </w:t>
      </w:r>
      <w:r>
        <w:rPr>
          <w:color w:val="000000"/>
          <w:spacing w:val="0"/>
          <w:w w:val="100"/>
          <w:position w:val="0"/>
        </w:rPr>
        <w:t>续计量。由于产业基金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年度自查发现前期财务报表存在重大差错，并按照企业会计准则的规定对前期报表进行追溯调整。 产业基金的前期差错更正金额较大，对公司前期确认的投资收益金额影响重大，该事项构成公司前期差错，应按照追溯调整 法进行会计处理。会计差错更正事项对公司财务状况和经营成果的影响具体内容详见《关于前期会计差错更正及追溯调整的 公告》（公告编号：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r>
        <w:rPr>
          <w:color w:val="000000"/>
          <w:spacing w:val="0"/>
          <w:w w:val="100"/>
          <w:position w:val="0"/>
        </w:rPr>
        <w:t>。</w:t>
      </w:r>
    </w:p>
    <w:p>
      <w:pPr>
        <w:pStyle w:val="Style28"/>
        <w:keepNext/>
        <w:keepLines/>
        <w:widowControl w:val="0"/>
        <w:shd w:val="clear" w:color="auto" w:fill="auto"/>
        <w:tabs>
          <w:tab w:pos="522"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与上年度财务报告相比，合并报表范围发生变化的情况说明</w:t>
      </w:r>
      <w:bookmarkEnd w:id="299"/>
      <w:bookmarkEnd w:id="300"/>
      <w:bookmarkEnd w:id="30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八</w:t>
      </w:r>
      <w:bookmarkEnd w:id="305"/>
      <w:r>
        <w:rPr>
          <w:color w:val="000000"/>
          <w:spacing w:val="0"/>
          <w:w w:val="100"/>
          <w:position w:val="0"/>
        </w:rPr>
        <w:t>、</w:t>
        <w:tab/>
        <w:t>聘任、解聘会计师事务所情况</w:t>
      </w:r>
      <w:bookmarkEnd w:id="303"/>
      <w:bookmarkEnd w:id="304"/>
      <w:bookmarkEnd w:id="306"/>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高敏建、庞玉文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是否在审计期间改聘会计师事务所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更换会计师事务所是否履行审批程序</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聘任、解聘会计师事务所情况说明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年度聘任的审计机构瑞华会计师事务所（特殊普通合伙）（以下简称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年为公司年度审计机构。 为进一步提高公司审计工作质量和保证公司本年度审计工作的严谨高效开展，结合公司审计需要和瑞华所目前情况，经公司 多方面综合评估及公司董事会的审慎研究，拟聘请中兴华会计师事务所（特殊普通合伙）（以下简称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中兴华所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年度审计机构。</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、年度报告披露后面临退市情况</w:t>
      </w:r>
      <w:bookmarkEnd w:id="307"/>
      <w:bookmarkEnd w:id="308"/>
      <w:bookmarkEnd w:id="310"/>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rPr>
        <w:t>十、破产重整相关事项</w:t>
      </w:r>
      <w:bookmarkEnd w:id="311"/>
      <w:bookmarkEnd w:id="312"/>
      <w:bookmarkEnd w:id="313"/>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rPr>
        <w:t>十一、重大诉讼、仲裁事项</w:t>
      </w:r>
      <w:bookmarkEnd w:id="314"/>
      <w:bookmarkEnd w:id="315"/>
      <w:bookmarkEnd w:id="31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58"/>
        <w:gridCol w:w="994"/>
        <w:gridCol w:w="850"/>
        <w:gridCol w:w="994"/>
        <w:gridCol w:w="1416"/>
        <w:gridCol w:w="1138"/>
        <w:gridCol w:w="850"/>
        <w:gridCol w:w="79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3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银江股份有限公司于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月向杭州市中级人民法院就李 欣、浙江浙商证券资产管理有限 公司确认合同无效纠纷提起民 事诉讼，杭州市中级人民法院已 受理并正式立案（案号：（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浙</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1538</w:t>
            </w:r>
            <w:r>
              <w:rPr>
                <w:color w:val="000000"/>
                <w:spacing w:val="0"/>
                <w:w w:val="100"/>
                <w:position w:val="0"/>
              </w:rPr>
              <w:t>号），银江股份 的主要诉讼请求为确认李欣、浙 江浙商证券资产管理有限公司 签订的浙商聚银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号银江股份股 票收益权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号专项资产管 理计划《股票质押合同》均无效。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24,417.48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本案已二审 终审完毕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本次诉讼判决不 会对公司本期利 润或期后利润造 成影响。公司将继 续通过司法手段 积极维护上市公 司及广大股东的 合法权益。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二审驳回上 诉，维持原判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《关于收 到民事判 决书的公 告》（公告 编号： </w:t>
            </w:r>
            <w:r>
              <w:rPr>
                <w:rFonts w:ascii="Times New Roman" w:eastAsia="Times New Roman" w:hAnsi="Times New Roman" w:cs="Times New Roman"/>
                <w:color w:val="000000"/>
                <w:spacing w:val="0"/>
                <w:w w:val="100"/>
                <w:position w:val="0"/>
                <w:sz w:val="18"/>
                <w:szCs w:val="18"/>
              </w:rPr>
              <w:t xml:space="preserve">2020-042 </w:t>
            </w: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rPr>
        <w:t>十二、处罚及整改情况</w:t>
      </w:r>
      <w:bookmarkEnd w:id="317"/>
      <w:bookmarkEnd w:id="318"/>
      <w:bookmarkEnd w:id="31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rPr>
        <w:t>十三、公司及其控股股东、实际控制人的诚信状况</w:t>
      </w:r>
      <w:bookmarkEnd w:id="320"/>
      <w:bookmarkEnd w:id="321"/>
      <w:bookmarkEnd w:id="32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rPr>
        <w:t>十四、公司股权激励计划、员工持股计划或其他员工激励措施的实施情况</w:t>
      </w:r>
      <w:bookmarkEnd w:id="323"/>
      <w:bookmarkEnd w:id="324"/>
      <w:bookmarkEnd w:id="32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rPr>
        <w:t>十五、重大关联交易</w:t>
      </w:r>
      <w:bookmarkEnd w:id="326"/>
      <w:bookmarkEnd w:id="327"/>
      <w:bookmarkEnd w:id="328"/>
    </w:p>
    <w:p>
      <w:pPr>
        <w:pStyle w:val="Style33"/>
        <w:keepNext/>
        <w:keepLines/>
        <w:widowControl w:val="0"/>
        <w:shd w:val="clear" w:color="auto" w:fill="auto"/>
        <w:tabs>
          <w:tab w:pos="368"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与日常经营相关的关联交易</w:t>
      </w:r>
      <w:bookmarkEnd w:id="329"/>
      <w:bookmarkEnd w:id="330"/>
      <w:bookmarkEnd w:id="33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年第二次临时股东大会审议通过了《关于调整产业基金规模暨关联交易的议案》调整产 业基金规模由原注册资本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亿元调整至</w:t>
      </w:r>
      <w:r>
        <w:rPr>
          <w:rFonts w:ascii="Times New Roman" w:eastAsia="Times New Roman" w:hAnsi="Times New Roman" w:cs="Times New Roman"/>
          <w:color w:val="000000"/>
          <w:spacing w:val="0"/>
          <w:w w:val="100"/>
          <w:position w:val="0"/>
          <w:sz w:val="18"/>
          <w:szCs w:val="18"/>
        </w:rPr>
        <w:t>7.7715</w:t>
      </w:r>
      <w:r>
        <w:rPr>
          <w:color w:val="000000"/>
          <w:spacing w:val="0"/>
          <w:w w:val="100"/>
          <w:position w:val="0"/>
        </w:rPr>
        <w:t>亿元，其中，银江资本调整其认缴出资至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.4075</w:t>
      </w:r>
      <w:r>
        <w:rPr>
          <w:color w:val="000000"/>
          <w:spacing w:val="0"/>
          <w:w w:val="100"/>
          <w:position w:val="0"/>
        </w:rPr>
        <w:t>亿元。</w:t>
      </w:r>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关于调整产业基金规模暨关联交易的公告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r>
        <w:rPr>
          <w:color w:val="000000"/>
          <w:spacing w:val="0"/>
          <w:w w:val="100"/>
          <w:position w:val="0"/>
        </w:rPr>
        <w:t>十六、重大合同及其履行情况</w:t>
      </w:r>
      <w:bookmarkEnd w:id="349"/>
      <w:bookmarkEnd w:id="350"/>
      <w:bookmarkEnd w:id="351"/>
    </w:p>
    <w:p>
      <w:pPr>
        <w:pStyle w:val="Style33"/>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、托管、承包、租赁事项情况</w:t>
      </w:r>
      <w:bookmarkEnd w:id="352"/>
      <w:bookmarkEnd w:id="353"/>
      <w:bookmarkEnd w:id="355"/>
    </w:p>
    <w:p>
      <w:pPr>
        <w:pStyle w:val="Style47"/>
        <w:keepNext/>
        <w:keepLines/>
        <w:widowControl w:val="0"/>
        <w:shd w:val="clear" w:color="auto" w:fill="auto"/>
        <w:tabs>
          <w:tab w:pos="493" w:val="left"/>
        </w:tabs>
        <w:bidi w:val="0"/>
        <w:spacing w:before="0" w:after="3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6"/>
      <w:bookmarkEnd w:id="357"/>
      <w:bookmarkEnd w:id="35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after="3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0"/>
      <w:bookmarkEnd w:id="361"/>
      <w:bookmarkEnd w:id="36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after="3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4"/>
      <w:bookmarkEnd w:id="365"/>
      <w:bookmarkEnd w:id="36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、重大担保</w:t>
      </w:r>
      <w:bookmarkEnd w:id="368"/>
      <w:bookmarkEnd w:id="369"/>
      <w:bookmarkEnd w:id="37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日常经营重大合同</w:t>
      </w:r>
      <w:bookmarkEnd w:id="372"/>
      <w:bookmarkEnd w:id="373"/>
      <w:bookmarkEnd w:id="375"/>
    </w:p>
    <w:p>
      <w:pPr>
        <w:pStyle w:val="Style30"/>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委托他人进行现金资产管理情况</w:t>
      </w:r>
      <w:bookmarkEnd w:id="376"/>
      <w:bookmarkEnd w:id="377"/>
      <w:bookmarkEnd w:id="379"/>
    </w:p>
    <w:p>
      <w:pPr>
        <w:pStyle w:val="Style47"/>
        <w:keepNext/>
        <w:keepLines/>
        <w:widowControl w:val="0"/>
        <w:numPr>
          <w:ilvl w:val="0"/>
          <w:numId w:val="5"/>
        </w:numPr>
        <w:shd w:val="clear" w:color="auto" w:fill="auto"/>
        <w:tabs>
          <w:tab w:pos="493"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委托理财情况</w:t>
      </w:r>
      <w:bookmarkEnd w:id="380"/>
      <w:bookmarkEnd w:id="381"/>
      <w:bookmarkEnd w:id="383"/>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公司报告期不存在委托理财。</w:t>
      </w:r>
    </w:p>
    <w:p>
      <w:pPr>
        <w:pStyle w:val="Style47"/>
        <w:keepNext/>
        <w:keepLines/>
        <w:widowControl w:val="0"/>
        <w:numPr>
          <w:ilvl w:val="0"/>
          <w:numId w:val="5"/>
        </w:numPr>
        <w:shd w:val="clear" w:color="auto" w:fill="auto"/>
        <w:tabs>
          <w:tab w:pos="493"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bookmarkEnd w:id="386"/>
      <w:r>
        <w:rPr>
          <w:color w:val="000000"/>
          <w:spacing w:val="0"/>
          <w:w w:val="100"/>
          <w:position w:val="0"/>
        </w:rPr>
        <w:t>委托贷款情况</w:t>
      </w:r>
      <w:bookmarkEnd w:id="384"/>
      <w:bookmarkEnd w:id="385"/>
      <w:bookmarkEnd w:id="387"/>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w:t>
        <w:tab/>
        <w:t>其他重大合同</w:t>
      </w:r>
      <w:bookmarkEnd w:id="388"/>
      <w:bookmarkEnd w:id="389"/>
      <w:bookmarkEnd w:id="391"/>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r>
        <w:rPr>
          <w:color w:val="000000"/>
          <w:spacing w:val="0"/>
          <w:w w:val="100"/>
          <w:position w:val="0"/>
        </w:rPr>
        <w:t>十七、社会责任情况</w:t>
      </w:r>
      <w:bookmarkEnd w:id="392"/>
      <w:bookmarkEnd w:id="393"/>
      <w:bookmarkEnd w:id="394"/>
    </w:p>
    <w:p>
      <w:pPr>
        <w:pStyle w:val="Style33"/>
        <w:keepNext/>
        <w:keepLines/>
        <w:widowControl w:val="0"/>
        <w:shd w:val="clear" w:color="auto" w:fill="auto"/>
        <w:tabs>
          <w:tab w:pos="368" w:val="left"/>
        </w:tabs>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履行社会责任情况</w:t>
      </w:r>
      <w:bookmarkEnd w:id="395"/>
      <w:bookmarkEnd w:id="396"/>
      <w:bookmarkEnd w:id="398"/>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公司积极履行企业应尽的义务，承担社会责任。公司在不断为股东创造价值的同时，也积极承担对员工、客户、社会等其他 利益相关者的责任。</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求，及时、准确、真实、完整地进行信息披露，通过投资者电话、电子邮箱、投资者关系互动平台和实地调研等多种方式与 投资者进行沟通交流，提高了公司的透明度和诚信度。公司非常重视对投资者的合理回报，制定了相对稳定的利润分配政策 和分红方案以回报股东。公司一直坚持以人为本的人才理念，实施企业人才战略，严格遵守《劳动法》、《劳动合同法》等 相关法律法规，尊重和维护员工的个人权益，通过优化员工工作环境、定期发放节日补助等方式切实关注员工健康、安全和 满意度；以银江大学为平台，开展员工知识技能的理论培训及实践操作技能培训，使员工专业素质得到切实的提高和发展， 维护员工合法权益。</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公司始终将依法经营作为公司运行的基本原则，注重企业经济效益与社会效益的同步共赢。公司严格遵守国家法律、法规、 政策的规定，始终依法经营，积极纳税，发展就业岗位，支持地方经济的发展。</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履行精准扶贫社会责任情况</w:t>
      </w:r>
      <w:bookmarkEnd w:id="399"/>
      <w:bookmarkEnd w:id="400"/>
      <w:bookmarkEnd w:id="402"/>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环境保护相关的情况</w:t>
      </w:r>
      <w:bookmarkEnd w:id="403"/>
      <w:bookmarkEnd w:id="404"/>
      <w:bookmarkEnd w:id="406"/>
    </w:p>
    <w:p>
      <w:pPr>
        <w:pStyle w:val="Style30"/>
        <w:keepNext w:val="0"/>
        <w:keepLines w:val="0"/>
        <w:widowControl w:val="0"/>
        <w:shd w:val="clear" w:color="auto" w:fill="auto"/>
        <w:bidi w:val="0"/>
        <w:spacing w:before="0" w:after="260" w:line="313"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360" w:line="314" w:lineRule="exact"/>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8"/>
        <w:keepNext/>
        <w:keepLines/>
        <w:widowControl w:val="0"/>
        <w:shd w:val="clear" w:color="auto" w:fill="auto"/>
        <w:bidi w:val="0"/>
        <w:spacing w:before="0" w:after="260" w:line="240" w:lineRule="auto"/>
        <w:ind w:left="0" w:right="0" w:firstLine="0"/>
        <w:jc w:val="both"/>
      </w:pPr>
      <w:bookmarkStart w:id="407" w:name="bookmark407"/>
      <w:bookmarkStart w:id="408" w:name="bookmark408"/>
      <w:bookmarkStart w:id="409" w:name="bookmark409"/>
      <w:r>
        <w:rPr>
          <w:color w:val="000000"/>
          <w:spacing w:val="0"/>
          <w:w w:val="100"/>
          <w:position w:val="0"/>
        </w:rPr>
        <w:t>十八、其他重大事项的说明</w:t>
      </w:r>
      <w:bookmarkEnd w:id="407"/>
      <w:bookmarkEnd w:id="408"/>
      <w:bookmarkEnd w:id="409"/>
    </w:p>
    <w:p>
      <w:pPr>
        <w:pStyle w:val="Style30"/>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0" w:name="bookmark410"/>
      <w:r>
        <w:rPr>
          <w:color w:val="000000"/>
          <w:spacing w:val="0"/>
          <w:w w:val="100"/>
          <w:position w:val="0"/>
        </w:rPr>
        <w:t>（</w:t>
      </w:r>
      <w:bookmarkEnd w:id="410"/>
      <w:r>
        <w:rPr>
          <w:color w:val="000000"/>
          <w:spacing w:val="0"/>
          <w:w w:val="100"/>
          <w:position w:val="0"/>
        </w:rPr>
        <w:t>一）</w:t>
        <w:tab/>
        <w:t>关于沈阳市区域人口健康信息平台</w:t>
      </w:r>
      <w:r>
        <w:rPr>
          <w:color w:val="000000"/>
          <w:spacing w:val="0"/>
          <w:w w:val="100"/>
          <w:position w:val="0"/>
          <w:sz w:val="16"/>
          <w:szCs w:val="16"/>
        </w:rPr>
        <w:t>PPP</w:t>
      </w:r>
      <w:r>
        <w:rPr>
          <w:color w:val="000000"/>
          <w:spacing w:val="0"/>
          <w:w w:val="100"/>
          <w:position w:val="0"/>
        </w:rPr>
        <w:t>项目实施进展情况</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14</w:t>
      </w:r>
      <w:r>
        <w:rPr>
          <w:color w:val="000000"/>
          <w:spacing w:val="0"/>
          <w:w w:val="100"/>
          <w:position w:val="0"/>
        </w:rPr>
        <w:t>日在巨潮资讯网发布了《关于收到</w:t>
      </w:r>
      <w:r>
        <w:rPr>
          <w:color w:val="000000"/>
          <w:spacing w:val="0"/>
          <w:w w:val="100"/>
          <w:position w:val="0"/>
          <w:sz w:val="16"/>
          <w:szCs w:val="16"/>
        </w:rPr>
        <w:t>PPP</w:t>
      </w:r>
      <w:r>
        <w:rPr>
          <w:color w:val="000000"/>
          <w:spacing w:val="0"/>
          <w:w w:val="100"/>
          <w:position w:val="0"/>
        </w:rPr>
        <w:t>项目成交通知书的公告》（公告编号：</w:t>
      </w:r>
      <w:r>
        <w:rPr>
          <w:color w:val="000000"/>
          <w:spacing w:val="0"/>
          <w:w w:val="100"/>
          <w:position w:val="0"/>
          <w:sz w:val="16"/>
          <w:szCs w:val="16"/>
        </w:rPr>
        <w:t>2017-011）</w:t>
      </w:r>
      <w:r>
        <w:rPr>
          <w:color w:val="000000"/>
          <w:spacing w:val="0"/>
          <w:w w:val="100"/>
          <w:position w:val="0"/>
          <w:sz w:val="16"/>
          <w:szCs w:val="16"/>
        </w:rPr>
        <w:t>，</w:t>
      </w:r>
      <w:r>
        <w:rPr>
          <w:color w:val="000000"/>
          <w:spacing w:val="0"/>
          <w:w w:val="100"/>
          <w:position w:val="0"/>
        </w:rPr>
        <w:t>公司与中国联 合网络通信有限公司沈阳市分公司被确定为沈阳市区域人口健康信息平台</w:t>
      </w:r>
      <w:r>
        <w:rPr>
          <w:color w:val="000000"/>
          <w:spacing w:val="0"/>
          <w:w w:val="100"/>
          <w:position w:val="0"/>
          <w:sz w:val="16"/>
          <w:szCs w:val="16"/>
        </w:rPr>
        <w:t>PPP</w:t>
      </w:r>
      <w:r>
        <w:rPr>
          <w:color w:val="000000"/>
          <w:spacing w:val="0"/>
          <w:w w:val="100"/>
          <w:position w:val="0"/>
        </w:rPr>
        <w:t>项目（项目编号</w:t>
      </w:r>
      <w:r>
        <w:rPr>
          <w:color w:val="000000"/>
          <w:spacing w:val="0"/>
          <w:w w:val="100"/>
          <w:position w:val="0"/>
          <w:sz w:val="16"/>
          <w:szCs w:val="16"/>
        </w:rPr>
        <w:t>CG16-00-1285</w:t>
      </w:r>
      <w:r>
        <w:rPr>
          <w:color w:val="000000"/>
          <w:spacing w:val="0"/>
          <w:w w:val="100"/>
          <w:position w:val="0"/>
          <w:sz w:val="16"/>
          <w:szCs w:val="16"/>
        </w:rPr>
        <w:t>）</w:t>
      </w:r>
      <w:r>
        <w:rPr>
          <w:color w:val="000000"/>
          <w:spacing w:val="0"/>
          <w:w w:val="100"/>
          <w:position w:val="0"/>
        </w:rPr>
        <w:t>的成交社会资 本，其中公司为该项目的联合体牵头方，中国联合网络通信有限公司沈阳市分公司为联合体成员。</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29</w:t>
      </w:r>
      <w:r>
        <w:rPr>
          <w:color w:val="000000"/>
          <w:spacing w:val="0"/>
          <w:w w:val="100"/>
          <w:position w:val="0"/>
        </w:rPr>
        <w:t>日，采购人 沈阳市卫生和计划生育委员会与上述联合体就沈阳市区域人口健康信息平台</w:t>
      </w:r>
      <w:r>
        <w:rPr>
          <w:color w:val="000000"/>
          <w:spacing w:val="0"/>
          <w:w w:val="100"/>
          <w:position w:val="0"/>
          <w:sz w:val="16"/>
          <w:szCs w:val="16"/>
        </w:rPr>
        <w:t>PPP</w:t>
      </w:r>
      <w:r>
        <w:rPr>
          <w:color w:val="000000"/>
          <w:spacing w:val="0"/>
          <w:w w:val="100"/>
          <w:position w:val="0"/>
        </w:rPr>
        <w:t>项目签署了《政府采购合同》，具体内容详 见公司于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日在巨潮资讯网披露的《关于签署</w:t>
      </w:r>
      <w:r>
        <w:rPr>
          <w:color w:val="000000"/>
          <w:spacing w:val="0"/>
          <w:w w:val="100"/>
          <w:position w:val="0"/>
          <w:sz w:val="16"/>
          <w:szCs w:val="16"/>
        </w:rPr>
        <w:t>PPP</w:t>
      </w:r>
      <w:r>
        <w:rPr>
          <w:color w:val="000000"/>
          <w:spacing w:val="0"/>
          <w:w w:val="100"/>
          <w:position w:val="0"/>
        </w:rPr>
        <w:t>项目合同的公告》（公告编号：</w:t>
      </w:r>
      <w:r>
        <w:rPr>
          <w:color w:val="000000"/>
          <w:spacing w:val="0"/>
          <w:w w:val="100"/>
          <w:position w:val="0"/>
          <w:sz w:val="16"/>
          <w:szCs w:val="16"/>
        </w:rPr>
        <w:t>2017-065）</w:t>
      </w:r>
      <w:r>
        <w:rPr>
          <w:color w:val="000000"/>
          <w:spacing w:val="0"/>
          <w:w w:val="100"/>
          <w:position w:val="0"/>
        </w:rPr>
        <w:t>。</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日项 目公司沈阳智享大健康信息科技有限公司注册成立。该平台于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月正式投入使用，目前进入第一年运营期。</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1" w:name="bookmark411"/>
      <w:r>
        <w:rPr>
          <w:color w:val="000000"/>
          <w:spacing w:val="0"/>
          <w:w w:val="100"/>
          <w:position w:val="0"/>
        </w:rPr>
        <w:t>（</w:t>
      </w:r>
      <w:bookmarkEnd w:id="411"/>
      <w:r>
        <w:rPr>
          <w:color w:val="000000"/>
          <w:spacing w:val="0"/>
          <w:w w:val="100"/>
          <w:position w:val="0"/>
        </w:rPr>
        <w:t>二）</w:t>
        <w:tab/>
        <w:t>关于发起设立大爱人寿保险股份有限公司（筹）的进展情况</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公司分别于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日和</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日召开了第三届董事会第二十一次会议和</w:t>
      </w:r>
      <w:r>
        <w:rPr>
          <w:color w:val="000000"/>
          <w:spacing w:val="0"/>
          <w:w w:val="100"/>
          <w:position w:val="0"/>
          <w:sz w:val="16"/>
          <w:szCs w:val="16"/>
        </w:rPr>
        <w:t>2015</w:t>
      </w:r>
      <w:r>
        <w:rPr>
          <w:color w:val="000000"/>
          <w:spacing w:val="0"/>
          <w:w w:val="100"/>
          <w:position w:val="0"/>
        </w:rPr>
        <w:t>年度股东大会，审议通过了《关于参 与发起设立大爱人寿保险股份有限公司的议案》，同意出资不超过</w:t>
      </w:r>
      <w:r>
        <w:rPr>
          <w:color w:val="000000"/>
          <w:spacing w:val="0"/>
          <w:w w:val="100"/>
          <w:position w:val="0"/>
          <w:sz w:val="16"/>
          <w:szCs w:val="16"/>
        </w:rPr>
        <w:t>4</w:t>
      </w:r>
      <w:r>
        <w:rPr>
          <w:color w:val="000000"/>
          <w:spacing w:val="0"/>
          <w:w w:val="100"/>
          <w:position w:val="0"/>
        </w:rPr>
        <w:t>亿元（含</w:t>
      </w:r>
      <w:r>
        <w:rPr>
          <w:color w:val="000000"/>
          <w:spacing w:val="0"/>
          <w:w w:val="100"/>
          <w:position w:val="0"/>
          <w:sz w:val="16"/>
          <w:szCs w:val="16"/>
        </w:rPr>
        <w:t>4</w:t>
      </w:r>
      <w:r>
        <w:rPr>
          <w:color w:val="000000"/>
          <w:spacing w:val="0"/>
          <w:w w:val="100"/>
          <w:position w:val="0"/>
        </w:rPr>
        <w:t>亿元）参与发起设立大爱人寿保险股份有限公司， 占其注册资本的</w:t>
      </w:r>
      <w:r>
        <w:rPr>
          <w:color w:val="000000"/>
          <w:spacing w:val="0"/>
          <w:w w:val="100"/>
          <w:position w:val="0"/>
          <w:sz w:val="16"/>
          <w:szCs w:val="16"/>
        </w:rPr>
        <w:t>20%</w:t>
      </w:r>
      <w:r>
        <w:rPr>
          <w:color w:val="000000"/>
          <w:spacing w:val="0"/>
          <w:w w:val="100"/>
          <w:position w:val="0"/>
        </w:rPr>
        <w:t>。具体内容详见公司</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日于巨潮资讯网发布的《关于参与发起设立大爱人寿保险股份有限公司 的公告》（公告编号：</w:t>
      </w:r>
      <w:r>
        <w:rPr>
          <w:color w:val="000000"/>
          <w:spacing w:val="0"/>
          <w:w w:val="100"/>
          <w:position w:val="0"/>
          <w:sz w:val="16"/>
          <w:szCs w:val="16"/>
        </w:rPr>
        <w:t>2015-140）</w:t>
      </w:r>
      <w:r>
        <w:rPr>
          <w:color w:val="000000"/>
          <w:spacing w:val="0"/>
          <w:w w:val="100"/>
          <w:position w:val="0"/>
        </w:rPr>
        <w:t>。公司于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22</w:t>
      </w:r>
      <w:r>
        <w:rPr>
          <w:color w:val="000000"/>
          <w:spacing w:val="0"/>
          <w:w w:val="100"/>
          <w:position w:val="0"/>
        </w:rPr>
        <w:t>日召开第五届董事会第三次会议审议通过了《关于终止参与发起设 立大爱人寿保险股份有限公司的议案》，决定终止对大爱人寿的投资事宜。具体内容详见公司</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24</w:t>
      </w:r>
      <w:r>
        <w:rPr>
          <w:color w:val="000000"/>
          <w:spacing w:val="0"/>
          <w:w w:val="100"/>
          <w:position w:val="0"/>
        </w:rPr>
        <w:t>日于巨潮资讯网 发布的《关于终止参与发起设立大爱人寿保险股份有限公司的公告》（公告编号：</w:t>
      </w:r>
      <w:r>
        <w:rPr>
          <w:color w:val="000000"/>
          <w:spacing w:val="0"/>
          <w:w w:val="100"/>
          <w:position w:val="0"/>
          <w:sz w:val="16"/>
          <w:szCs w:val="16"/>
        </w:rPr>
        <w:t>2020-026）</w:t>
      </w:r>
      <w:r>
        <w:rPr>
          <w:color w:val="000000"/>
          <w:spacing w:val="0"/>
          <w:w w:val="100"/>
          <w:position w:val="0"/>
        </w:rPr>
        <w:t>。</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2" w:name="bookmark412"/>
      <w:r>
        <w:rPr>
          <w:color w:val="000000"/>
          <w:spacing w:val="0"/>
          <w:w w:val="100"/>
          <w:position w:val="0"/>
        </w:rPr>
        <w:t>（</w:t>
      </w:r>
      <w:bookmarkEnd w:id="412"/>
      <w:r>
        <w:rPr>
          <w:color w:val="000000"/>
          <w:spacing w:val="0"/>
          <w:w w:val="100"/>
          <w:position w:val="0"/>
        </w:rPr>
        <w:t>三）</w:t>
        <w:tab/>
        <w:t>关于云南省华坪至丽江高速公路</w:t>
      </w:r>
      <w:r>
        <w:rPr>
          <w:color w:val="000000"/>
          <w:spacing w:val="0"/>
          <w:w w:val="100"/>
          <w:position w:val="0"/>
          <w:sz w:val="16"/>
          <w:szCs w:val="16"/>
        </w:rPr>
        <w:t>K0+000-K89+510</w:t>
      </w:r>
      <w:r>
        <w:rPr>
          <w:color w:val="000000"/>
          <w:spacing w:val="0"/>
          <w:w w:val="100"/>
          <w:position w:val="0"/>
        </w:rPr>
        <w:t>段机电工程施工</w:t>
      </w:r>
      <w:r>
        <w:rPr>
          <w:color w:val="000000"/>
          <w:spacing w:val="0"/>
          <w:w w:val="100"/>
          <w:position w:val="0"/>
          <w:sz w:val="16"/>
          <w:szCs w:val="16"/>
        </w:rPr>
        <w:t>DJ2</w:t>
      </w:r>
      <w:r>
        <w:rPr>
          <w:color w:val="000000"/>
          <w:spacing w:val="0"/>
          <w:w w:val="100"/>
          <w:position w:val="0"/>
        </w:rPr>
        <w:t>标段项目实施进展情况</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23</w:t>
      </w:r>
      <w:r>
        <w:rPr>
          <w:color w:val="000000"/>
          <w:spacing w:val="0"/>
          <w:w w:val="100"/>
          <w:position w:val="0"/>
        </w:rPr>
        <w:t>日在巨潮资讯网发布了《关于收到〈中标通知书＞的公告》（公告编号：</w:t>
      </w:r>
      <w:r>
        <w:rPr>
          <w:color w:val="000000"/>
          <w:spacing w:val="0"/>
          <w:w w:val="100"/>
          <w:position w:val="0"/>
          <w:sz w:val="16"/>
          <w:szCs w:val="16"/>
        </w:rPr>
        <w:t>2018-058）</w:t>
      </w:r>
      <w:r>
        <w:rPr>
          <w:color w:val="000000"/>
          <w:spacing w:val="0"/>
          <w:w w:val="100"/>
          <w:position w:val="0"/>
        </w:rPr>
        <w:t>公司中标''云南省华坪 至丽江高速公路</w:t>
      </w:r>
      <w:r>
        <w:rPr>
          <w:color w:val="000000"/>
          <w:spacing w:val="0"/>
          <w:w w:val="100"/>
          <w:position w:val="0"/>
          <w:sz w:val="16"/>
          <w:szCs w:val="16"/>
        </w:rPr>
        <w:t>K0+000-K89+510</w:t>
      </w:r>
      <w:r>
        <w:rPr>
          <w:color w:val="000000"/>
          <w:spacing w:val="0"/>
          <w:w w:val="100"/>
          <w:position w:val="0"/>
        </w:rPr>
        <w:t>段机电工程施工</w:t>
      </w:r>
      <w:r>
        <w:rPr>
          <w:color w:val="000000"/>
          <w:spacing w:val="0"/>
          <w:w w:val="100"/>
          <w:position w:val="0"/>
          <w:sz w:val="16"/>
          <w:szCs w:val="16"/>
        </w:rPr>
        <w:t>DJ2</w:t>
      </w:r>
      <w:r>
        <w:rPr>
          <w:color w:val="000000"/>
          <w:spacing w:val="0"/>
          <w:w w:val="100"/>
          <w:position w:val="0"/>
        </w:rPr>
        <w:t>标段”项目。</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6</w:t>
      </w:r>
      <w:r>
        <w:rPr>
          <w:color w:val="000000"/>
          <w:spacing w:val="0"/>
          <w:w w:val="100"/>
          <w:position w:val="0"/>
        </w:rPr>
        <w:t>月，公司与中国建筑股份有限公司云南华丽高速公 路建设指挥部签订了《云南省华坪至丽江高速公路</w:t>
      </w:r>
      <w:r>
        <w:rPr>
          <w:color w:val="000000"/>
          <w:spacing w:val="0"/>
          <w:w w:val="100"/>
          <w:position w:val="0"/>
          <w:sz w:val="16"/>
          <w:szCs w:val="16"/>
        </w:rPr>
        <w:t>K0+000-K89+510</w:t>
      </w:r>
      <w:r>
        <w:rPr>
          <w:color w:val="000000"/>
          <w:spacing w:val="0"/>
          <w:w w:val="100"/>
          <w:position w:val="0"/>
        </w:rPr>
        <w:t>段机电工程施工</w:t>
      </w:r>
      <w:r>
        <w:rPr>
          <w:color w:val="000000"/>
          <w:spacing w:val="0"/>
          <w:w w:val="100"/>
          <w:position w:val="0"/>
          <w:sz w:val="16"/>
          <w:szCs w:val="16"/>
        </w:rPr>
        <w:t>DJ2</w:t>
      </w:r>
      <w:r>
        <w:rPr>
          <w:color w:val="000000"/>
          <w:spacing w:val="0"/>
          <w:w w:val="100"/>
          <w:position w:val="0"/>
        </w:rPr>
        <w:t xml:space="preserve">标段项目合同》，合同金额为人民币 </w:t>
      </w:r>
      <w:r>
        <w:rPr>
          <w:color w:val="000000"/>
          <w:spacing w:val="0"/>
          <w:w w:val="100"/>
          <w:position w:val="0"/>
          <w:sz w:val="16"/>
          <w:szCs w:val="16"/>
        </w:rPr>
        <w:t>27,580</w:t>
      </w:r>
      <w:r>
        <w:rPr>
          <w:color w:val="000000"/>
          <w:spacing w:val="0"/>
          <w:w w:val="100"/>
          <w:position w:val="0"/>
        </w:rPr>
        <w:t>万元。目前，该项目处于深度实施阶段。</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3" w:name="bookmark413"/>
      <w:r>
        <w:rPr>
          <w:color w:val="000000"/>
          <w:spacing w:val="0"/>
          <w:w w:val="100"/>
          <w:position w:val="0"/>
          <w:sz w:val="16"/>
          <w:szCs w:val="16"/>
        </w:rPr>
        <w:t>（</w:t>
      </w:r>
      <w:bookmarkEnd w:id="413"/>
      <w:r>
        <w:rPr>
          <w:color w:val="000000"/>
          <w:spacing w:val="0"/>
          <w:w w:val="100"/>
          <w:position w:val="0"/>
        </w:rPr>
        <w:t>四）</w:t>
        <w:tab/>
        <w:t>新建玉溪至磨憨铁路站房及生产生活房屋等相关工程</w:t>
      </w:r>
      <w:r>
        <w:rPr>
          <w:color w:val="000000"/>
          <w:spacing w:val="0"/>
          <w:w w:val="100"/>
          <w:position w:val="0"/>
          <w:sz w:val="16"/>
          <w:szCs w:val="16"/>
        </w:rPr>
        <w:t>YMZF1B</w:t>
      </w:r>
      <w:r>
        <w:rPr>
          <w:color w:val="000000"/>
          <w:spacing w:val="0"/>
          <w:w w:val="100"/>
          <w:position w:val="0"/>
        </w:rPr>
        <w:t>标段项目进展情况</w:t>
      </w:r>
    </w:p>
    <w:p>
      <w:pPr>
        <w:pStyle w:val="Style30"/>
        <w:keepNext w:val="0"/>
        <w:keepLines w:val="0"/>
        <w:widowControl w:val="0"/>
        <w:shd w:val="clear" w:color="auto" w:fill="auto"/>
        <w:tabs>
          <w:tab w:pos="2084" w:val="left"/>
        </w:tabs>
        <w:bidi w:val="0"/>
        <w:spacing w:before="0" w:after="0" w:line="317" w:lineRule="exact"/>
        <w:ind w:left="0" w:right="0" w:firstLine="0"/>
        <w:jc w:val="both"/>
      </w:pPr>
      <w:r>
        <w:rPr>
          <w:color w:val="000000"/>
          <w:spacing w:val="0"/>
          <w:w w:val="100"/>
          <w:position w:val="0"/>
        </w:rPr>
        <w:t>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日在巨潮资讯网发布了《关于收到〈中标通知书＞的公告》（公告编号：</w:t>
      </w:r>
      <w:r>
        <w:rPr>
          <w:color w:val="000000"/>
          <w:spacing w:val="0"/>
          <w:w w:val="100"/>
          <w:position w:val="0"/>
          <w:sz w:val="16"/>
          <w:szCs w:val="16"/>
        </w:rPr>
        <w:t>2020-029）</w:t>
      </w:r>
      <w:r>
        <w:rPr>
          <w:color w:val="000000"/>
          <w:spacing w:val="0"/>
          <w:w w:val="100"/>
          <w:position w:val="0"/>
        </w:rPr>
        <w:t>，公司与中铁建工集 团有限公司联合体中标了</w:t>
        <w:tab/>
        <w:t>“新建玉溪至磨憨铁路站房及生产生活房屋等相关工程</w:t>
      </w:r>
      <w:r>
        <w:rPr>
          <w:color w:val="000000"/>
          <w:spacing w:val="0"/>
          <w:w w:val="100"/>
          <w:position w:val="0"/>
          <w:sz w:val="16"/>
          <w:szCs w:val="16"/>
        </w:rPr>
        <w:t>YMZF1B</w:t>
      </w:r>
      <w:r>
        <w:rPr>
          <w:color w:val="000000"/>
          <w:spacing w:val="0"/>
          <w:w w:val="100"/>
          <w:position w:val="0"/>
        </w:rPr>
        <w:t>标段”项目。</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w:t>
      </w:r>
    </w:p>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与中国铁路昆明局集团有限公司滇南铁路建设指挥部签订了《新建玉溪至磨憨铁路站房及生产生活房屋等相关工程</w:t>
      </w:r>
      <w:r>
        <w:rPr>
          <w:color w:val="000000"/>
          <w:spacing w:val="0"/>
          <w:w w:val="100"/>
          <w:position w:val="0"/>
          <w:sz w:val="16"/>
          <w:szCs w:val="16"/>
        </w:rPr>
        <w:t xml:space="preserve">Y MZF1B </w:t>
      </w:r>
      <w:r>
        <w:rPr>
          <w:color w:val="000000"/>
          <w:spacing w:val="0"/>
          <w:w w:val="100"/>
          <w:position w:val="0"/>
        </w:rPr>
        <w:t>标段项目合同》，合同金额为人民币</w:t>
      </w:r>
      <w:r>
        <w:rPr>
          <w:color w:val="000000"/>
          <w:spacing w:val="0"/>
          <w:w w:val="100"/>
          <w:position w:val="0"/>
          <w:sz w:val="16"/>
          <w:szCs w:val="16"/>
        </w:rPr>
        <w:t>53, 208, 857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目前，该项目处于深度实施阶段。</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4" w:name="bookmark414"/>
      <w:r>
        <w:rPr>
          <w:color w:val="000000"/>
          <w:spacing w:val="0"/>
          <w:w w:val="100"/>
          <w:position w:val="0"/>
        </w:rPr>
        <w:t>（</w:t>
      </w:r>
      <w:bookmarkEnd w:id="414"/>
      <w:r>
        <w:rPr>
          <w:color w:val="000000"/>
          <w:spacing w:val="0"/>
          <w:w w:val="100"/>
          <w:position w:val="0"/>
        </w:rPr>
        <w:t>五）</w:t>
        <w:tab/>
        <w:t>关于公开发行可转换公司债券的进展情况</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9</w:t>
      </w:r>
      <w:r>
        <w:rPr>
          <w:color w:val="000000"/>
          <w:spacing w:val="0"/>
          <w:w w:val="100"/>
          <w:position w:val="0"/>
        </w:rPr>
        <w:t>日召开第四届董事会第二十六次会议和第四届监事会第二十二次会议，于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w:t>
      </w:r>
      <w:r>
        <w:rPr>
          <w:color w:val="000000"/>
          <w:spacing w:val="0"/>
          <w:w w:val="100"/>
          <w:position w:val="0"/>
          <w:sz w:val="16"/>
          <w:szCs w:val="16"/>
        </w:rPr>
        <w:t>2019</w:t>
      </w:r>
      <w:r>
        <w:rPr>
          <w:color w:val="000000"/>
          <w:spacing w:val="0"/>
          <w:w w:val="100"/>
          <w:position w:val="0"/>
        </w:rPr>
        <w:t xml:space="preserve">年第二 次临时股东大会，审议通过了公开发行可转换公司债券的相关议案，本次拟发行可转换公司债券募集资金总额不超过人民币 </w:t>
      </w:r>
      <w:r>
        <w:rPr>
          <w:color w:val="000000"/>
          <w:spacing w:val="0"/>
          <w:w w:val="100"/>
          <w:position w:val="0"/>
          <w:sz w:val="16"/>
          <w:szCs w:val="16"/>
        </w:rPr>
        <w:t>13</w:t>
      </w:r>
      <w:r>
        <w:rPr>
          <w:color w:val="000000"/>
          <w:spacing w:val="0"/>
          <w:w w:val="100"/>
          <w:position w:val="0"/>
        </w:rPr>
        <w:t>亿元（含</w:t>
      </w:r>
      <w:r>
        <w:rPr>
          <w:color w:val="000000"/>
          <w:spacing w:val="0"/>
          <w:w w:val="100"/>
          <w:position w:val="0"/>
          <w:sz w:val="16"/>
          <w:szCs w:val="16"/>
        </w:rPr>
        <w:t>13</w:t>
      </w:r>
      <w:r>
        <w:rPr>
          <w:color w:val="000000"/>
          <w:spacing w:val="0"/>
          <w:w w:val="100"/>
          <w:position w:val="0"/>
        </w:rPr>
        <w:t>亿元）。具体详见于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日在巨潮资讯网发布了《关于公开发行可转换公司债券预案披露的提示性公 告》（公告编号：</w:t>
      </w:r>
      <w:r>
        <w:rPr>
          <w:color w:val="000000"/>
          <w:spacing w:val="0"/>
          <w:w w:val="100"/>
          <w:position w:val="0"/>
          <w:sz w:val="16"/>
          <w:szCs w:val="16"/>
        </w:rPr>
        <w:t>2019-029）</w:t>
      </w:r>
      <w:r>
        <w:rPr>
          <w:color w:val="000000"/>
          <w:spacing w:val="0"/>
          <w:w w:val="100"/>
          <w:position w:val="0"/>
        </w:rPr>
        <w:t>等相关公告。公司于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日召开第五届董事会第二次会议审议通过了《关于终止公开 发行可转换公司债券事项的议案》，决定终止公开发行可转换公司债券事项。具体内容详见公司</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日于巨潮资讯 网发布的《关于终止公开发行可转换公司债券事项的公告》（公告编号：</w:t>
      </w:r>
      <w:r>
        <w:rPr>
          <w:color w:val="000000"/>
          <w:spacing w:val="0"/>
          <w:w w:val="100"/>
          <w:position w:val="0"/>
          <w:sz w:val="16"/>
          <w:szCs w:val="16"/>
        </w:rPr>
        <w:t>2020-006</w:t>
      </w:r>
      <w:r>
        <w:rPr>
          <w:color w:val="000000"/>
          <w:spacing w:val="0"/>
          <w:w w:val="100"/>
          <w:position w:val="0"/>
        </w:rPr>
        <w:t>）。</w:t>
      </w:r>
    </w:p>
    <w:p>
      <w:pPr>
        <w:pStyle w:val="Style30"/>
        <w:keepNext w:val="0"/>
        <w:keepLines w:val="0"/>
        <w:widowControl w:val="0"/>
        <w:shd w:val="clear" w:color="auto" w:fill="auto"/>
        <w:tabs>
          <w:tab w:pos="471" w:val="left"/>
        </w:tabs>
        <w:bidi w:val="0"/>
        <w:spacing w:before="0" w:after="40" w:line="314" w:lineRule="exact"/>
        <w:ind w:left="0" w:right="0" w:firstLine="0"/>
        <w:jc w:val="both"/>
      </w:pPr>
      <w:bookmarkStart w:id="415" w:name="bookmark415"/>
      <w:r>
        <w:rPr>
          <w:color w:val="000000"/>
          <w:spacing w:val="0"/>
          <w:w w:val="100"/>
          <w:position w:val="0"/>
        </w:rPr>
        <w:t>（</w:t>
      </w:r>
      <w:bookmarkEnd w:id="415"/>
      <w:r>
        <w:rPr>
          <w:color w:val="000000"/>
          <w:spacing w:val="0"/>
          <w:w w:val="100"/>
          <w:position w:val="0"/>
        </w:rPr>
        <w:t>六）</w:t>
        <w:tab/>
        <w:t>关于持股</w:t>
      </w:r>
      <w:r>
        <w:rPr>
          <w:color w:val="000000"/>
          <w:spacing w:val="0"/>
          <w:w w:val="100"/>
          <w:position w:val="0"/>
          <w:sz w:val="16"/>
          <w:szCs w:val="16"/>
        </w:rPr>
        <w:t>5%</w:t>
      </w:r>
      <w:r>
        <w:rPr>
          <w:color w:val="000000"/>
          <w:spacing w:val="0"/>
          <w:w w:val="100"/>
          <w:position w:val="0"/>
        </w:rPr>
        <w:t>以上股东减持公司股份的进展情况</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24</w:t>
      </w:r>
      <w:r>
        <w:rPr>
          <w:color w:val="000000"/>
          <w:spacing w:val="0"/>
          <w:w w:val="100"/>
          <w:position w:val="0"/>
        </w:rPr>
        <w:t>日，公司控股股东银江科技集团有限公司减持公司</w:t>
      </w:r>
      <w:r>
        <w:rPr>
          <w:color w:val="000000"/>
          <w:spacing w:val="0"/>
          <w:w w:val="100"/>
          <w:position w:val="0"/>
          <w:sz w:val="16"/>
          <w:szCs w:val="16"/>
        </w:rPr>
        <w:t>5.87%</w:t>
      </w:r>
      <w:r>
        <w:rPr>
          <w:color w:val="000000"/>
          <w:spacing w:val="0"/>
          <w:w w:val="100"/>
          <w:position w:val="0"/>
        </w:rPr>
        <w:t>的股份。具体详见《关于持股</w:t>
      </w:r>
      <w:r>
        <w:rPr>
          <w:color w:val="000000"/>
          <w:spacing w:val="0"/>
          <w:w w:val="100"/>
          <w:position w:val="0"/>
          <w:sz w:val="16"/>
          <w:szCs w:val="16"/>
        </w:rPr>
        <w:t>5%</w:t>
      </w:r>
      <w:r>
        <w:rPr>
          <w:color w:val="000000"/>
          <w:spacing w:val="0"/>
          <w:w w:val="100"/>
          <w:position w:val="0"/>
        </w:rPr>
        <w:t>以上股东减持股份的提 示性公告》（公告编号：</w:t>
      </w:r>
      <w:r>
        <w:rPr>
          <w:color w:val="000000"/>
          <w:spacing w:val="0"/>
          <w:w w:val="100"/>
          <w:position w:val="0"/>
          <w:sz w:val="16"/>
          <w:szCs w:val="16"/>
        </w:rPr>
        <w:t>2020-038）</w:t>
      </w:r>
      <w:r>
        <w:rPr>
          <w:color w:val="000000"/>
          <w:spacing w:val="0"/>
          <w:w w:val="100"/>
          <w:position w:val="0"/>
        </w:rPr>
        <w:t>《关于持股</w:t>
      </w:r>
      <w:r>
        <w:rPr>
          <w:color w:val="000000"/>
          <w:spacing w:val="0"/>
          <w:w w:val="100"/>
          <w:position w:val="0"/>
          <w:sz w:val="16"/>
          <w:szCs w:val="16"/>
        </w:rPr>
        <w:t>5%</w:t>
      </w:r>
      <w:r>
        <w:rPr>
          <w:color w:val="000000"/>
          <w:spacing w:val="0"/>
          <w:w w:val="100"/>
          <w:position w:val="0"/>
        </w:rPr>
        <w:t>以上股东减持公司股份的预披露公告》（公告编号：</w:t>
      </w:r>
      <w:r>
        <w:rPr>
          <w:color w:val="000000"/>
          <w:spacing w:val="0"/>
          <w:w w:val="100"/>
          <w:position w:val="0"/>
          <w:sz w:val="16"/>
          <w:szCs w:val="16"/>
        </w:rPr>
        <w:t>2020-039）</w:t>
      </w:r>
      <w:r>
        <w:rPr>
          <w:color w:val="000000"/>
          <w:spacing w:val="0"/>
          <w:w w:val="100"/>
          <w:position w:val="0"/>
        </w:rPr>
        <w:t>、《股东 关于减持公司股份超过</w:t>
      </w:r>
      <w:r>
        <w:rPr>
          <w:color w:val="000000"/>
          <w:spacing w:val="0"/>
          <w:w w:val="100"/>
          <w:position w:val="0"/>
          <w:sz w:val="16"/>
          <w:szCs w:val="16"/>
        </w:rPr>
        <w:t>1%</w:t>
      </w:r>
      <w:r>
        <w:rPr>
          <w:color w:val="000000"/>
          <w:spacing w:val="0"/>
          <w:w w:val="100"/>
          <w:position w:val="0"/>
        </w:rPr>
        <w:t>的公告》（公告编号：</w:t>
      </w:r>
      <w:r>
        <w:rPr>
          <w:color w:val="000000"/>
          <w:spacing w:val="0"/>
          <w:w w:val="100"/>
          <w:position w:val="0"/>
          <w:sz w:val="16"/>
          <w:szCs w:val="16"/>
        </w:rPr>
        <w:t>2020-040）</w:t>
      </w:r>
      <w:r>
        <w:rPr>
          <w:color w:val="000000"/>
          <w:spacing w:val="0"/>
          <w:w w:val="100"/>
          <w:position w:val="0"/>
        </w:rPr>
        <w:t>、《关于控股股东协议转让公司部分股份过户完成暨减持计划数 量过半的公告》（公告编号：</w:t>
      </w:r>
      <w:r>
        <w:rPr>
          <w:color w:val="000000"/>
          <w:spacing w:val="0"/>
          <w:w w:val="100"/>
          <w:position w:val="0"/>
          <w:sz w:val="16"/>
          <w:szCs w:val="16"/>
        </w:rPr>
        <w:t>2020-055）</w:t>
      </w:r>
      <w:r>
        <w:rPr>
          <w:color w:val="000000"/>
          <w:spacing w:val="0"/>
          <w:w w:val="100"/>
          <w:position w:val="0"/>
        </w:rPr>
        <w:t>、《关于控股股东减持计划实施完毕的公告》（公告编号：</w:t>
      </w:r>
      <w:r>
        <w:rPr>
          <w:color w:val="000000"/>
          <w:spacing w:val="0"/>
          <w:w w:val="100"/>
          <w:position w:val="0"/>
          <w:sz w:val="16"/>
          <w:szCs w:val="16"/>
        </w:rPr>
        <w:t>2020-056</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r>
        <w:rPr>
          <w:color w:val="000000"/>
          <w:spacing w:val="0"/>
          <w:w w:val="100"/>
          <w:position w:val="0"/>
        </w:rPr>
        <w:t>十九、公司子公司重大事项</w:t>
      </w:r>
      <w:bookmarkEnd w:id="416"/>
      <w:bookmarkEnd w:id="417"/>
      <w:bookmarkEnd w:id="418"/>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59" w:bottom="1469"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480" w:after="540" w:line="240" w:lineRule="auto"/>
        <w:ind w:left="0" w:right="0" w:firstLine="0"/>
        <w:jc w:val="center"/>
      </w:pPr>
      <w:bookmarkStart w:id="419" w:name="bookmark419"/>
      <w:bookmarkStart w:id="420" w:name="bookmark420"/>
      <w:bookmarkStart w:id="421" w:name="bookmark421"/>
      <w:r>
        <w:rPr>
          <w:color w:val="000000"/>
          <w:spacing w:val="0"/>
          <w:w w:val="100"/>
          <w:position w:val="0"/>
        </w:rPr>
        <w:t>第六节股份变动及股东情况</w:t>
      </w:r>
      <w:bookmarkEnd w:id="419"/>
      <w:bookmarkEnd w:id="420"/>
      <w:bookmarkEnd w:id="421"/>
    </w:p>
    <w:p>
      <w:pPr>
        <w:pStyle w:val="Style28"/>
        <w:keepNext/>
        <w:keepLines/>
        <w:widowControl w:val="0"/>
        <w:shd w:val="clear" w:color="auto" w:fill="auto"/>
        <w:bidi w:val="0"/>
        <w:spacing w:before="0" w:line="240" w:lineRule="auto"/>
        <w:ind w:left="0" w:right="0" w:firstLine="220"/>
        <w:jc w:val="left"/>
      </w:pPr>
      <w:bookmarkStart w:id="422" w:name="bookmark422"/>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、股份变动情况</w:t>
      </w:r>
      <w:bookmarkEnd w:id="423"/>
      <w:bookmarkEnd w:id="424"/>
      <w:bookmarkEnd w:id="426"/>
      <w:bookmarkEnd w:id="422"/>
    </w:p>
    <w:p>
      <w:pPr>
        <w:pStyle w:val="Style33"/>
        <w:keepNext/>
        <w:keepLines/>
        <w:widowControl w:val="0"/>
        <w:shd w:val="clear" w:color="auto" w:fill="auto"/>
        <w:bidi w:val="0"/>
        <w:spacing w:before="0" w:line="240" w:lineRule="auto"/>
        <w:ind w:left="0" w:right="0" w:firstLine="22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、股份变动情况</w:t>
      </w:r>
      <w:bookmarkEnd w:id="427"/>
      <w:bookmarkEnd w:id="428"/>
      <w:bookmarkEnd w:id="43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64"/>
        <w:gridCol w:w="989"/>
        <w:gridCol w:w="710"/>
        <w:gridCol w:w="850"/>
        <w:gridCol w:w="427"/>
        <w:gridCol w:w="994"/>
        <w:gridCol w:w="989"/>
        <w:gridCol w:w="1349"/>
        <w:gridCol w:w="989"/>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41,794,509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41,794,509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13,980,669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613,994,577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627,288,765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613,994,577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627,288,765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655,789,086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655,789,086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股份变动的原因</w:t>
      </w:r>
    </w:p>
    <w:p>
      <w:pPr>
        <w:pStyle w:val="Style30"/>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股份变动对最近一年和最近一期基本每股收益和稀释每股收益、归属于公司普通股股东的每股净资产等财务指标的影响</w:t>
      </w:r>
      <w:r>
        <w:br w:type="page"/>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277"/>
        <w:gridCol w:w="850"/>
        <w:gridCol w:w="850"/>
        <w:gridCol w:w="1277"/>
        <w:gridCol w:w="994"/>
        <w:gridCol w:w="383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董事所持本公司股份每年按照其上年末持股总 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113,025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董事所持本公司股份每年按照其上年末持股总 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董事所持本公司股份每年按照其上年末持股总 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高管所持本公司股份每年按照其上年末持股总 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予于锁定</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浙江浙商 证券资产 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浙商资管持有的本公司</w:t>
            </w:r>
            <w:r>
              <w:rPr>
                <w:rFonts w:ascii="Times New Roman" w:eastAsia="Times New Roman" w:hAnsi="Times New Roman" w:cs="Times New Roman"/>
                <w:color w:val="000000"/>
                <w:spacing w:val="0"/>
                <w:w w:val="100"/>
                <w:position w:val="0"/>
                <w:sz w:val="18"/>
                <w:szCs w:val="18"/>
              </w:rPr>
              <w:t>27,813,840</w:t>
            </w:r>
            <w:r>
              <w:rPr>
                <w:color w:val="000000"/>
                <w:spacing w:val="0"/>
                <w:w w:val="100"/>
                <w:position w:val="0"/>
              </w:rPr>
              <w:t>股股份（占公 司股份总数的</w:t>
            </w:r>
            <w:r>
              <w:rPr>
                <w:rFonts w:ascii="Times New Roman" w:eastAsia="Times New Roman" w:hAnsi="Times New Roman" w:cs="Times New Roman"/>
                <w:color w:val="000000"/>
                <w:spacing w:val="0"/>
                <w:w w:val="100"/>
                <w:position w:val="0"/>
                <w:sz w:val="18"/>
                <w:szCs w:val="18"/>
              </w:rPr>
              <w:t>4.2413%</w:t>
            </w:r>
            <w:r>
              <w:rPr>
                <w:color w:val="000000"/>
                <w:spacing w:val="0"/>
                <w:w w:val="100"/>
                <w:position w:val="0"/>
              </w:rPr>
              <w:t>）性质尚为首发后限售 股，由于其中</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股系股东李欣与上市 公司有关的业绩对赌补偿承诺应回购注销的股 份，不符合解除限售条件。根据深交所规则规定 未履行相关承诺的股东转让其限售股份的，该承 诺具有延续性，承诺无法被承接的，应履行法定 程序变更或豁免。同时如履行法定程序变更或豁 免，最终能否通过公司董事会、股东大会等法定 程序存在较大的不确定性。该部分股份最终能否 解除限售需视其是否符合相应法律法规的规定， 且以法院及监管部门意见为准。</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28,500,321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、证券发行与上市情况</w:t>
      </w:r>
      <w:bookmarkEnd w:id="435"/>
      <w:bookmarkEnd w:id="436"/>
      <w:bookmarkEnd w:id="438"/>
    </w:p>
    <w:p>
      <w:pPr>
        <w:pStyle w:val="Style33"/>
        <w:keepNext/>
        <w:keepLines/>
        <w:widowControl w:val="0"/>
        <w:shd w:val="clear" w:color="auto" w:fill="auto"/>
        <w:tabs>
          <w:tab w:pos="368"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报告期内证券发行（不含优先股）情况</w:t>
      </w:r>
      <w:bookmarkEnd w:id="439"/>
      <w:bookmarkEnd w:id="440"/>
      <w:bookmarkEnd w:id="442"/>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公司股份总数及股东结构的变动、公司资产和负债结构的变动情况说明</w:t>
      </w:r>
      <w:bookmarkEnd w:id="443"/>
      <w:bookmarkEnd w:id="444"/>
      <w:bookmarkEnd w:id="446"/>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、现存的内部职工股情况</w:t>
      </w:r>
      <w:bookmarkEnd w:id="447"/>
      <w:bookmarkEnd w:id="448"/>
      <w:bookmarkEnd w:id="45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三</w:t>
      </w:r>
      <w:bookmarkEnd w:id="453"/>
      <w:r>
        <w:rPr>
          <w:color w:val="000000"/>
          <w:spacing w:val="0"/>
          <w:w w:val="100"/>
          <w:position w:val="0"/>
        </w:rPr>
        <w:t>、股东和实际控制人情况</w:t>
      </w:r>
      <w:bookmarkEnd w:id="451"/>
      <w:bookmarkEnd w:id="452"/>
      <w:bookmarkEnd w:id="454"/>
    </w:p>
    <w:p>
      <w:pPr>
        <w:pStyle w:val="Style33"/>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、公司股东数量及持股情况</w:t>
      </w:r>
      <w:bookmarkEnd w:id="455"/>
      <w:bookmarkEnd w:id="456"/>
      <w:bookmarkEnd w:id="458"/>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98"/>
        <w:gridCol w:w="998"/>
        <w:gridCol w:w="1066"/>
      </w:tblGrid>
      <w:tr>
        <w:trPr>
          <w:trHeight w:val="157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47,315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5"/>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5"/>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银江科技集团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120,599,500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91,500,000</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中证乾元资本 管理有限公司 一中证乾元四 世同堂传承复 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浙江浙商证券 资产管理有限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22,288,665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张明华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4,556,701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3,081,424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2,256,760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全学哲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2,097,970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中国工商银行 股份有限公司 —易方达中证 人工智能主题 交易型开放式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2,060,111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2,060,111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98"/>
        <w:gridCol w:w="998"/>
        <w:gridCol w:w="106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指数证券投资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名股东中，银江科技集团有限公司是本公司的控股股东；刘健是实际控制人王辉 的夫人。除此之外，公司其他前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名股东之间，未知是否存在关联，也未知是否属于一致 行动人。</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120,599,500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中证乾元资本管理有限公司一 中证乾元四世同堂传承复利</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32,789,500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陈文生</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22,288,665</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张明华</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4,556,701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4,556,701</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3,081,424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3,081,424</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2,256,760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2,256,760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刘金霞</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2,127,200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全学哲</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2,097,970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2,097,970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中国工商银行股份有限公司一 易方达中证人工智能主题交易 型开放式指数证券投资基金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2,060,111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2,060,111</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2,055,460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2,055,460</w:t>
            </w:r>
          </w:p>
        </w:tc>
      </w:tr>
      <w:tr>
        <w:trPr>
          <w:trHeight w:val="1334"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名股东中，银江科技集团有限公司是本公司的控股股东；刘健是实际控制人王辉 的夫人；钱小鸿历任为公司董事、副总经理、财务总监。除此之外，公司其他前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之间，未知是否存在关联，也未知是否属于一致行动人。</w:t>
            </w:r>
          </w:p>
        </w:tc>
      </w:tr>
      <w:tr>
        <w:trPr>
          <w:trHeight w:val="1934"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在公司上述股东中，银江科技集团有限公司、中证乾元资本管理有限公司一中证乾元四世同 堂传承复利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号私募证券投资基金、陈文生、张明华、刘金霞是融资融券投资者信用账户股 东。公司股东银江科技集团有限公司除通过普通证券账户持有</w:t>
            </w:r>
            <w:r>
              <w:rPr>
                <w:rFonts w:ascii="Times New Roman" w:eastAsia="Times New Roman" w:hAnsi="Times New Roman" w:cs="Times New Roman"/>
                <w:color w:val="000000"/>
                <w:spacing w:val="0"/>
                <w:w w:val="100"/>
                <w:position w:val="0"/>
                <w:sz w:val="18"/>
                <w:szCs w:val="18"/>
              </w:rPr>
              <w:t>91,599,500</w:t>
            </w:r>
            <w:r>
              <w:rPr>
                <w:color w:val="000000"/>
                <w:spacing w:val="0"/>
                <w:w w:val="100"/>
                <w:position w:val="0"/>
              </w:rPr>
              <w:t>股外，还通过渤海 证券股份有限公司客户信用交易担保证券账户持有</w:t>
            </w:r>
            <w:r>
              <w:rPr>
                <w:rFonts w:ascii="Times New Roman" w:eastAsia="Times New Roman" w:hAnsi="Times New Roman" w:cs="Times New Roman"/>
                <w:color w:val="000000"/>
                <w:spacing w:val="0"/>
                <w:w w:val="100"/>
                <w:position w:val="0"/>
                <w:sz w:val="18"/>
                <w:szCs w:val="18"/>
              </w:rPr>
              <w:t>29,000,000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120,599,500 </w:t>
            </w:r>
            <w:r>
              <w:rPr>
                <w:color w:val="000000"/>
                <w:spacing w:val="0"/>
                <w:w w:val="100"/>
                <w:position w:val="0"/>
              </w:rPr>
              <w:t>股;公司股东中证乾元资本管理有限公司一中证乾元四世同堂传承复利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 金通过普通证券账户持有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股，仅通过渤海证券股份有限公司客户信用交易担保证券账户持</w:t>
            </w:r>
          </w:p>
        </w:tc>
      </w:tr>
    </w:tbl>
    <w:p>
      <w:pPr>
        <w:spacing w:lineRule="exact" w:line="1"/>
        <w:rPr>
          <w:sz w:val="2"/>
          <w:szCs w:val="2"/>
        </w:rPr>
      </w:pPr>
      <w:r>
        <w:br w:type="page"/>
      </w:r>
    </w:p>
    <w:tbl>
      <w:tblPr>
        <w:tblOverlap w:val="never"/>
        <w:jc w:val="center"/>
        <w:tblLayout w:type="fixed"/>
      </w:tblPr>
      <w:tblGrid>
        <w:gridCol w:w="2405"/>
        <w:gridCol w:w="7181"/>
      </w:tblGrid>
      <w:tr>
        <w:trPr>
          <w:trHeight w:val="19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w:t>
            </w:r>
            <w:r>
              <w:rPr>
                <w:rFonts w:ascii="Times New Roman" w:eastAsia="Times New Roman" w:hAnsi="Times New Roman" w:cs="Times New Roman"/>
                <w:color w:val="000000"/>
                <w:spacing w:val="0"/>
                <w:w w:val="100"/>
                <w:position w:val="0"/>
                <w:sz w:val="18"/>
                <w:szCs w:val="18"/>
              </w:rPr>
              <w:t>32,789,500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32,789,500</w:t>
            </w:r>
            <w:r>
              <w:rPr>
                <w:color w:val="000000"/>
                <w:spacing w:val="0"/>
                <w:w w:val="100"/>
                <w:position w:val="0"/>
              </w:rPr>
              <w:t xml:space="preserve">股；公司股东陈文生除通过普通证券账户持有 </w:t>
            </w:r>
            <w:r>
              <w:rPr>
                <w:rFonts w:ascii="Times New Roman" w:eastAsia="Times New Roman" w:hAnsi="Times New Roman" w:cs="Times New Roman"/>
                <w:color w:val="000000"/>
                <w:spacing w:val="0"/>
                <w:w w:val="100"/>
                <w:position w:val="0"/>
                <w:sz w:val="18"/>
                <w:szCs w:val="18"/>
              </w:rPr>
              <w:t>9,471,001</w:t>
            </w:r>
            <w:r>
              <w:rPr>
                <w:color w:val="000000"/>
                <w:spacing w:val="0"/>
                <w:w w:val="100"/>
                <w:position w:val="0"/>
              </w:rPr>
              <w:t xml:space="preserve">股外，还通过国泰君安证券股份有限公司客户信用交易担保证券账户持有 </w:t>
            </w:r>
            <w:r>
              <w:rPr>
                <w:rFonts w:ascii="Times New Roman" w:eastAsia="Times New Roman" w:hAnsi="Times New Roman" w:cs="Times New Roman"/>
                <w:color w:val="000000"/>
                <w:spacing w:val="0"/>
                <w:w w:val="100"/>
                <w:position w:val="0"/>
                <w:sz w:val="18"/>
                <w:szCs w:val="18"/>
              </w:rPr>
              <w:t>12,817,664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22,288,665</w:t>
            </w:r>
            <w:r>
              <w:rPr>
                <w:color w:val="000000"/>
                <w:spacing w:val="0"/>
                <w:w w:val="100"/>
                <w:position w:val="0"/>
              </w:rPr>
              <w:t>股；公司股东张明华通过普通证券账户持有</w:t>
            </w:r>
            <w:r>
              <w:rPr>
                <w:rFonts w:ascii="Times New Roman" w:eastAsia="Times New Roman" w:hAnsi="Times New Roman" w:cs="Times New Roman"/>
                <w:color w:val="000000"/>
                <w:spacing w:val="0"/>
                <w:w w:val="100"/>
                <w:position w:val="0"/>
                <w:sz w:val="18"/>
                <w:szCs w:val="18"/>
              </w:rPr>
              <w:t xml:space="preserve">4800 </w:t>
            </w:r>
            <w:r>
              <w:rPr>
                <w:color w:val="000000"/>
                <w:spacing w:val="0"/>
                <w:w w:val="100"/>
                <w:position w:val="0"/>
              </w:rPr>
              <w:t>股，还通过东吴证券股份有限公司客户信用交易担保证券账户持有</w:t>
            </w:r>
            <w:r>
              <w:rPr>
                <w:rFonts w:ascii="Times New Roman" w:eastAsia="Times New Roman" w:hAnsi="Times New Roman" w:cs="Times New Roman"/>
                <w:color w:val="000000"/>
                <w:spacing w:val="0"/>
                <w:w w:val="100"/>
                <w:position w:val="0"/>
                <w:sz w:val="18"/>
                <w:szCs w:val="18"/>
              </w:rPr>
              <w:t>4,551,901</w:t>
            </w:r>
            <w:r>
              <w:rPr>
                <w:color w:val="000000"/>
                <w:spacing w:val="0"/>
                <w:w w:val="100"/>
                <w:position w:val="0"/>
              </w:rPr>
              <w:t>股，实际合计 持有</w:t>
            </w:r>
            <w:r>
              <w:rPr>
                <w:rFonts w:ascii="Times New Roman" w:eastAsia="Times New Roman" w:hAnsi="Times New Roman" w:cs="Times New Roman"/>
                <w:color w:val="000000"/>
                <w:spacing w:val="0"/>
                <w:w w:val="100"/>
                <w:position w:val="0"/>
                <w:sz w:val="18"/>
                <w:szCs w:val="18"/>
              </w:rPr>
              <w:t>4,556,701</w:t>
            </w:r>
            <w:r>
              <w:rPr>
                <w:color w:val="000000"/>
                <w:spacing w:val="0"/>
                <w:w w:val="100"/>
                <w:position w:val="0"/>
              </w:rPr>
              <w:t>股；公司股东刘金霞通过普通证券账户持有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股，仅通过东方证券股份有限 公司客户信用交易担保证券账户持有</w:t>
            </w:r>
            <w:r>
              <w:rPr>
                <w:rFonts w:ascii="Times New Roman" w:eastAsia="Times New Roman" w:hAnsi="Times New Roman" w:cs="Times New Roman"/>
                <w:color w:val="000000"/>
                <w:spacing w:val="0"/>
                <w:w w:val="100"/>
                <w:position w:val="0"/>
                <w:sz w:val="18"/>
                <w:szCs w:val="18"/>
              </w:rPr>
              <w:t>2,127,200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2,127,200</w:t>
            </w:r>
            <w:r>
              <w:rPr>
                <w:color w:val="000000"/>
                <w:spacing w:val="0"/>
                <w:w w:val="100"/>
                <w:position w:val="0"/>
              </w:rPr>
              <w:t>股。</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、公司控股股东情况</w:t>
      </w:r>
      <w:bookmarkEnd w:id="459"/>
      <w:bookmarkEnd w:id="460"/>
      <w:bookmarkEnd w:id="46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2006"/>
        <w:gridCol w:w="1594"/>
        <w:gridCol w:w="1363"/>
        <w:gridCol w:w="26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75193874-5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许可经营项目：无。一般经营项 目：高科技产业投资开发；资产 管理；信息咨询服务，印刷产品 及设备、塑料制品及原料的销售， 经营进出口业务。（上述经营范围 不含国家法律法规禁止、限制和 许可经营的项目。）</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、公司实际控制人及其一致行动人</w:t>
      </w:r>
      <w:bookmarkEnd w:id="463"/>
      <w:bookmarkEnd w:id="464"/>
      <w:bookmarkEnd w:id="46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母公司股东</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r>
        <w:br w:type="page"/>
      </w:r>
    </w:p>
    <w:p>
      <w:pPr>
        <w:pStyle w:val="Style30"/>
        <w:keepNext w:val="0"/>
        <w:keepLines w:val="0"/>
        <w:widowControl w:val="0"/>
        <w:shd w:val="clear" w:color="auto" w:fill="auto"/>
        <w:bidi w:val="0"/>
        <w:spacing w:before="0" w:after="1240" w:line="240" w:lineRule="auto"/>
        <w:ind w:left="0" w:right="0" w:firstLine="0"/>
        <w:jc w:val="left"/>
      </w:pPr>
      <w:r>
        <w:rPr>
          <w:color w:val="000000"/>
          <w:spacing w:val="0"/>
          <w:w w:val="100"/>
          <w:position w:val="0"/>
        </w:rPr>
        <w:t>公司与实际控制人之间的产权及控制关系的方框图</w:t>
      </w:r>
    </w:p>
    <w:p>
      <w:pPr>
        <w:framePr w:w="3638" w:h="1997" w:hSpace="528" w:wrap="notBeside" w:vAnchor="text" w:hAnchor="text" w:x="2958" w:y="1"/>
        <w:widowControl w:val="0"/>
        <w:rPr>
          <w:sz w:val="2"/>
          <w:szCs w:val="2"/>
        </w:rPr>
      </w:pPr>
      <w:r>
        <w:drawing>
          <wp:inline>
            <wp:extent cx="2310130" cy="126809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2310130" cy="1268095"/>
                    </a:xfrm>
                    <a:prstGeom prst="rect"/>
                  </pic:spPr>
                </pic:pic>
              </a:graphicData>
            </a:graphic>
          </wp:inline>
        </w:drawing>
      </w:r>
    </w:p>
    <w:p>
      <w:pPr>
        <w:widowControl w:val="0"/>
        <w:spacing w:line="1" w:lineRule="exact"/>
      </w:pPr>
      <w:r>
        <mc:AlternateContent>
          <mc:Choice Requires="wps">
            <w:drawing>
              <wp:anchor distT="0" distB="0" distL="1877695" distR="4230370" simplePos="0" relativeHeight="125829378" behindDoc="0" locked="0" layoutInCell="1" allowOverlap="1">
                <wp:simplePos x="0" y="0"/>
                <wp:positionH relativeFrom="column">
                  <wp:posOffset>4231005</wp:posOffset>
                </wp:positionH>
                <wp:positionV relativeFrom="paragraph">
                  <wp:posOffset>567055</wp:posOffset>
                </wp:positionV>
                <wp:extent cx="292735" cy="109855"/>
                <wp:wrapTopAndBottom/>
                <wp:docPr id="22" name="Shape 22"/>
                <a:graphic xmlns:a="http://schemas.openxmlformats.org/drawingml/2006/main">
                  <a:graphicData uri="http://schemas.microsoft.com/office/word/2010/wordprocessingShape">
                    <wps:wsp>
                      <wps:cNvSpPr txBox="1"/>
                      <wps:spPr>
                        <a:xfrm>
                          <a:ext cx="292735" cy="10985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spacing w:val="0"/>
                                <w:w w:val="100"/>
                                <w:position w:val="0"/>
                              </w:rPr>
                              <w:t>0.34%</w:t>
                            </w:r>
                          </w:p>
                        </w:txbxContent>
                      </wps:txbx>
                      <wps:bodyPr lIns="0" tIns="0" rIns="0" bIns="0">
                        <a:noAutoFit/>
                      </wps:bodyPr>
                    </wps:wsp>
                  </a:graphicData>
                </a:graphic>
              </wp:anchor>
            </w:drawing>
          </mc:Choice>
          <mc:Fallback>
            <w:pict>
              <v:shape id="_x0000_s1048" type="#_x0000_t202" style="position:absolute;margin-left:333.15000000000003pt;margin-top:44.649999999999999pt;width:23.050000000000001pt;height:8.6500000000000004pt;z-index:-125829375;mso-wrap-distance-left:147.84999999999999pt;mso-wrap-distance-right:333.10000000000002pt"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spacing w:val="0"/>
                          <w:w w:val="100"/>
                          <w:position w:val="0"/>
                        </w:rPr>
                        <w:t>0.34%</w:t>
                      </w:r>
                    </w:p>
                  </w:txbxContent>
                </v:textbox>
                <w10:wrap type="topAndBottom"/>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7"/>
      <w:bookmarkEnd w:id="468"/>
      <w:bookmarkEnd w:id="47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、控股股东、实际控制人、重组方及其他承诺主体股份限制减持情况</w:t>
      </w:r>
      <w:bookmarkEnd w:id="471"/>
      <w:bookmarkEnd w:id="472"/>
      <w:bookmarkEnd w:id="474"/>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860" w:bottom="1455" w:left="9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24" name="Shape 2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第七节优先股相关情况</w:t>
                            </w:r>
                            <w:bookmarkEnd w:id="475"/>
                            <w:bookmarkEnd w:id="476"/>
                            <w:bookmarkEnd w:id="477"/>
                          </w:p>
                        </w:txbxContent>
                      </wps:txbx>
                      <wps:bodyPr wrap="none" lIns="0" tIns="0" rIns="0" bIns="0">
                        <a:noAutoFit/>
                      </wps:bodyPr>
                    </wps:wsp>
                  </a:graphicData>
                </a:graphic>
              </wp:anchor>
            </w:drawing>
          </mc:Choice>
          <mc:Fallback>
            <w:pict>
              <v:shape id="_x0000_s1050" type="#_x0000_t202" style="position:absolute;margin-left:211.95000000000002pt;margin-top:0;width:170.90000000000001pt;height:19.199999999999999pt;z-index:-125829373;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75" w:name="bookmark475"/>
                      <w:bookmarkStart w:id="476" w:name="bookmark476"/>
                      <w:bookmarkStart w:id="477" w:name="bookmark477"/>
                      <w:r>
                        <w:rPr>
                          <w:color w:val="000000"/>
                          <w:spacing w:val="0"/>
                          <w:w w:val="100"/>
                          <w:position w:val="0"/>
                        </w:rPr>
                        <w:t>第七节优先股相关情况</w:t>
                      </w:r>
                      <w:bookmarkEnd w:id="475"/>
                      <w:bookmarkEnd w:id="476"/>
                      <w:bookmarkEnd w:id="477"/>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478" w:name="bookmark4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8"/>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40" w:line="240" w:lineRule="auto"/>
        <w:ind w:left="0" w:right="0" w:firstLine="0"/>
        <w:jc w:val="center"/>
      </w:pPr>
      <w:bookmarkStart w:id="479" w:name="bookmark479"/>
      <w:bookmarkStart w:id="480" w:name="bookmark480"/>
      <w:bookmarkStart w:id="481" w:name="bookmark481"/>
      <w:r>
        <w:rPr>
          <w:color w:val="000000"/>
          <w:spacing w:val="0"/>
          <w:w w:val="100"/>
          <w:position w:val="0"/>
        </w:rPr>
        <w:t>第八节可转换公司债券相关情况</w:t>
      </w:r>
      <w:bookmarkEnd w:id="479"/>
      <w:bookmarkEnd w:id="480"/>
      <w:bookmarkEnd w:id="481"/>
    </w:p>
    <w:p>
      <w:pPr>
        <w:pStyle w:val="Style30"/>
        <w:keepNext w:val="0"/>
        <w:keepLines w:val="0"/>
        <w:widowControl w:val="0"/>
        <w:shd w:val="clear" w:color="auto" w:fill="auto"/>
        <w:bidi w:val="0"/>
        <w:spacing w:before="0" w:after="120" w:line="240" w:lineRule="auto"/>
        <w:ind w:left="0" w:right="0" w:firstLine="0"/>
        <w:jc w:val="left"/>
      </w:pPr>
      <w:bookmarkStart w:id="482" w:name="bookmark4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8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40" w:line="240" w:lineRule="auto"/>
        <w:ind w:left="0" w:right="0" w:firstLine="0"/>
        <w:jc w:val="center"/>
      </w:pPr>
      <w:bookmarkStart w:id="483" w:name="bookmark483"/>
      <w:bookmarkStart w:id="484" w:name="bookmark484"/>
      <w:bookmarkStart w:id="485" w:name="bookmark485"/>
      <w:r>
        <w:rPr>
          <w:color w:val="000000"/>
          <w:spacing w:val="0"/>
          <w:w w:val="100"/>
          <w:position w:val="0"/>
        </w:rPr>
        <w:t>第九节董事、监事、高级管理人员和员工情况</w:t>
      </w:r>
      <w:bookmarkEnd w:id="483"/>
      <w:bookmarkEnd w:id="484"/>
      <w:bookmarkEnd w:id="485"/>
    </w:p>
    <w:p>
      <w:pPr>
        <w:pStyle w:val="Style28"/>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bookmarkStart w:id="490" w:name="bookmark490"/>
      <w:r>
        <w:rPr>
          <w:color w:val="000000"/>
          <w:spacing w:val="0"/>
          <w:w w:val="100"/>
          <w:position w:val="0"/>
        </w:rPr>
        <w:t>一</w:t>
      </w:r>
      <w:bookmarkEnd w:id="489"/>
      <w:r>
        <w:rPr>
          <w:color w:val="000000"/>
          <w:spacing w:val="0"/>
          <w:w w:val="100"/>
          <w:position w:val="0"/>
        </w:rPr>
        <w:t>、董事、监事和高级管理人员持股变动</w:t>
      </w:r>
      <w:bookmarkEnd w:id="487"/>
      <w:bookmarkEnd w:id="488"/>
      <w:bookmarkEnd w:id="490"/>
      <w:bookmarkEnd w:id="486"/>
    </w:p>
    <w:tbl>
      <w:tblPr>
        <w:tblOverlap w:val="never"/>
        <w:jc w:val="center"/>
        <w:tblLayout w:type="fixed"/>
      </w:tblPr>
      <w:tblGrid>
        <w:gridCol w:w="806"/>
        <w:gridCol w:w="797"/>
        <w:gridCol w:w="797"/>
        <w:gridCol w:w="586"/>
        <w:gridCol w:w="710"/>
        <w:gridCol w:w="989"/>
        <w:gridCol w:w="907"/>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465,208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465,208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事会秘 书、副总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蒋贤品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罗吉华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黄先海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75,400</w:t>
            </w:r>
          </w:p>
        </w:tc>
      </w:tr>
    </w:tbl>
    <w:tbl>
      <w:tblPr>
        <w:tblOverlap w:val="never"/>
        <w:jc w:val="center"/>
        <w:tblLayout w:type="fixed"/>
      </w:tblPr>
      <w:tblGrid>
        <w:gridCol w:w="806"/>
        <w:gridCol w:w="797"/>
        <w:gridCol w:w="797"/>
        <w:gridCol w:w="586"/>
        <w:gridCol w:w="710"/>
        <w:gridCol w:w="989"/>
        <w:gridCol w:w="907"/>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任刚要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915,308</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二</w:t>
      </w:r>
      <w:bookmarkEnd w:id="493"/>
      <w:r>
        <w:rPr>
          <w:color w:val="000000"/>
          <w:spacing w:val="0"/>
          <w:w w:val="100"/>
          <w:position w:val="0"/>
        </w:rPr>
        <w:t>、公司董事、监事、高级管理人员变动情况</w:t>
      </w:r>
      <w:bookmarkEnd w:id="491"/>
      <w:bookmarkEnd w:id="492"/>
      <w:bookmarkEnd w:id="49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2246"/>
        <w:gridCol w:w="33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黄先海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因个人工作原因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罗吉华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被聘任</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三</w:t>
      </w:r>
      <w:bookmarkEnd w:id="497"/>
      <w:r>
        <w:rPr>
          <w:color w:val="000000"/>
          <w:spacing w:val="0"/>
          <w:w w:val="100"/>
          <w:position w:val="0"/>
        </w:rPr>
        <w:t>、任职情况</w:t>
      </w:r>
      <w:bookmarkEnd w:id="495"/>
      <w:bookmarkEnd w:id="496"/>
      <w:bookmarkEnd w:id="498"/>
    </w:p>
    <w:p>
      <w:pPr>
        <w:pStyle w:val="Style30"/>
        <w:keepNext w:val="0"/>
        <w:keepLines w:val="0"/>
        <w:widowControl w:val="0"/>
        <w:shd w:val="clear" w:color="auto" w:fill="auto"/>
        <w:bidi w:val="0"/>
        <w:spacing w:before="0" w:after="0" w:line="32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34" w:lineRule="exact"/>
        <w:ind w:left="0" w:right="0" w:firstLine="0"/>
        <w:jc w:val="left"/>
      </w:pPr>
      <w:r>
        <w:rPr>
          <w:color w:val="000000"/>
          <w:spacing w:val="0"/>
          <w:w w:val="100"/>
          <w:position w:val="0"/>
        </w:rPr>
        <w:t>陈才君，男，中国国籍，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月出生，无境外永久居留权，本科学历，高级工程师。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年起就职银江股份有限公司， 现任银江股份有限公司董事长、浙江银江智慧交通集团有限公司董事长、浙江银江智慧交通工程研究院有限公司执行董事。 王腾，男，中国国籍，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年起就职银江股份有限公司，现任银江股份有 限公司总经理、北京银江智慧城市技术有限公司执行董事、青岛银江智慧城市技术有限公司执行董事。</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王瑞慷，男，中国国籍，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月出生，无境外永久居留权，工商管理硕士。历任银江股份有限公司董事，现任银江股份 有限公司董事，银江科技集团有限公司董事。</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花少富，男，中国国籍，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年起就职银江股份有限公司，现任银江股份 有限公司副总经理、董事会秘书，银江股份（香港）有限公司董事，山东博安智能科技股份有限公司董事。</w:t>
      </w:r>
    </w:p>
    <w:p>
      <w:pPr>
        <w:pStyle w:val="Style30"/>
        <w:keepNext w:val="0"/>
        <w:keepLines w:val="0"/>
        <w:widowControl w:val="0"/>
        <w:shd w:val="clear" w:color="auto" w:fill="auto"/>
        <w:bidi w:val="0"/>
        <w:spacing w:before="0" w:after="0" w:line="338" w:lineRule="exact"/>
        <w:ind w:left="0" w:right="0" w:firstLine="0"/>
        <w:jc w:val="left"/>
      </w:pPr>
      <w:r>
        <w:rPr>
          <w:color w:val="000000"/>
          <w:spacing w:val="0"/>
          <w:w w:val="100"/>
          <w:position w:val="0"/>
        </w:rPr>
        <w:t>蒋立靓，男，中国国籍，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月出生，无境外永久居留权，本科学历，高级工程师。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年起就职银江股份有限公司， 先后在市场管理中心、运营管理中心等部门担任管理职务，现任银江股份有限公司董事、副总经理、企业管理中心总经理。 倪净，女，中国国籍，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月出生，无境外永久居留权，本科学历，高级人力资源管理师。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年起就职银江股份有限 公司，先后在人力资源部、行政管理中心等部门岗位担任管理职务，现任银江股份有限公司董事、人力资源总监。</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赵新建，男，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年生，中国国籍，无境外永久居留权，无线电技术专业硕士，教授。</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年就职于浙江工业大学， 历任信息工程学院通信工程教研室主任、通信与电子工程系主任、网络信息教育中心主任、信息化办公室主任、信息工程学 院教授，现任本公司独立董事、杭州安恒信息技术股份有限公司独立董事、杭州世创电子技术股份有限公司独立董事、浙江 中广电器股份有限公司独立董事、祖名豆制品股份有限公司独立董事。</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罗吉华，男，中国国籍，</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月出生，无境外永久居留权，高级工商管理硕士，毕业于上海同济大学建筑工程系工民建 专业，高级工程师；</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年起任建设银行浙江省衢州市分行行长兼党组书记、衢州市科协名誉主席；</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年任华夏银行杭州 分行副行长；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年起历任华夏银行总行企业金融部总经理、资产保全部总经理、信贷审批委员会专职审批人；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年起任 华夏银行巡视员。</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年曾任本公司独立董事。现任本公司独立董事。</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蒋贤品，男，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年起就职浙江工业大学，现任浙江工业大学管理学院会计学教 授，浙江工业大学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教育中心骨干教师，浙江省科技厅特聘财务专家，浙江省审计厅特约审计员。现任本公司独立董事、 宁波申洲国际集团控股有限公司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HK02313)</w:t>
      </w:r>
      <w:r>
        <w:rPr>
          <w:color w:val="000000"/>
          <w:spacing w:val="0"/>
          <w:w w:val="100"/>
          <w:position w:val="0"/>
        </w:rPr>
        <w:t>独立董事，浙江百川导体技术股份有限公司</w:t>
      </w:r>
      <w:r>
        <w:rPr>
          <w:rFonts w:ascii="Times New Roman" w:eastAsia="Times New Roman" w:hAnsi="Times New Roman" w:cs="Times New Roman"/>
          <w:color w:val="000000"/>
          <w:spacing w:val="0"/>
          <w:w w:val="100"/>
          <w:position w:val="0"/>
          <w:sz w:val="18"/>
          <w:szCs w:val="18"/>
        </w:rPr>
        <w:t>(832852)</w:t>
      </w:r>
      <w:r>
        <w:rPr>
          <w:color w:val="000000"/>
          <w:spacing w:val="0"/>
          <w:w w:val="100"/>
          <w:position w:val="0"/>
        </w:rPr>
        <w:t>独立董事。</w:t>
      </w:r>
    </w:p>
    <w:p>
      <w:pPr>
        <w:pStyle w:val="Style30"/>
        <w:keepNext w:val="0"/>
        <w:keepLines w:val="0"/>
        <w:widowControl w:val="0"/>
        <w:shd w:val="clear" w:color="auto" w:fill="auto"/>
        <w:bidi w:val="0"/>
        <w:spacing w:before="0" w:after="40" w:line="326" w:lineRule="exact"/>
        <w:ind w:left="0" w:right="0" w:firstLine="0"/>
        <w:jc w:val="both"/>
      </w:pPr>
      <w:r>
        <w:rPr>
          <w:color w:val="000000"/>
          <w:spacing w:val="0"/>
          <w:w w:val="100"/>
          <w:position w:val="0"/>
        </w:rPr>
        <w:t>徐佳，女，中国国籍，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月出生，无境外永久居留权，本科学历，会计师，注册管理税务师。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年起就职银江股份 有限公司，现任银江股份有限公司企业改制办主任、杭州银江医联网技术股份有限公司监事会主席、现任本公司监事会主席。</w:t>
      </w:r>
    </w:p>
    <w:p>
      <w:pPr>
        <w:pStyle w:val="Style30"/>
        <w:keepNext w:val="0"/>
        <w:keepLines w:val="0"/>
        <w:widowControl w:val="0"/>
        <w:shd w:val="clear" w:color="auto" w:fill="auto"/>
        <w:bidi w:val="0"/>
        <w:spacing w:before="0" w:after="40" w:line="322" w:lineRule="exact"/>
        <w:ind w:left="0" w:right="0" w:firstLine="0"/>
        <w:jc w:val="both"/>
      </w:pPr>
      <w:r>
        <w:rPr>
          <w:color w:val="000000"/>
          <w:spacing w:val="0"/>
          <w:w w:val="100"/>
          <w:position w:val="0"/>
        </w:rPr>
        <w:t>张芸芸，女，中国国籍，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月出生，无境外永久居留权，大专学历，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年至今在浙江交通技术有限公司和银江股份 人力资源部工作。现任本公司监事。</w:t>
      </w:r>
    </w:p>
    <w:p>
      <w:pPr>
        <w:pStyle w:val="Style30"/>
        <w:keepNext w:val="0"/>
        <w:keepLines w:val="0"/>
        <w:widowControl w:val="0"/>
        <w:shd w:val="clear" w:color="auto" w:fill="auto"/>
        <w:bidi w:val="0"/>
        <w:spacing w:before="0" w:after="40" w:line="293" w:lineRule="exact"/>
        <w:ind w:left="0" w:right="0" w:firstLine="0"/>
        <w:jc w:val="both"/>
      </w:pPr>
      <w:r>
        <w:rPr>
          <w:color w:val="000000"/>
          <w:spacing w:val="0"/>
          <w:w w:val="100"/>
          <w:position w:val="0"/>
        </w:rPr>
        <w:t>余力航，女，中国国籍，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年至今在银江股份有限公司工作，现任本公 司监事、审计部总监。</w:t>
      </w:r>
    </w:p>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胡慷，男，中国国籍，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月出生，无境外永久居留权，大专学历，中国民主同盟盟员。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年起就职银江股份有限公 司，现任银江股份有限公司副总经理、江苏银江智慧城市技术有限公司董事长。</w:t>
      </w:r>
    </w:p>
    <w:p>
      <w:pPr>
        <w:pStyle w:val="Style30"/>
        <w:keepNext w:val="0"/>
        <w:keepLines w:val="0"/>
        <w:widowControl w:val="0"/>
        <w:shd w:val="clear" w:color="auto" w:fill="auto"/>
        <w:bidi w:val="0"/>
        <w:spacing w:before="0" w:after="40" w:line="319" w:lineRule="exact"/>
        <w:ind w:left="0" w:right="0" w:firstLine="0"/>
        <w:jc w:val="both"/>
      </w:pPr>
      <w:r>
        <w:rPr>
          <w:color w:val="000000"/>
          <w:spacing w:val="0"/>
          <w:w w:val="100"/>
          <w:position w:val="0"/>
        </w:rPr>
        <w:t>张文广，男，中国国籍，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月出生，无境外永久居留权，本科学历，高级工程师。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年起就职银江股份有限公司， 历任杭州银江智慧城市技术集团有限公司执行总裁、总裁，现任银江股份有限公司副总经理、杭州银江智慧城市技术集团有 限公司董事长。</w:t>
      </w:r>
    </w:p>
    <w:p>
      <w:pPr>
        <w:pStyle w:val="Style30"/>
        <w:keepNext w:val="0"/>
        <w:keepLines w:val="0"/>
        <w:widowControl w:val="0"/>
        <w:shd w:val="clear" w:color="auto" w:fill="auto"/>
        <w:bidi w:val="0"/>
        <w:spacing w:before="0" w:after="40" w:line="322" w:lineRule="exact"/>
        <w:ind w:left="0" w:right="0" w:firstLine="0"/>
        <w:jc w:val="both"/>
      </w:pPr>
      <w:r>
        <w:rPr>
          <w:color w:val="000000"/>
          <w:spacing w:val="0"/>
          <w:w w:val="100"/>
          <w:position w:val="0"/>
        </w:rPr>
        <w:t>秦浪，男，中国国籍，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月出生，无境外永久居留权，浙江大学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，经济师职称。</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年起就职银江股份有限公 司，曾在市场管理中心担任管理职务，现任银江股份有限公司副总经理、杭州银江智慧健康集团有限公司董事长。</w:t>
      </w:r>
    </w:p>
    <w:p>
      <w:pPr>
        <w:pStyle w:val="Style30"/>
        <w:keepNext w:val="0"/>
        <w:keepLines w:val="0"/>
        <w:widowControl w:val="0"/>
        <w:shd w:val="clear" w:color="auto" w:fill="auto"/>
        <w:bidi w:val="0"/>
        <w:spacing w:before="0" w:after="40" w:line="322" w:lineRule="exact"/>
        <w:ind w:left="0" w:right="0" w:firstLine="0"/>
        <w:jc w:val="both"/>
      </w:pPr>
      <w:r>
        <w:rPr>
          <w:color w:val="000000"/>
          <w:spacing w:val="0"/>
          <w:w w:val="100"/>
          <w:position w:val="0"/>
        </w:rPr>
        <w:t>韩振兴，男，中国国籍，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年起就职银江股份有限公司，现任银江股份 有限公司副总经理，湖北银江智慧城市技术有限公司总经理。</w:t>
      </w:r>
    </w:p>
    <w:p>
      <w:pPr>
        <w:pStyle w:val="Style30"/>
        <w:keepNext w:val="0"/>
        <w:keepLines w:val="0"/>
        <w:widowControl w:val="0"/>
        <w:shd w:val="clear" w:color="auto" w:fill="auto"/>
        <w:bidi w:val="0"/>
        <w:spacing w:before="0" w:after="40" w:line="326" w:lineRule="exact"/>
        <w:ind w:left="0" w:right="0" w:firstLine="0"/>
        <w:jc w:val="both"/>
      </w:pPr>
      <w:r>
        <w:rPr>
          <w:color w:val="000000"/>
          <w:spacing w:val="0"/>
          <w:w w:val="100"/>
          <w:position w:val="0"/>
        </w:rPr>
        <w:t>孔桦桦，女，中国国籍，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月出生，无境外永久居留权，工业工程硕士。</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年至今在银江股份有限公司工作，历任 监事会主席，现任银江股份有限公司副总经理、企业发展中心总经理。</w:t>
      </w:r>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秦俊峰，男，中国国籍，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月出生，无境外永久居留权，毕业于同济大学交通运输工程学院，本科学历，中级工程师。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年起就职银江股份有限公司，曾任福建银江智慧城市信息技术有限公司董事长，现任银江股份有限公司副总经理、浙江 银江智慧交通集团有限公司执行总经理、浙江银江交通技术有限公司董事长。</w:t>
      </w:r>
    </w:p>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任刚要，男，中国国籍，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月出生，无境外永久居留权，硕士研究生学历，会计师、注册资产评估师。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年起就职 银江股份有限公司，现任银江股份有限公司财务总监、副总经理。</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在其他单位任职情况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349"/>
        <w:gridCol w:w="1421"/>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蒋立靓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贵阳银江智慧城市技术有限公司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349"/>
        <w:gridCol w:w="1421"/>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杭州联盈广告有限公司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浙江银江云计算技术有限公司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董事长兼总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执行董事、总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董事长、法定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349"/>
        <w:gridCol w:w="1421"/>
        <w:gridCol w:w="135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浙江银江智慧城市信息技术研究院有限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韩振兴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执行董事兼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执行董事兼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花少富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山东博安智能科技股份有限公司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四</w:t>
      </w:r>
      <w:bookmarkEnd w:id="501"/>
      <w:r>
        <w:rPr>
          <w:color w:val="000000"/>
          <w:spacing w:val="0"/>
          <w:w w:val="100"/>
          <w:position w:val="0"/>
        </w:rPr>
        <w:t>、董事、监事、高级管理人员报酬情况</w:t>
      </w:r>
      <w:bookmarkEnd w:id="499"/>
      <w:bookmarkEnd w:id="500"/>
      <w:bookmarkEnd w:id="502"/>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董事、监事、高级管理人员报酬的决策程序：董事、监事、高级管理人员薪酬根据公司《年度绩效考核管理办法》确定，由 董事会薪酬与考核委员会组织并考核。</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董事、监事、高级管理人员报酬确定依据：年度绩效目标。</w:t>
      </w:r>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董事、监事和高级管理人员报酬的实际支付情况：工资、津贴次月发放；奖金延后发放。</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王瑞慷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花少富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蒋立靓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黄先海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蒋贤品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罗吉华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韩振兴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秦俊峰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任刚要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572.46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五</w:t>
      </w:r>
      <w:bookmarkEnd w:id="505"/>
      <w:r>
        <w:rPr>
          <w:color w:val="000000"/>
          <w:spacing w:val="0"/>
          <w:w w:val="100"/>
          <w:position w:val="0"/>
        </w:rPr>
        <w:t>、公司员工情况</w:t>
      </w:r>
      <w:bookmarkEnd w:id="503"/>
      <w:bookmarkEnd w:id="504"/>
      <w:bookmarkEnd w:id="506"/>
    </w:p>
    <w:p>
      <w:pPr>
        <w:pStyle w:val="Style33"/>
        <w:keepNext/>
        <w:keepLines/>
        <w:widowControl w:val="0"/>
        <w:shd w:val="clear" w:color="auto" w:fill="auto"/>
        <w:bidi w:val="0"/>
        <w:spacing w:before="0" w:after="30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、员工数量、专业构成及教育程度</w:t>
      </w:r>
      <w:bookmarkEnd w:id="507"/>
      <w:bookmarkEnd w:id="508"/>
      <w:bookmarkEnd w:id="5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bl>
    <w:p>
      <w:pPr>
        <w:widowControl w:val="0"/>
        <w:spacing w:after="319" w:line="1" w:lineRule="exact"/>
      </w:pPr>
    </w:p>
    <w:p>
      <w:pPr>
        <w:pStyle w:val="Style33"/>
        <w:keepNext/>
        <w:keepLines/>
        <w:widowControl w:val="0"/>
        <w:shd w:val="clear" w:color="auto" w:fill="auto"/>
        <w:tabs>
          <w:tab w:pos="378" w:val="left"/>
        </w:tabs>
        <w:bidi w:val="0"/>
        <w:spacing w:before="0" w:after="260" w:line="240" w:lineRule="auto"/>
        <w:ind w:left="0" w:right="0" w:firstLine="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薪酬政策</w:t>
      </w:r>
      <w:bookmarkEnd w:id="511"/>
      <w:bookmarkEnd w:id="512"/>
      <w:bookmarkEnd w:id="514"/>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本公司采用劳动合同制，按照《中华人民共和国劳动合同法》和国家及地方其他有关劳动法律、法规的规定，与员工签订劳 动合同。公司严格执行国家用工制度、劳动保护制度、社会保障制度和医疗保障制度，按照国家规定为员工缴纳社会保险、 医疗保险。公司的员工薪酬政策以《公司薪酬管理制度》为蓝本，充分结合公司实际运营状况，依据岗位职能及工作情况全 方位对员工进行各方面的考核。</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培训计划</w:t>
      </w:r>
      <w:bookmarkEnd w:id="515"/>
      <w:bookmarkEnd w:id="516"/>
      <w:bookmarkEnd w:id="518"/>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公司有着完善的年度培训计划，培训内容包含工作专业技能、安全、管理等各个方面知识，以内部培训、外部培训、在职培 训等多种形式展开。</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劳务外包情况</w:t>
      </w:r>
      <w:bookmarkEnd w:id="519"/>
      <w:bookmarkEnd w:id="520"/>
      <w:bookmarkEnd w:id="522"/>
    </w:p>
    <w:p>
      <w:pPr>
        <w:pStyle w:val="Style30"/>
        <w:keepNext w:val="0"/>
        <w:keepLines w:val="0"/>
        <w:widowControl w:val="0"/>
        <w:shd w:val="clear" w:color="auto" w:fill="auto"/>
        <w:bidi w:val="0"/>
        <w:spacing w:before="0" w:after="300" w:line="312" w:lineRule="exact"/>
        <w:ind w:left="0" w:right="0" w:firstLine="0"/>
        <w:jc w:val="left"/>
        <w:sectPr>
          <w:footnotePr>
            <w:pos w:val="pageBottom"/>
            <w:numFmt w:val="decimal"/>
            <w:numRestart w:val="continuous"/>
          </w:footnotePr>
          <w:pgSz w:w="11900" w:h="16840"/>
          <w:pgMar w:top="1388" w:right="1076" w:bottom="1489"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after="580" w:line="240" w:lineRule="auto"/>
        <w:ind w:left="0" w:right="0" w:firstLine="0"/>
        <w:jc w:val="center"/>
      </w:pPr>
      <w:bookmarkStart w:id="523" w:name="bookmark523"/>
      <w:bookmarkStart w:id="524" w:name="bookmark524"/>
      <w:bookmarkStart w:id="525" w:name="bookmark525"/>
      <w:r>
        <w:rPr>
          <w:color w:val="000000"/>
          <w:spacing w:val="0"/>
          <w:w w:val="100"/>
          <w:position w:val="0"/>
        </w:rPr>
        <w:t>第十节公司治理</w:t>
      </w:r>
      <w:bookmarkEnd w:id="523"/>
      <w:bookmarkEnd w:id="524"/>
      <w:bookmarkEnd w:id="525"/>
    </w:p>
    <w:p>
      <w:pPr>
        <w:pStyle w:val="Style28"/>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rPr>
        <w:t>一</w:t>
      </w:r>
      <w:bookmarkEnd w:id="529"/>
      <w:r>
        <w:rPr>
          <w:color w:val="000000"/>
          <w:spacing w:val="0"/>
          <w:w w:val="100"/>
          <w:position w:val="0"/>
        </w:rPr>
        <w:t>、公司治理的基本状况</w:t>
      </w:r>
      <w:bookmarkEnd w:id="527"/>
      <w:bookmarkEnd w:id="528"/>
      <w:bookmarkEnd w:id="530"/>
      <w:bookmarkEnd w:id="526"/>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报告期内，公司严格按照《公司法》、《证券法》、《上市公司治理准则》、《深圳证券交易所创业板股票上市规则》、《深 圳证券交易所创业板上市公司规范运作指引》等法律法规的要求，不断完善公司治理结构，进一步规范公司运作，提高公司 治理水平。截至报告期末，公司治理的实际状况符合《上市公司治理准则》和《深圳证券交易所创业板上市公司规范运作指 引》的要求。</w:t>
      </w:r>
    </w:p>
    <w:p>
      <w:pPr>
        <w:pStyle w:val="Style30"/>
        <w:keepNext w:val="0"/>
        <w:keepLines w:val="0"/>
        <w:widowControl w:val="0"/>
        <w:shd w:val="clear" w:color="auto" w:fill="auto"/>
        <w:tabs>
          <w:tab w:pos="274" w:val="left"/>
        </w:tabs>
        <w:bidi w:val="0"/>
        <w:spacing w:before="0" w:after="0" w:line="314" w:lineRule="exact"/>
        <w:ind w:left="0" w:right="0" w:firstLine="0"/>
        <w:jc w:val="both"/>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w:t>
        <w:tab/>
        <w:t>关于股东与股东大会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公司严格按照《公司法》、《深圳证券交易所创业板上市公司规范运作指引》、《公司章程》、《股东大会议事规则》等规 定要求，召集、召开股东大会，确保所有股东享有平等地位，保护全体股东的利益。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次股东大会，均 使用网络投票表决和现场投票表决相结合的形式召开，让中小投资者充分行使自己的权利。同时，公司聘请律师出席见证了 股东大会会议的召集、召开和表决程序的合法性，维护股东的合法权益。</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公司拥有独立完整的业务和自主经营能力，在业务、人员、资产、机构、财务等方面均独立于控股股东，公司董事会、监事 会和内部机构独立运作。公司控股股东依法行使其权利并承担义务，没有超越股东大会直接或间接干预公司经营活动，不存 在控股股东、实际控制人利用其控制地位侵害其他股东利益的行为；报告期内公司没有为控股股东及其关联企业提供担保， 亦不存在控股股东非经营性占用公司资金的行为；公司与控股股东及其关联单位不存在同业竞争的情况；公司与控股股东及 其关联单位存在关联交易，已按照信息披露要求对外披露。</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3" w:name="bookmark533"/>
      <w:r>
        <w:rPr>
          <w:rFonts w:ascii="Times New Roman" w:eastAsia="Times New Roman" w:hAnsi="Times New Roman" w:cs="Times New Roman"/>
          <w:color w:val="000000"/>
          <w:spacing w:val="0"/>
          <w:w w:val="100"/>
          <w:position w:val="0"/>
          <w:sz w:val="18"/>
          <w:szCs w:val="18"/>
        </w:rPr>
        <w:t>3</w:t>
      </w:r>
      <w:bookmarkEnd w:id="533"/>
      <w:r>
        <w:rPr>
          <w:color w:val="000000"/>
          <w:spacing w:val="0"/>
          <w:w w:val="100"/>
          <w:position w:val="0"/>
        </w:rPr>
        <w:t>、</w:t>
        <w:tab/>
        <w:t>关于董事和董事会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名，董事会的人数及人员构成符合法律、法规和《公司章程》的要求。公司董事依据 《深圳证券交易所创业板上市公司规范运作指引》、《公司章程》、《董事会议事规则》、《独立董事工作细则》等开展工 作，出席董事会和股东大会，依法行使职权，勤勉尽责地履行职责和义务。报告期内，公司董事会共召开了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次会议，会议 的召集召开程序符合法律法规、《公司章程》及《公司董事会议事规则》的相关规定。公司董事会下设战略决策委员会、提 名委员会、审计委员会、薪酬与考核委员会四个专门委员会。各委员会依据《公司章程》和各委员会议事规则的规定履行职 权。</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4" w:name="bookmark534"/>
      <w:r>
        <w:rPr>
          <w:rFonts w:ascii="Times New Roman" w:eastAsia="Times New Roman" w:hAnsi="Times New Roman" w:cs="Times New Roman"/>
          <w:color w:val="000000"/>
          <w:spacing w:val="0"/>
          <w:w w:val="100"/>
          <w:position w:val="0"/>
          <w:sz w:val="18"/>
          <w:szCs w:val="18"/>
        </w:rPr>
        <w:t>4</w:t>
      </w:r>
      <w:bookmarkEnd w:id="534"/>
      <w:r>
        <w:rPr>
          <w:color w:val="000000"/>
          <w:spacing w:val="0"/>
          <w:w w:val="100"/>
          <w:position w:val="0"/>
        </w:rPr>
        <w:t>、</w:t>
        <w:tab/>
        <w:t>关于监事和监事会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名，监事会的人数和构成符合法律、法规的要求。公司监事能够按照《监事会议事规 则》的要求，认真履行自己的职责，对公司重大事项、财务状况以及董事、高管人员履行职责的合法合规性进行监督。报告 期内，公司监事会共召开了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次会议，会议的召集、召开程序符合法律法规、《公司章程》及《公司监事会议事规则》的相 关规定。</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5" w:name="bookmark535"/>
      <w:r>
        <w:rPr>
          <w:rFonts w:ascii="Times New Roman" w:eastAsia="Times New Roman" w:hAnsi="Times New Roman" w:cs="Times New Roman"/>
          <w:color w:val="000000"/>
          <w:spacing w:val="0"/>
          <w:w w:val="100"/>
          <w:position w:val="0"/>
          <w:sz w:val="18"/>
          <w:szCs w:val="18"/>
        </w:rPr>
        <w:t>5</w:t>
      </w:r>
      <w:bookmarkEnd w:id="535"/>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公司已建立绩效评价与激励约束机制。为调动公司员工工作的积极性，公司针对不同岗位制定不同的绩效考核标准。公司董 事会下设的薪酬与考核委员会负责对公司董事及高管进行绩效考核，且已逐步完善和建立公正、透明的绩效评价标准和激励 约束机制。《公司章程》明确规定了高级管理人员的履职行为、权限和职责，高级管理人员的聘任公开、透明，符合法律、 法规的规定，现有的考核及激励约束机制符合公司的发展现状。</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6" w:name="bookmark536"/>
      <w:r>
        <w:rPr>
          <w:rFonts w:ascii="Times New Roman" w:eastAsia="Times New Roman" w:hAnsi="Times New Roman" w:cs="Times New Roman"/>
          <w:color w:val="000000"/>
          <w:spacing w:val="0"/>
          <w:w w:val="100"/>
          <w:position w:val="0"/>
          <w:sz w:val="18"/>
          <w:szCs w:val="18"/>
        </w:rPr>
        <w:t>6</w:t>
      </w:r>
      <w:bookmarkEnd w:id="536"/>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公司严格按照有关法律法规以及《信息披露管理制度》、《投资者关系管理制度》等的要求，真实、准确、及时、公平、完 整地披露有关信息；并指定公司董事会秘书负责信息披露工作，协调公司与投资者的关系，接待股东来访，回答投资者咨询。 公司指定《证券时报》为信息披露报纸，巨潮资讯网(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为信息披露网站，确保公司所有股东能够以平 等的机会获得信息。</w:t>
      </w:r>
    </w:p>
    <w:p>
      <w:pPr>
        <w:pStyle w:val="Style30"/>
        <w:keepNext w:val="0"/>
        <w:keepLines w:val="0"/>
        <w:widowControl w:val="0"/>
        <w:shd w:val="clear" w:color="auto" w:fill="auto"/>
        <w:tabs>
          <w:tab w:pos="294" w:val="left"/>
        </w:tabs>
        <w:bidi w:val="0"/>
        <w:spacing w:before="0" w:after="0" w:line="314" w:lineRule="exact"/>
        <w:ind w:left="0" w:right="0" w:firstLine="0"/>
        <w:jc w:val="both"/>
      </w:pPr>
      <w:bookmarkStart w:id="537" w:name="bookmark537"/>
      <w:r>
        <w:rPr>
          <w:rFonts w:ascii="Times New Roman" w:eastAsia="Times New Roman" w:hAnsi="Times New Roman" w:cs="Times New Roman"/>
          <w:color w:val="000000"/>
          <w:spacing w:val="0"/>
          <w:w w:val="100"/>
          <w:position w:val="0"/>
          <w:sz w:val="18"/>
          <w:szCs w:val="18"/>
        </w:rPr>
        <w:t>7</w:t>
      </w:r>
      <w:bookmarkEnd w:id="537"/>
      <w:r>
        <w:rPr>
          <w:color w:val="000000"/>
          <w:spacing w:val="0"/>
          <w:w w:val="100"/>
          <w:position w:val="0"/>
        </w:rPr>
        <w:t>、</w:t>
        <w:tab/>
        <w:t>关于相关利益者</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公司充分尊重和维护相关利益者的合法权益，积极与相关利益者合作，加强与各方的沟通和交流，实现股东、员工、社会等 各方利益的协调平衡，共同推动公司持续、健康的发展。</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二</w:t>
      </w:r>
      <w:bookmarkEnd w:id="540"/>
      <w:r>
        <w:rPr>
          <w:color w:val="000000"/>
          <w:spacing w:val="0"/>
          <w:w w:val="100"/>
          <w:position w:val="0"/>
        </w:rPr>
        <w:t>、</w:t>
        <w:tab/>
        <w:t>公司相对于控股股东在业务、人员、资产、机构、财务等方面的独立情况</w:t>
      </w:r>
      <w:bookmarkEnd w:id="538"/>
      <w:bookmarkEnd w:id="539"/>
      <w:bookmarkEnd w:id="541"/>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公司拥有独立完整的业务和自主经营能力，在业务、人员、资产、机构、财务上独立于控股股东，公司董事会、监事会和内 部机构独立运作。</w:t>
      </w:r>
    </w:p>
    <w:p>
      <w:pPr>
        <w:pStyle w:val="Style28"/>
        <w:keepNext/>
        <w:keepLines/>
        <w:widowControl w:val="0"/>
        <w:shd w:val="clear" w:color="auto" w:fill="auto"/>
        <w:tabs>
          <w:tab w:pos="522"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三</w:t>
      </w:r>
      <w:bookmarkEnd w:id="544"/>
      <w:r>
        <w:rPr>
          <w:color w:val="000000"/>
          <w:spacing w:val="0"/>
          <w:w w:val="100"/>
          <w:position w:val="0"/>
        </w:rPr>
        <w:t>、</w:t>
        <w:tab/>
        <w:t>同业竞争情况</w:t>
      </w:r>
      <w:bookmarkEnd w:id="542"/>
      <w:bookmarkEnd w:id="543"/>
      <w:bookmarkEnd w:id="545"/>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四</w:t>
      </w:r>
      <w:bookmarkEnd w:id="548"/>
      <w:r>
        <w:rPr>
          <w:color w:val="000000"/>
          <w:spacing w:val="0"/>
          <w:w w:val="100"/>
          <w:position w:val="0"/>
        </w:rPr>
        <w:t>、报告期内召开的年度股东大会和临时股东大会的有关情况</w:t>
      </w:r>
      <w:bookmarkEnd w:id="546"/>
      <w:bookmarkEnd w:id="547"/>
      <w:bookmarkEnd w:id="549"/>
    </w:p>
    <w:p>
      <w:pPr>
        <w:pStyle w:val="Style33"/>
        <w:keepNext/>
        <w:keepLines/>
        <w:widowControl w:val="0"/>
        <w:shd w:val="clear" w:color="auto" w:fill="auto"/>
        <w:bidi w:val="0"/>
        <w:spacing w:before="0" w:after="34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、本报告期股东大会情况</w:t>
      </w:r>
      <w:bookmarkEnd w:id="550"/>
      <w:bookmarkEnd w:id="551"/>
      <w:bookmarkEnd w:id="55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、表决权恢复的优先股股东请求召开临时股东大会</w:t>
      </w:r>
      <w:bookmarkEnd w:id="554"/>
      <w:bookmarkEnd w:id="555"/>
      <w:bookmarkEnd w:id="55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五</w:t>
      </w:r>
      <w:bookmarkEnd w:id="560"/>
      <w:r>
        <w:rPr>
          <w:color w:val="000000"/>
          <w:spacing w:val="0"/>
          <w:w w:val="100"/>
          <w:position w:val="0"/>
        </w:rPr>
        <w:t>、报告期内独立董事履行职责的情况</w:t>
      </w:r>
      <w:bookmarkEnd w:id="558"/>
      <w:bookmarkEnd w:id="559"/>
      <w:bookmarkEnd w:id="561"/>
    </w:p>
    <w:p>
      <w:pPr>
        <w:pStyle w:val="Style33"/>
        <w:keepNext/>
        <w:keepLines/>
        <w:widowControl w:val="0"/>
        <w:shd w:val="clear" w:color="auto" w:fill="auto"/>
        <w:bidi w:val="0"/>
        <w:spacing w:before="0" w:after="34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、独立董事出席董事会及股东大会的情况</w:t>
      </w:r>
      <w:bookmarkEnd w:id="562"/>
      <w:bookmarkEnd w:id="563"/>
      <w:bookmarkEnd w:id="565"/>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蒋贤品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罗吉华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435"/>
        <w:gridCol w:w="1166"/>
        <w:gridCol w:w="1162"/>
        <w:gridCol w:w="1162"/>
        <w:gridCol w:w="1166"/>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黄先海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独立董事对公司有关事项提出异议的情况</w:t>
      </w:r>
      <w:bookmarkEnd w:id="566"/>
      <w:bookmarkEnd w:id="567"/>
      <w:bookmarkEnd w:id="569"/>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独立董事履行职责的其他说明</w:t>
      </w:r>
      <w:bookmarkEnd w:id="570"/>
      <w:bookmarkEnd w:id="571"/>
      <w:bookmarkEnd w:id="573"/>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报告期内，独立董事对公司提出的合理建议均被采纳。</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六</w:t>
      </w:r>
      <w:bookmarkEnd w:id="576"/>
      <w:r>
        <w:rPr>
          <w:color w:val="000000"/>
          <w:spacing w:val="0"/>
          <w:w w:val="100"/>
          <w:position w:val="0"/>
        </w:rPr>
        <w:t>、</w:t>
        <w:tab/>
        <w:t>董事会下设专门委员会在报告期内履行职责情况</w:t>
      </w:r>
      <w:bookmarkEnd w:id="574"/>
      <w:bookmarkEnd w:id="575"/>
      <w:bookmarkEnd w:id="577"/>
    </w:p>
    <w:p>
      <w:pPr>
        <w:pStyle w:val="Style30"/>
        <w:keepNext w:val="0"/>
        <w:keepLines w:val="0"/>
        <w:widowControl w:val="0"/>
        <w:shd w:val="clear" w:color="auto" w:fill="auto"/>
        <w:tabs>
          <w:tab w:pos="358" w:val="left"/>
        </w:tabs>
        <w:bidi w:val="0"/>
        <w:spacing w:before="0" w:after="0" w:line="314" w:lineRule="exact"/>
        <w:ind w:left="0" w:right="0" w:firstLine="0"/>
        <w:jc w:val="left"/>
      </w:pPr>
      <w:bookmarkStart w:id="578" w:name="bookmark578"/>
      <w:r>
        <w:rPr>
          <w:rFonts w:ascii="Times New Roman" w:eastAsia="Times New Roman" w:hAnsi="Times New Roman" w:cs="Times New Roman"/>
          <w:color w:val="000000"/>
          <w:spacing w:val="0"/>
          <w:w w:val="100"/>
          <w:position w:val="0"/>
          <w:sz w:val="18"/>
          <w:szCs w:val="18"/>
        </w:rPr>
        <w:t>1</w:t>
      </w:r>
      <w:bookmarkEnd w:id="578"/>
      <w:r>
        <w:rPr>
          <w:color w:val="000000"/>
          <w:spacing w:val="0"/>
          <w:w w:val="100"/>
          <w:position w:val="0"/>
        </w:rPr>
        <w:t>、</w:t>
        <w:tab/>
        <w:t>提名委员会履职情况：报告期内，提名委员会就公司独立董事黄先海离职并换选罗吉华为独立董事等相关事项进行审查 并提出建议，形成决议并提交董事会审议。</w:t>
      </w:r>
    </w:p>
    <w:p>
      <w:pPr>
        <w:pStyle w:val="Style30"/>
        <w:keepNext w:val="0"/>
        <w:keepLines w:val="0"/>
        <w:widowControl w:val="0"/>
        <w:shd w:val="clear" w:color="auto" w:fill="auto"/>
        <w:tabs>
          <w:tab w:pos="358" w:val="left"/>
        </w:tabs>
        <w:bidi w:val="0"/>
        <w:spacing w:before="0" w:after="0" w:line="314" w:lineRule="exact"/>
        <w:ind w:left="0" w:right="0" w:firstLine="0"/>
        <w:jc w:val="left"/>
      </w:pPr>
      <w:bookmarkStart w:id="579" w:name="bookmark579"/>
      <w:r>
        <w:rPr>
          <w:rFonts w:ascii="Times New Roman" w:eastAsia="Times New Roman" w:hAnsi="Times New Roman" w:cs="Times New Roman"/>
          <w:color w:val="000000"/>
          <w:spacing w:val="0"/>
          <w:w w:val="100"/>
          <w:position w:val="0"/>
          <w:sz w:val="18"/>
          <w:szCs w:val="18"/>
        </w:rPr>
        <w:t>2</w:t>
      </w:r>
      <w:bookmarkEnd w:id="579"/>
      <w:r>
        <w:rPr>
          <w:color w:val="000000"/>
          <w:spacing w:val="0"/>
          <w:w w:val="100"/>
          <w:position w:val="0"/>
        </w:rPr>
        <w:t>、</w:t>
        <w:tab/>
        <w:t>战略决策委员会履职情况：报告期内，战略决策委员会讨论审议了终止公开发行可转换公司债券、创业板非公开发行股 票事项、终止参与发起设立大爱人寿保险股份有限公司等相关事宜。</w:t>
      </w:r>
    </w:p>
    <w:p>
      <w:pPr>
        <w:pStyle w:val="Style30"/>
        <w:keepNext w:val="0"/>
        <w:keepLines w:val="0"/>
        <w:widowControl w:val="0"/>
        <w:shd w:val="clear" w:color="auto" w:fill="auto"/>
        <w:bidi w:val="0"/>
        <w:spacing w:before="0" w:after="0" w:line="314" w:lineRule="exact"/>
        <w:ind w:left="0" w:right="0" w:firstLine="0"/>
        <w:jc w:val="left"/>
      </w:pPr>
      <w:bookmarkStart w:id="580" w:name="bookmark580"/>
      <w:r>
        <w:rPr>
          <w:rFonts w:ascii="Times New Roman" w:eastAsia="Times New Roman" w:hAnsi="Times New Roman" w:cs="Times New Roman"/>
          <w:color w:val="000000"/>
          <w:spacing w:val="0"/>
          <w:w w:val="100"/>
          <w:position w:val="0"/>
          <w:sz w:val="18"/>
          <w:szCs w:val="18"/>
        </w:rPr>
        <w:t>3</w:t>
      </w:r>
      <w:bookmarkEnd w:id="580"/>
      <w:r>
        <w:rPr>
          <w:color w:val="000000"/>
          <w:spacing w:val="0"/>
          <w:w w:val="100"/>
          <w:position w:val="0"/>
        </w:rPr>
        <w:t>、 审计委员会履职情况：审计委员会主要负责公司内外部审计的沟通和协调，组织内部审计、内部控制体系的建设等相关 工作。报告期内，审计委员会主要审议了公司内部审计部门提交的内审财务报告，对内部审计部门的工作进行监督和指导。 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年年报编制和审计过程中，审计委员会与审计机构沟通确定了年度财务报告审计工作的时间安排，对公司的财务报表 进行了审计并形成了内部审计书面报告。报告期内，审计委员会就新聘会计师事务所、关联交易等事项进行审查并评议，形 成决议并提交董事会审议。</w:t>
      </w:r>
    </w:p>
    <w:p>
      <w:pPr>
        <w:pStyle w:val="Style30"/>
        <w:keepNext w:val="0"/>
        <w:keepLines w:val="0"/>
        <w:widowControl w:val="0"/>
        <w:shd w:val="clear" w:color="auto" w:fill="auto"/>
        <w:tabs>
          <w:tab w:pos="358" w:val="left"/>
        </w:tabs>
        <w:bidi w:val="0"/>
        <w:spacing w:before="0" w:after="380" w:line="314" w:lineRule="exact"/>
        <w:ind w:left="0" w:right="0" w:firstLine="0"/>
        <w:jc w:val="left"/>
      </w:pPr>
      <w:bookmarkStart w:id="581" w:name="bookmark581"/>
      <w:r>
        <w:rPr>
          <w:rFonts w:ascii="Times New Roman" w:eastAsia="Times New Roman" w:hAnsi="Times New Roman" w:cs="Times New Roman"/>
          <w:color w:val="000000"/>
          <w:spacing w:val="0"/>
          <w:w w:val="100"/>
          <w:position w:val="0"/>
          <w:sz w:val="18"/>
          <w:szCs w:val="18"/>
        </w:rPr>
        <w:t>4</w:t>
      </w:r>
      <w:bookmarkEnd w:id="581"/>
      <w:r>
        <w:rPr>
          <w:color w:val="000000"/>
          <w:spacing w:val="0"/>
          <w:w w:val="100"/>
          <w:position w:val="0"/>
        </w:rPr>
        <w:t>、</w:t>
        <w:tab/>
        <w:t>薪酬与考核委员会履职情况：报告期内，薪酬与考核委员会审查公司董事（非独立董事）及高级管理人员的履职情况并 对其进行年度绩效考评，同时，对公司薪酬制度执行情况予以监督。</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七</w:t>
      </w:r>
      <w:bookmarkEnd w:id="584"/>
      <w:r>
        <w:rPr>
          <w:color w:val="000000"/>
          <w:spacing w:val="0"/>
          <w:w w:val="100"/>
          <w:position w:val="0"/>
        </w:rPr>
        <w:t>、</w:t>
        <w:tab/>
        <w:t>监事会工作情况</w:t>
      </w:r>
      <w:bookmarkEnd w:id="582"/>
      <w:bookmarkEnd w:id="583"/>
      <w:bookmarkEnd w:id="585"/>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八</w:t>
      </w:r>
      <w:bookmarkEnd w:id="588"/>
      <w:r>
        <w:rPr>
          <w:color w:val="000000"/>
          <w:spacing w:val="0"/>
          <w:w w:val="100"/>
          <w:position w:val="0"/>
        </w:rPr>
        <w:t>、</w:t>
        <w:tab/>
        <w:t>高级管理人员的考评及激励情况</w:t>
      </w:r>
      <w:bookmarkEnd w:id="586"/>
      <w:bookmarkEnd w:id="587"/>
      <w:bookmarkEnd w:id="589"/>
    </w:p>
    <w:p>
      <w:pPr>
        <w:pStyle w:val="Style30"/>
        <w:keepNext w:val="0"/>
        <w:keepLines w:val="0"/>
        <w:widowControl w:val="0"/>
        <w:shd w:val="clear" w:color="auto" w:fill="auto"/>
        <w:bidi w:val="0"/>
        <w:spacing w:before="0" w:after="260" w:line="295" w:lineRule="exact"/>
        <w:ind w:left="0" w:right="0" w:firstLine="0"/>
        <w:jc w:val="left"/>
      </w:pPr>
      <w:r>
        <w:rPr>
          <w:color w:val="000000"/>
          <w:spacing w:val="0"/>
          <w:w w:val="100"/>
          <w:position w:val="0"/>
        </w:rPr>
        <w:t>公司高级管理人员的薪资由基本薪酬和绩效奖金构成，基本薪酬参考市场同类薪酬标准，结合考虑职位、责任、能力等因素 确定，基本薪酬按月平均发放。绩效奖金根据《公司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年度经营业绩考核责任书》，结合年度绩效考核结果等确定。薪资 水平与其承担责任、风险和经营业绩挂钩。</w:t>
      </w:r>
    </w:p>
    <w:p>
      <w:pPr>
        <w:pStyle w:val="Style28"/>
        <w:keepNext/>
        <w:keepLines/>
        <w:widowControl w:val="0"/>
        <w:shd w:val="clear" w:color="auto" w:fill="auto"/>
        <w:bidi w:val="0"/>
        <w:spacing w:before="0" w:after="38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九</w:t>
      </w:r>
      <w:bookmarkEnd w:id="592"/>
      <w:r>
        <w:rPr>
          <w:color w:val="000000"/>
          <w:spacing w:val="0"/>
          <w:w w:val="100"/>
          <w:position w:val="0"/>
        </w:rPr>
        <w:t>、内部控制评价报告</w:t>
      </w:r>
      <w:bookmarkEnd w:id="590"/>
      <w:bookmarkEnd w:id="591"/>
      <w:bookmarkEnd w:id="593"/>
    </w:p>
    <w:p>
      <w:pPr>
        <w:pStyle w:val="Style33"/>
        <w:keepNext/>
        <w:keepLines/>
        <w:widowControl w:val="0"/>
        <w:shd w:val="clear" w:color="auto" w:fill="auto"/>
        <w:tabs>
          <w:tab w:pos="326" w:val="left"/>
        </w:tabs>
        <w:bidi w:val="0"/>
        <w:spacing w:before="0" w:after="260" w:line="240" w:lineRule="auto"/>
        <w:ind w:left="0" w:right="0" w:firstLine="0"/>
        <w:jc w:val="both"/>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w:t>
        <w:tab/>
        <w:t>报告期内发现的内部控制重大缺陷的具体情况</w:t>
      </w:r>
      <w:bookmarkEnd w:id="594"/>
      <w:bookmarkEnd w:id="595"/>
      <w:bookmarkEnd w:id="597"/>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如财务报表附注十、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）关联方资金拆借和附注十四、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）描述了公司控股股东银江科技集团有限公司（以下简称“银 江集团”）存在通过资金往来、应付账款、在建工程、对外投资等形式占用公司资金的情况。其中，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年度累计发生金额 </w:t>
      </w:r>
      <w:r>
        <w:rPr>
          <w:rFonts w:ascii="Times New Roman" w:eastAsia="Times New Roman" w:hAnsi="Times New Roman" w:cs="Times New Roman"/>
          <w:color w:val="000000"/>
          <w:spacing w:val="0"/>
          <w:w w:val="100"/>
          <w:position w:val="0"/>
          <w:sz w:val="18"/>
          <w:szCs w:val="18"/>
        </w:rPr>
        <w:t>50,398.00</w:t>
      </w:r>
      <w:r>
        <w:rPr>
          <w:color w:val="000000"/>
          <w:spacing w:val="0"/>
          <w:w w:val="100"/>
          <w:position w:val="0"/>
        </w:rPr>
        <w:t>万元，累计偿还金额</w:t>
      </w:r>
      <w:r>
        <w:rPr>
          <w:rFonts w:ascii="Times New Roman" w:eastAsia="Times New Roman" w:hAnsi="Times New Roman" w:cs="Times New Roman"/>
          <w:color w:val="000000"/>
          <w:spacing w:val="0"/>
          <w:w w:val="100"/>
          <w:position w:val="0"/>
          <w:sz w:val="18"/>
          <w:szCs w:val="18"/>
        </w:rPr>
        <w:t>45,398.00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年年末占用资金余额</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年度累计发生金额</w:t>
      </w:r>
      <w:r>
        <w:rPr>
          <w:rFonts w:ascii="Times New Roman" w:eastAsia="Times New Roman" w:hAnsi="Times New Roman" w:cs="Times New Roman"/>
          <w:color w:val="000000"/>
          <w:spacing w:val="0"/>
          <w:w w:val="100"/>
          <w:position w:val="0"/>
          <w:sz w:val="18"/>
          <w:szCs w:val="18"/>
        </w:rPr>
        <w:t xml:space="preserve">97,657.40 </w:t>
      </w:r>
      <w:r>
        <w:rPr>
          <w:color w:val="000000"/>
          <w:spacing w:val="0"/>
          <w:w w:val="100"/>
          <w:position w:val="0"/>
        </w:rPr>
        <w:t>万元，累计偿还金额</w:t>
      </w:r>
      <w:r>
        <w:rPr>
          <w:rFonts w:ascii="Times New Roman" w:eastAsia="Times New Roman" w:hAnsi="Times New Roman" w:cs="Times New Roman"/>
          <w:color w:val="000000"/>
          <w:spacing w:val="0"/>
          <w:w w:val="100"/>
          <w:position w:val="0"/>
          <w:sz w:val="18"/>
          <w:szCs w:val="18"/>
        </w:rPr>
        <w:t>84,335.00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年年末占用资金余额</w:t>
      </w:r>
      <w:r>
        <w:rPr>
          <w:rFonts w:ascii="Times New Roman" w:eastAsia="Times New Roman" w:hAnsi="Times New Roman" w:cs="Times New Roman"/>
          <w:color w:val="000000"/>
          <w:spacing w:val="0"/>
          <w:w w:val="100"/>
          <w:position w:val="0"/>
          <w:sz w:val="18"/>
          <w:szCs w:val="18"/>
        </w:rPr>
        <w:t>18,322.40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月累计发生金额</w:t>
      </w:r>
      <w:r>
        <w:rPr>
          <w:rFonts w:ascii="Times New Roman" w:eastAsia="Times New Roman" w:hAnsi="Times New Roman" w:cs="Times New Roman"/>
          <w:color w:val="000000"/>
          <w:spacing w:val="0"/>
          <w:w w:val="100"/>
          <w:position w:val="0"/>
          <w:sz w:val="18"/>
          <w:szCs w:val="18"/>
        </w:rPr>
        <w:t>71,725.41</w:t>
      </w:r>
      <w:r>
        <w:rPr>
          <w:color w:val="000000"/>
          <w:spacing w:val="0"/>
          <w:w w:val="100"/>
          <w:position w:val="0"/>
        </w:rPr>
        <w:t>万元， 累计偿还金额</w:t>
      </w:r>
      <w:r>
        <w:rPr>
          <w:rFonts w:ascii="Times New Roman" w:eastAsia="Times New Roman" w:hAnsi="Times New Roman" w:cs="Times New Roman"/>
          <w:color w:val="000000"/>
          <w:spacing w:val="0"/>
          <w:w w:val="100"/>
          <w:position w:val="0"/>
          <w:sz w:val="18"/>
          <w:szCs w:val="18"/>
        </w:rPr>
        <w:t>90,047.81</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日本金均已还清；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月偿还利息</w:t>
      </w:r>
      <w:r>
        <w:rPr>
          <w:rFonts w:ascii="Times New Roman" w:eastAsia="Times New Roman" w:hAnsi="Times New Roman" w:cs="Times New Roman"/>
          <w:color w:val="000000"/>
          <w:spacing w:val="0"/>
          <w:w w:val="100"/>
          <w:position w:val="0"/>
          <w:sz w:val="18"/>
          <w:szCs w:val="18"/>
        </w:rPr>
        <w:t>3,805.44</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日利息均已还清；截止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日无资金占用。</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如财务报表附注十四、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年期间银江集团通过控制银江股份公司参股的杭州银江智慧产业创业投资 合伙企业（有限合伙）（以下简称“产业基金”）向特定项目投资等方式，由被投资方将资金转入银江集团及其关联方的方式 占用产业基金资金的情况。按照银江股份公司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年末对产业基金的实缴出资比例计算，银江集团形成对银江股份公司的 间接资金占用本息合计</w:t>
      </w:r>
      <w:r>
        <w:rPr>
          <w:rFonts w:ascii="Times New Roman" w:eastAsia="Times New Roman" w:hAnsi="Times New Roman" w:cs="Times New Roman"/>
          <w:color w:val="000000"/>
          <w:spacing w:val="0"/>
          <w:w w:val="100"/>
          <w:position w:val="0"/>
          <w:sz w:val="18"/>
          <w:szCs w:val="18"/>
        </w:rPr>
        <w:t>21,461.73</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日，为消除对银江股份公司的间接资金占用，产业基金已将银 江集团归还的资金进行了预分配。银江股份公司累计已收到产业基金预分配的资金</w:t>
      </w:r>
      <w:r>
        <w:rPr>
          <w:rFonts w:ascii="Times New Roman" w:eastAsia="Times New Roman" w:hAnsi="Times New Roman" w:cs="Times New Roman"/>
          <w:color w:val="000000"/>
          <w:spacing w:val="0"/>
          <w:w w:val="100"/>
          <w:position w:val="0"/>
          <w:sz w:val="18"/>
          <w:szCs w:val="18"/>
        </w:rPr>
        <w:t>21,461.73</w:t>
      </w:r>
      <w:r>
        <w:rPr>
          <w:color w:val="000000"/>
          <w:spacing w:val="0"/>
          <w:w w:val="100"/>
          <w:position w:val="0"/>
        </w:rPr>
        <w:t>万元，银江集团通过产业基金 形成对银江股份公司的间接资金占用已全部消除。</w:t>
      </w:r>
    </w:p>
    <w:p>
      <w:pPr>
        <w:pStyle w:val="Style33"/>
        <w:keepNext/>
        <w:keepLines/>
        <w:widowControl w:val="0"/>
        <w:shd w:val="clear" w:color="auto" w:fill="auto"/>
        <w:tabs>
          <w:tab w:pos="326" w:val="left"/>
        </w:tabs>
        <w:bidi w:val="0"/>
        <w:spacing w:before="0" w:after="32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内控自我评价报告</w:t>
      </w:r>
      <w:bookmarkEnd w:id="598"/>
      <w:bookmarkEnd w:id="599"/>
      <w:bookmarkEnd w:id="60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财务报告重大缺陷的迹象包括：①公司董 事、监事和高级管理人员的舞弊行为；② 公司更正已公布的财务报告；③注册会计 师发现的却未被公司内部控制识别的当期 财务报告中的重大错报；④审计委员会和 审计部门对公司的对外财务报告和财务报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 财务报告过程的控制存在一项或多项缺陷 且不能合理保证编制的财务报表达到真 实、完整的目标。一般缺陷是指除上述重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大缺陷、重要缺陷之外的其他控制缺陷。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财务报告定量标准以营业收入、资产总额 作为衡量指标。内部控制缺陷可能导致或 导致的损失与利润表相关的，以营业收入 指标衡量。如果该缺陷单独或连同其他缺 陷可能导致的财务报告错报金额小于营业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 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重大缺陷。内部控制缺陷可能导致或导致 的损失与资产管理相关的，以资产总额指 标衡量。如果该缺陷单独或连同其他缺陷 可能导致的财务报告错报金额小于资产总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 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 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非财务报告定量标准以营业收入、资产 总额作为衡量指标。内部控制缺陷可能 导致或导致的损失与利润报表相关的， 以营业收入指标衡量。如果该缺陷单独 或连同其他缺陷可能导致的损失金额 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则认定为重要缺陷；如果超过营业收入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,则认定为重大缺陷。内部控制 缺陷可能导致或导致的损失与资产管 理相关的，以资产总额指标衡量。如果 该缺陷单独或连同其他缺陷可能导致 的损失小于资产总额的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一般缺陷；如果超过资产总额的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则认定为重要缺陷；如果超过 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r>
        <w:rPr>
          <w:color w:val="000000"/>
          <w:spacing w:val="0"/>
          <w:w w:val="100"/>
          <w:position w:val="0"/>
        </w:rPr>
        <w:t>十、内部控制审计报告或鉴证报告</w:t>
      </w:r>
      <w:bookmarkEnd w:id="602"/>
      <w:bookmarkEnd w:id="603"/>
      <w:bookmarkEnd w:id="604"/>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58" w:bottom="1585" w:left="1069"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05" w:name="bookmark605"/>
      <w:bookmarkStart w:id="606" w:name="bookmark606"/>
      <w:bookmarkStart w:id="607" w:name="bookmark607"/>
      <w:r>
        <w:rPr>
          <w:color w:val="000000"/>
          <w:spacing w:val="0"/>
          <w:w w:val="100"/>
          <w:position w:val="0"/>
        </w:rPr>
        <w:t>第十一节公司债券相关情况</w:t>
      </w:r>
      <w:bookmarkEnd w:id="605"/>
      <w:bookmarkEnd w:id="606"/>
      <w:bookmarkEnd w:id="607"/>
    </w:p>
    <w:p>
      <w:pPr>
        <w:pStyle w:val="Style30"/>
        <w:keepNext w:val="0"/>
        <w:keepLines w:val="0"/>
        <w:widowControl w:val="0"/>
        <w:shd w:val="clear" w:color="auto" w:fill="auto"/>
        <w:bidi w:val="0"/>
        <w:spacing w:before="0" w:after="140" w:line="240" w:lineRule="auto"/>
        <w:ind w:left="0" w:right="0" w:firstLine="0"/>
        <w:jc w:val="left"/>
      </w:pPr>
      <w:bookmarkStart w:id="608" w:name="bookmark608"/>
      <w:r>
        <w:rPr>
          <w:color w:val="000000"/>
          <w:spacing w:val="0"/>
          <w:w w:val="100"/>
          <w:position w:val="0"/>
        </w:rPr>
        <w:t>公司是否存在公开发行并在证券交易所上市，且在年度报告批准报出日未到期或到期未能全额兑付的公司债券</w:t>
      </w:r>
      <w:bookmarkEnd w:id="608"/>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00" w:after="580" w:line="240" w:lineRule="auto"/>
        <w:ind w:left="0" w:right="0" w:firstLine="0"/>
        <w:jc w:val="center"/>
      </w:pPr>
      <w:bookmarkStart w:id="609" w:name="bookmark609"/>
      <w:bookmarkStart w:id="610" w:name="bookmark610"/>
      <w:bookmarkStart w:id="611" w:name="bookmark611"/>
      <w:r>
        <w:rPr>
          <w:color w:val="000000"/>
          <w:spacing w:val="0"/>
          <w:w w:val="100"/>
          <w:position w:val="0"/>
        </w:rPr>
        <w:t>第十二节财务报告</w:t>
      </w:r>
      <w:bookmarkEnd w:id="609"/>
      <w:bookmarkEnd w:id="610"/>
      <w:bookmarkEnd w:id="611"/>
    </w:p>
    <w:p>
      <w:pPr>
        <w:pStyle w:val="Style28"/>
        <w:keepNext/>
        <w:keepLines/>
        <w:widowControl w:val="0"/>
        <w:shd w:val="clear" w:color="auto" w:fill="auto"/>
        <w:bidi w:val="0"/>
        <w:spacing w:before="0" w:after="320" w:line="240" w:lineRule="auto"/>
        <w:ind w:left="0" w:right="0" w:firstLine="0"/>
        <w:jc w:val="both"/>
      </w:pPr>
      <w:bookmarkStart w:id="612" w:name="bookmark612"/>
      <w:bookmarkStart w:id="613" w:name="bookmark613"/>
      <w:bookmarkStart w:id="614" w:name="bookmark614"/>
      <w:bookmarkStart w:id="615" w:name="bookmark615"/>
      <w:bookmarkStart w:id="616" w:name="bookmark616"/>
      <w:r>
        <w:rPr>
          <w:color w:val="000000"/>
          <w:spacing w:val="0"/>
          <w:w w:val="100"/>
          <w:position w:val="0"/>
        </w:rPr>
        <w:t>一</w:t>
      </w:r>
      <w:bookmarkEnd w:id="615"/>
      <w:r>
        <w:rPr>
          <w:color w:val="000000"/>
          <w:spacing w:val="0"/>
          <w:w w:val="100"/>
          <w:position w:val="0"/>
        </w:rPr>
        <w:t>、审计报告</w:t>
      </w:r>
      <w:bookmarkEnd w:id="613"/>
      <w:bookmarkEnd w:id="614"/>
      <w:bookmarkEnd w:id="616"/>
      <w:bookmarkEnd w:id="6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510039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高敏建、庞玉文</w:t>
            </w:r>
          </w:p>
        </w:tc>
      </w:tr>
    </w:tbl>
    <w:p>
      <w:pPr>
        <w:pStyle w:val="Style3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59" w:line="1" w:lineRule="exact"/>
      </w:pPr>
    </w:p>
    <w:p>
      <w:pPr>
        <w:pStyle w:val="Style23"/>
        <w:keepNext w:val="0"/>
        <w:keepLines w:val="0"/>
        <w:widowControl w:val="0"/>
        <w:shd w:val="clear" w:color="auto" w:fill="auto"/>
        <w:bidi w:val="0"/>
        <w:spacing w:before="0" w:after="0" w:line="240" w:lineRule="auto"/>
        <w:ind w:left="0" w:right="0" w:firstLine="0"/>
        <w:jc w:val="center"/>
        <w:rPr>
          <w:sz w:val="30"/>
          <w:szCs w:val="30"/>
        </w:rPr>
      </w:pPr>
      <w:r>
        <w:rPr>
          <w:color w:val="A21920"/>
          <w:spacing w:val="0"/>
          <w:w w:val="100"/>
          <w:position w:val="0"/>
          <w:sz w:val="30"/>
          <w:szCs w:val="30"/>
        </w:rPr>
        <w:t>@</w:t>
      </w:r>
      <w:r>
        <w:rPr>
          <w:color w:val="000000"/>
          <w:spacing w:val="0"/>
          <w:w w:val="100"/>
          <w:position w:val="0"/>
          <w:sz w:val="30"/>
          <w:szCs w:val="30"/>
        </w:rPr>
        <w:t>审计报告</w:t>
      </w:r>
    </w:p>
    <w:p>
      <w:pPr>
        <w:pStyle w:val="Style30"/>
        <w:keepNext w:val="0"/>
        <w:keepLines w:val="0"/>
        <w:widowControl w:val="0"/>
        <w:shd w:val="clear" w:color="auto" w:fill="auto"/>
        <w:bidi w:val="0"/>
        <w:spacing w:before="0" w:after="160" w:line="312" w:lineRule="exact"/>
        <w:ind w:left="0" w:right="0" w:firstLine="0"/>
        <w:jc w:val="right"/>
      </w:pPr>
      <w:r>
        <w:rPr>
          <w:color w:val="000000"/>
          <w:spacing w:val="0"/>
          <w:w w:val="100"/>
          <w:position w:val="0"/>
        </w:rPr>
        <w:t>中兴华审字</w:t>
      </w:r>
      <w:r>
        <w:rPr>
          <w:color w:val="000000"/>
          <w:spacing w:val="0"/>
          <w:w w:val="100"/>
          <w:position w:val="0"/>
          <w:sz w:val="16"/>
          <w:szCs w:val="16"/>
        </w:rPr>
        <w:t>（2021）510039</w:t>
      </w:r>
      <w:r>
        <w:rPr>
          <w:color w:val="000000"/>
          <w:spacing w:val="0"/>
          <w:w w:val="100"/>
          <w:position w:val="0"/>
        </w:rPr>
        <w:t>号</w:t>
      </w:r>
    </w:p>
    <w:p>
      <w:pPr>
        <w:pStyle w:val="Style30"/>
        <w:keepNext w:val="0"/>
        <w:keepLines w:val="0"/>
        <w:widowControl w:val="0"/>
        <w:shd w:val="clear" w:color="auto" w:fill="auto"/>
        <w:bidi w:val="0"/>
        <w:spacing w:before="0" w:after="160" w:line="312" w:lineRule="exact"/>
        <w:ind w:left="0" w:right="0" w:firstLine="0"/>
        <w:jc w:val="left"/>
      </w:pPr>
      <w:r>
        <w:rPr>
          <w:b/>
          <w:bCs/>
          <w:color w:val="000000"/>
          <w:spacing w:val="0"/>
          <w:w w:val="100"/>
          <w:position w:val="0"/>
        </w:rPr>
        <w:t>银江股份有限公司全体股东：</w:t>
      </w:r>
    </w:p>
    <w:p>
      <w:pPr>
        <w:pStyle w:val="Style30"/>
        <w:keepNext w:val="0"/>
        <w:keepLines w:val="0"/>
        <w:widowControl w:val="0"/>
        <w:shd w:val="clear" w:color="auto" w:fill="auto"/>
        <w:tabs>
          <w:tab w:pos="820" w:val="left"/>
        </w:tabs>
        <w:bidi w:val="0"/>
        <w:spacing w:before="0" w:after="0" w:line="312" w:lineRule="exact"/>
        <w:ind w:left="0" w:right="0" w:firstLine="380"/>
        <w:jc w:val="both"/>
      </w:pPr>
      <w:bookmarkStart w:id="617" w:name="bookmark617"/>
      <w:r>
        <w:rPr>
          <w:b/>
          <w:bCs/>
          <w:color w:val="000000"/>
          <w:spacing w:val="0"/>
          <w:w w:val="100"/>
          <w:position w:val="0"/>
        </w:rPr>
        <w:t>一</w:t>
      </w:r>
      <w:bookmarkEnd w:id="617"/>
      <w:r>
        <w:rPr>
          <w:b/>
          <w:bCs/>
          <w:color w:val="000000"/>
          <w:spacing w:val="0"/>
          <w:w w:val="100"/>
          <w:position w:val="0"/>
        </w:rPr>
        <w:t>、</w:t>
        <w:tab/>
        <w:t>审计意见</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我们审计了银江股份有限公司（以下简称“银江公司”）财务报表，包括</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日的合并及母公司资产负债表， </w:t>
      </w:r>
      <w:r>
        <w:rPr>
          <w:color w:val="000000"/>
          <w:spacing w:val="0"/>
          <w:w w:val="100"/>
          <w:position w:val="0"/>
          <w:sz w:val="16"/>
          <w:szCs w:val="16"/>
        </w:rPr>
        <w:t>2020</w:t>
      </w:r>
      <w:r>
        <w:rPr>
          <w:color w:val="000000"/>
          <w:spacing w:val="0"/>
          <w:w w:val="100"/>
          <w:position w:val="0"/>
        </w:rPr>
        <w:t>年度的合并及母公司利润表、合并及母公司现金流量表、合并及母公司股东权益变动表以及相关财务报表附注。</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我们认为，后附的财务报表在所有重大方面按照企业会计准则的规定编制，公允反映了银江公司</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日合并及 母公司的财务状况以及</w:t>
      </w:r>
      <w:r>
        <w:rPr>
          <w:color w:val="000000"/>
          <w:spacing w:val="0"/>
          <w:w w:val="100"/>
          <w:position w:val="0"/>
          <w:sz w:val="16"/>
          <w:szCs w:val="16"/>
        </w:rPr>
        <w:t>2020</w:t>
      </w:r>
      <w:r>
        <w:rPr>
          <w:color w:val="000000"/>
          <w:spacing w:val="0"/>
          <w:w w:val="100"/>
          <w:position w:val="0"/>
        </w:rPr>
        <w:t>年度合并及母公司的经营成果和现金流量。</w:t>
      </w:r>
    </w:p>
    <w:p>
      <w:pPr>
        <w:pStyle w:val="Style30"/>
        <w:keepNext w:val="0"/>
        <w:keepLines w:val="0"/>
        <w:widowControl w:val="0"/>
        <w:shd w:val="clear" w:color="auto" w:fill="auto"/>
        <w:tabs>
          <w:tab w:pos="820" w:val="left"/>
        </w:tabs>
        <w:bidi w:val="0"/>
        <w:spacing w:before="0" w:after="0" w:line="312" w:lineRule="exact"/>
        <w:ind w:left="0" w:right="0" w:firstLine="380"/>
        <w:jc w:val="both"/>
      </w:pPr>
      <w:bookmarkStart w:id="618" w:name="bookmark618"/>
      <w:r>
        <w:rPr>
          <w:b/>
          <w:bCs/>
          <w:color w:val="000000"/>
          <w:spacing w:val="0"/>
          <w:w w:val="100"/>
          <w:position w:val="0"/>
        </w:rPr>
        <w:t>二</w:t>
      </w:r>
      <w:bookmarkEnd w:id="618"/>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步阐述了我们在这些准则下的责任。按照中国注册会计师职业道德守则，我们独立于银江公司，并履行了职业道德方面的其 他责任。我们相信，我们获取的审计证据是充分、适当的，为发表审计意见提供了基础。</w:t>
      </w:r>
    </w:p>
    <w:p>
      <w:pPr>
        <w:pStyle w:val="Style30"/>
        <w:keepNext w:val="0"/>
        <w:keepLines w:val="0"/>
        <w:widowControl w:val="0"/>
        <w:shd w:val="clear" w:color="auto" w:fill="auto"/>
        <w:tabs>
          <w:tab w:pos="825" w:val="left"/>
        </w:tabs>
        <w:bidi w:val="0"/>
        <w:spacing w:before="0" w:after="0" w:line="312" w:lineRule="exact"/>
        <w:ind w:left="0" w:right="0" w:firstLine="380"/>
        <w:jc w:val="both"/>
      </w:pPr>
      <w:bookmarkStart w:id="619" w:name="bookmark619"/>
      <w:r>
        <w:rPr>
          <w:b/>
          <w:bCs/>
          <w:color w:val="000000"/>
          <w:spacing w:val="0"/>
          <w:w w:val="100"/>
          <w:position w:val="0"/>
        </w:rPr>
        <w:t>三</w:t>
      </w:r>
      <w:bookmarkEnd w:id="619"/>
      <w:r>
        <w:rPr>
          <w:b/>
          <w:bCs/>
          <w:color w:val="000000"/>
          <w:spacing w:val="0"/>
          <w:w w:val="100"/>
          <w:position w:val="0"/>
        </w:rPr>
        <w:t>、</w:t>
        <w:tab/>
        <w:t>强调事项</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我们提醒财务报表使用者关注，财务报表附注十、</w:t>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6）</w:t>
      </w:r>
      <w:r>
        <w:rPr>
          <w:color w:val="000000"/>
          <w:spacing w:val="0"/>
          <w:w w:val="100"/>
          <w:position w:val="0"/>
        </w:rPr>
        <w:t>关联方资金拆借和附注十四、</w:t>
      </w: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w:t>
      </w:r>
      <w:r>
        <w:rPr>
          <w:color w:val="000000"/>
          <w:spacing w:val="0"/>
          <w:w w:val="100"/>
          <w:position w:val="0"/>
        </w:rPr>
        <w:t>描述了公司控股股东 银江科技集团有限公司（以下简称“银江集团”）存在通过资金往来、应付账款、在建工程、对外投资等形式占用公司资金 的情况。其中，</w:t>
      </w:r>
      <w:r>
        <w:rPr>
          <w:color w:val="000000"/>
          <w:spacing w:val="0"/>
          <w:w w:val="100"/>
          <w:position w:val="0"/>
          <w:sz w:val="16"/>
          <w:szCs w:val="16"/>
        </w:rPr>
        <w:t>2018</w:t>
      </w:r>
      <w:r>
        <w:rPr>
          <w:color w:val="000000"/>
          <w:spacing w:val="0"/>
          <w:w w:val="100"/>
          <w:position w:val="0"/>
        </w:rPr>
        <w:t>年度累计发生金额</w:t>
      </w:r>
      <w:r>
        <w:rPr>
          <w:color w:val="000000"/>
          <w:spacing w:val="0"/>
          <w:w w:val="100"/>
          <w:position w:val="0"/>
          <w:sz w:val="16"/>
          <w:szCs w:val="16"/>
        </w:rPr>
        <w:t>50,398.0</w:t>
      </w:r>
      <w:r>
        <w:rPr>
          <w:color w:val="000000"/>
          <w:spacing w:val="0"/>
          <w:w w:val="100"/>
          <w:position w:val="0"/>
          <w:sz w:val="16"/>
          <w:szCs w:val="16"/>
        </w:rPr>
        <w:t>0</w:t>
      </w:r>
      <w:r>
        <w:rPr>
          <w:color w:val="000000"/>
          <w:spacing w:val="0"/>
          <w:w w:val="100"/>
          <w:position w:val="0"/>
        </w:rPr>
        <w:t>万元，累计偿还金额</w:t>
      </w:r>
      <w:r>
        <w:rPr>
          <w:color w:val="000000"/>
          <w:spacing w:val="0"/>
          <w:w w:val="100"/>
          <w:position w:val="0"/>
          <w:sz w:val="16"/>
          <w:szCs w:val="16"/>
        </w:rPr>
        <w:t xml:space="preserve">45, </w:t>
      </w:r>
      <w:r>
        <w:rPr>
          <w:color w:val="000000"/>
          <w:spacing w:val="0"/>
          <w:w w:val="100"/>
          <w:position w:val="0"/>
          <w:sz w:val="16"/>
          <w:szCs w:val="16"/>
        </w:rPr>
        <w:t xml:space="preserve">398. </w:t>
      </w:r>
      <w:r>
        <w:rPr>
          <w:color w:val="000000"/>
          <w:spacing w:val="0"/>
          <w:w w:val="100"/>
          <w:position w:val="0"/>
          <w:sz w:val="16"/>
          <w:szCs w:val="16"/>
        </w:rPr>
        <w:t>00</w:t>
      </w:r>
      <w:r>
        <w:rPr>
          <w:color w:val="000000"/>
          <w:spacing w:val="0"/>
          <w:w w:val="100"/>
          <w:position w:val="0"/>
        </w:rPr>
        <w:t>万元，</w:t>
      </w:r>
      <w:r>
        <w:rPr>
          <w:color w:val="000000"/>
          <w:spacing w:val="0"/>
          <w:w w:val="100"/>
          <w:position w:val="0"/>
          <w:sz w:val="16"/>
          <w:szCs w:val="16"/>
        </w:rPr>
        <w:t>2018</w:t>
      </w:r>
      <w:r>
        <w:rPr>
          <w:color w:val="000000"/>
          <w:spacing w:val="0"/>
          <w:w w:val="100"/>
          <w:position w:val="0"/>
        </w:rPr>
        <w:t>年年末占用资金余额</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rPr>
        <w:t>万元；</w:t>
      </w:r>
      <w:r>
        <w:rPr>
          <w:color w:val="000000"/>
          <w:spacing w:val="0"/>
          <w:w w:val="100"/>
          <w:position w:val="0"/>
          <w:sz w:val="16"/>
          <w:szCs w:val="16"/>
        </w:rPr>
        <w:t>2019</w:t>
      </w:r>
      <w:r>
        <w:rPr>
          <w:color w:val="000000"/>
          <w:spacing w:val="0"/>
          <w:w w:val="100"/>
          <w:position w:val="0"/>
        </w:rPr>
        <w:t>年度累计发生金额</w:t>
      </w:r>
      <w:r>
        <w:rPr>
          <w:color w:val="000000"/>
          <w:spacing w:val="0"/>
          <w:w w:val="100"/>
          <w:position w:val="0"/>
          <w:sz w:val="16"/>
          <w:szCs w:val="16"/>
        </w:rPr>
        <w:t>97,657.4</w:t>
      </w:r>
      <w:r>
        <w:rPr>
          <w:color w:val="000000"/>
          <w:spacing w:val="0"/>
          <w:w w:val="100"/>
          <w:position w:val="0"/>
          <w:sz w:val="16"/>
          <w:szCs w:val="16"/>
        </w:rPr>
        <w:t>0</w:t>
      </w:r>
      <w:r>
        <w:rPr>
          <w:color w:val="000000"/>
          <w:spacing w:val="0"/>
          <w:w w:val="100"/>
          <w:position w:val="0"/>
        </w:rPr>
        <w:t>万元，累计偿还金额</w:t>
      </w:r>
      <w:r>
        <w:rPr>
          <w:color w:val="000000"/>
          <w:spacing w:val="0"/>
          <w:w w:val="100"/>
          <w:position w:val="0"/>
          <w:sz w:val="16"/>
          <w:szCs w:val="16"/>
        </w:rPr>
        <w:t xml:space="preserve">84, </w:t>
      </w:r>
      <w:r>
        <w:rPr>
          <w:color w:val="000000"/>
          <w:spacing w:val="0"/>
          <w:w w:val="100"/>
          <w:position w:val="0"/>
          <w:sz w:val="16"/>
          <w:szCs w:val="16"/>
        </w:rPr>
        <w:t xml:space="preserve">335. </w:t>
      </w:r>
      <w:r>
        <w:rPr>
          <w:color w:val="000000"/>
          <w:spacing w:val="0"/>
          <w:w w:val="100"/>
          <w:position w:val="0"/>
          <w:sz w:val="16"/>
          <w:szCs w:val="16"/>
        </w:rPr>
        <w:t>00</w:t>
      </w:r>
      <w:r>
        <w:rPr>
          <w:color w:val="000000"/>
          <w:spacing w:val="0"/>
          <w:w w:val="100"/>
          <w:position w:val="0"/>
        </w:rPr>
        <w:t>万元，</w:t>
      </w:r>
      <w:r>
        <w:rPr>
          <w:color w:val="000000"/>
          <w:spacing w:val="0"/>
          <w:w w:val="100"/>
          <w:position w:val="0"/>
          <w:sz w:val="16"/>
          <w:szCs w:val="16"/>
        </w:rPr>
        <w:t>2019</w:t>
      </w:r>
      <w:r>
        <w:rPr>
          <w:color w:val="000000"/>
          <w:spacing w:val="0"/>
          <w:w w:val="100"/>
          <w:position w:val="0"/>
        </w:rPr>
        <w:t>年年末占用资金余额</w:t>
      </w:r>
      <w:r>
        <w:rPr>
          <w:color w:val="000000"/>
          <w:spacing w:val="0"/>
          <w:w w:val="100"/>
          <w:position w:val="0"/>
          <w:sz w:val="16"/>
          <w:szCs w:val="16"/>
        </w:rPr>
        <w:t>18,322.4</w:t>
      </w:r>
      <w:r>
        <w:rPr>
          <w:color w:val="000000"/>
          <w:spacing w:val="0"/>
          <w:w w:val="100"/>
          <w:position w:val="0"/>
          <w:sz w:val="16"/>
          <w:szCs w:val="16"/>
        </w:rPr>
        <w:t>0</w:t>
      </w:r>
      <w:r>
        <w:rPr>
          <w:color w:val="000000"/>
          <w:spacing w:val="0"/>
          <w:w w:val="100"/>
          <w:position w:val="0"/>
        </w:rPr>
        <w:t>万元；</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1-9</w:t>
      </w:r>
      <w:r>
        <w:rPr>
          <w:color w:val="000000"/>
          <w:spacing w:val="0"/>
          <w:w w:val="100"/>
          <w:position w:val="0"/>
        </w:rPr>
        <w:t>月累计发生金额</w:t>
      </w:r>
      <w:r>
        <w:rPr>
          <w:color w:val="000000"/>
          <w:spacing w:val="0"/>
          <w:w w:val="100"/>
          <w:position w:val="0"/>
          <w:sz w:val="16"/>
          <w:szCs w:val="16"/>
        </w:rPr>
        <w:t>71,725.4</w:t>
      </w:r>
      <w:r>
        <w:rPr>
          <w:color w:val="000000"/>
          <w:spacing w:val="0"/>
          <w:w w:val="100"/>
          <w:position w:val="0"/>
          <w:sz w:val="16"/>
          <w:szCs w:val="16"/>
        </w:rPr>
        <w:t>1</w:t>
      </w:r>
      <w:r>
        <w:rPr>
          <w:color w:val="000000"/>
          <w:spacing w:val="0"/>
          <w:w w:val="100"/>
          <w:position w:val="0"/>
        </w:rPr>
        <w:t>万元，累计偿还金额</w:t>
      </w:r>
      <w:r>
        <w:rPr>
          <w:color w:val="000000"/>
          <w:spacing w:val="0"/>
          <w:w w:val="100"/>
          <w:position w:val="0"/>
          <w:sz w:val="16"/>
          <w:szCs w:val="16"/>
        </w:rPr>
        <w:t xml:space="preserve">90, </w:t>
      </w:r>
      <w:r>
        <w:rPr>
          <w:color w:val="000000"/>
          <w:spacing w:val="0"/>
          <w:w w:val="100"/>
          <w:position w:val="0"/>
          <w:sz w:val="16"/>
          <w:szCs w:val="16"/>
        </w:rPr>
        <w:t xml:space="preserve">047. </w:t>
      </w:r>
      <w:r>
        <w:rPr>
          <w:color w:val="000000"/>
          <w:spacing w:val="0"/>
          <w:w w:val="100"/>
          <w:position w:val="0"/>
          <w:sz w:val="16"/>
          <w:szCs w:val="16"/>
        </w:rPr>
        <w:t>81</w:t>
      </w:r>
      <w:r>
        <w:rPr>
          <w:color w:val="000000"/>
          <w:spacing w:val="0"/>
          <w:w w:val="100"/>
          <w:position w:val="0"/>
        </w:rPr>
        <w:t>万元，截止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23</w:t>
      </w:r>
      <w:r>
        <w:rPr>
          <w:color w:val="000000"/>
          <w:spacing w:val="0"/>
          <w:w w:val="100"/>
          <w:position w:val="0"/>
        </w:rPr>
        <w:t>日本金均已还清；</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9-10</w:t>
      </w:r>
      <w:r>
        <w:rPr>
          <w:color w:val="000000"/>
          <w:spacing w:val="0"/>
          <w:w w:val="100"/>
          <w:position w:val="0"/>
        </w:rPr>
        <w:t>月偿还 利息</w:t>
      </w:r>
      <w:r>
        <w:rPr>
          <w:color w:val="000000"/>
          <w:spacing w:val="0"/>
          <w:w w:val="100"/>
          <w:position w:val="0"/>
          <w:sz w:val="16"/>
          <w:szCs w:val="16"/>
        </w:rPr>
        <w:t xml:space="preserve">3, </w:t>
      </w:r>
      <w:r>
        <w:rPr>
          <w:color w:val="000000"/>
          <w:spacing w:val="0"/>
          <w:w w:val="100"/>
          <w:position w:val="0"/>
          <w:sz w:val="16"/>
          <w:szCs w:val="16"/>
        </w:rPr>
        <w:t xml:space="preserve">805. </w:t>
      </w:r>
      <w:r>
        <w:rPr>
          <w:color w:val="000000"/>
          <w:spacing w:val="0"/>
          <w:w w:val="100"/>
          <w:position w:val="0"/>
          <w:sz w:val="16"/>
          <w:szCs w:val="16"/>
        </w:rPr>
        <w:t>44</w:t>
      </w:r>
      <w:r>
        <w:rPr>
          <w:color w:val="000000"/>
          <w:spacing w:val="0"/>
          <w:w w:val="100"/>
          <w:position w:val="0"/>
        </w:rPr>
        <w:t>万元，截止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22</w:t>
      </w:r>
      <w:r>
        <w:rPr>
          <w:color w:val="000000"/>
          <w:spacing w:val="0"/>
          <w:w w:val="100"/>
          <w:position w:val="0"/>
        </w:rPr>
        <w:t>日利息均已还清；截止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日无资金占用。</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如财务报表附注十四、</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5）</w:t>
      </w:r>
      <w:r>
        <w:rPr>
          <w:color w:val="000000"/>
          <w:spacing w:val="0"/>
          <w:w w:val="100"/>
          <w:position w:val="0"/>
        </w:rPr>
        <w:t>所述，</w:t>
      </w:r>
      <w:r>
        <w:rPr>
          <w:color w:val="000000"/>
          <w:spacing w:val="0"/>
          <w:w w:val="100"/>
          <w:position w:val="0"/>
          <w:sz w:val="16"/>
          <w:szCs w:val="16"/>
        </w:rPr>
        <w:t>2018-2020</w:t>
      </w:r>
      <w:r>
        <w:rPr>
          <w:color w:val="000000"/>
          <w:spacing w:val="0"/>
          <w:w w:val="100"/>
          <w:position w:val="0"/>
        </w:rPr>
        <w:t>年期间银江集团通过控制银江股份公司参股的杭州银江智慧产业创业 投资合伙企业（有限合伙）（以下简称“产业基金”）向特定项目投资等方式，由被投资方将资金转入银江集团及其关联方 的方式占用产业基金资金的情况。按照银江股份公司</w:t>
      </w:r>
      <w:r>
        <w:rPr>
          <w:color w:val="000000"/>
          <w:spacing w:val="0"/>
          <w:w w:val="100"/>
          <w:position w:val="0"/>
          <w:sz w:val="16"/>
          <w:szCs w:val="16"/>
        </w:rPr>
        <w:t>2020</w:t>
      </w:r>
      <w:r>
        <w:rPr>
          <w:color w:val="000000"/>
          <w:spacing w:val="0"/>
          <w:w w:val="100"/>
          <w:position w:val="0"/>
        </w:rPr>
        <w:t>年末对产业基金的实缴出资比例计算，银江集团形成对银江股份公 司的间接资金占用本息合计</w:t>
      </w:r>
      <w:r>
        <w:rPr>
          <w:color w:val="000000"/>
          <w:spacing w:val="0"/>
          <w:w w:val="100"/>
          <w:position w:val="0"/>
          <w:sz w:val="16"/>
          <w:szCs w:val="16"/>
        </w:rPr>
        <w:t>21,461.73</w:t>
      </w:r>
      <w:r>
        <w:rPr>
          <w:color w:val="000000"/>
          <w:spacing w:val="0"/>
          <w:w w:val="100"/>
          <w:position w:val="0"/>
        </w:rPr>
        <w:t>万元。截止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12</w:t>
      </w:r>
      <w:r>
        <w:rPr>
          <w:color w:val="000000"/>
          <w:spacing w:val="0"/>
          <w:w w:val="100"/>
          <w:position w:val="0"/>
        </w:rPr>
        <w:t>日，为消除对银江股份公司的间接资金占用，产业基金已将银 江集团归还的资金进行了预分配。银江股份公司累计已收到产业基金预分配的资金</w:t>
      </w:r>
      <w:r>
        <w:rPr>
          <w:color w:val="000000"/>
          <w:spacing w:val="0"/>
          <w:w w:val="100"/>
          <w:position w:val="0"/>
          <w:sz w:val="16"/>
          <w:szCs w:val="16"/>
        </w:rPr>
        <w:t xml:space="preserve">21,461. </w:t>
      </w:r>
      <w:r>
        <w:rPr>
          <w:color w:val="000000"/>
          <w:spacing w:val="0"/>
          <w:w w:val="100"/>
          <w:position w:val="0"/>
          <w:sz w:val="16"/>
          <w:szCs w:val="16"/>
        </w:rPr>
        <w:t>73</w:t>
      </w:r>
      <w:r>
        <w:rPr>
          <w:color w:val="000000"/>
          <w:spacing w:val="0"/>
          <w:w w:val="100"/>
          <w:position w:val="0"/>
        </w:rPr>
        <w:t>万元，银江集团通过产业基金 形成对银江股份公司的间接资金占用已全部消除。</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本段内容不影响已发表的审计意见。</w:t>
      </w:r>
    </w:p>
    <w:p>
      <w:pPr>
        <w:pStyle w:val="Style30"/>
        <w:keepNext w:val="0"/>
        <w:keepLines w:val="0"/>
        <w:widowControl w:val="0"/>
        <w:shd w:val="clear" w:color="auto" w:fill="auto"/>
        <w:tabs>
          <w:tab w:pos="825" w:val="left"/>
        </w:tabs>
        <w:bidi w:val="0"/>
        <w:spacing w:before="0" w:after="0" w:line="312" w:lineRule="exact"/>
        <w:ind w:left="0" w:right="0" w:firstLine="380"/>
        <w:jc w:val="both"/>
      </w:pPr>
      <w:bookmarkStart w:id="620" w:name="bookmark620"/>
      <w:r>
        <w:rPr>
          <w:b/>
          <w:bCs/>
          <w:color w:val="000000"/>
          <w:spacing w:val="0"/>
          <w:w w:val="100"/>
          <w:position w:val="0"/>
        </w:rPr>
        <w:t>四</w:t>
      </w:r>
      <w:bookmarkEnd w:id="620"/>
      <w:r>
        <w:rPr>
          <w:b/>
          <w:bCs/>
          <w:color w:val="000000"/>
          <w:spacing w:val="0"/>
          <w:w w:val="100"/>
          <w:position w:val="0"/>
        </w:rPr>
        <w:t>、</w:t>
        <w:tab/>
        <w:t>关键审计事项</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关键审计事项是我们根据职业判断，认为对本期财务报表审计最为重要的事项。这些事项的应对以对财务报表整体进行 </w:t>
      </w:r>
      <w:r>
        <w:rPr>
          <w:color w:val="000000"/>
          <w:spacing w:val="0"/>
          <w:w w:val="100"/>
          <w:position w:val="0"/>
        </w:rPr>
        <w:t>审计并形成意见为背景，我们不对这些事项单独发表意见。我们确定下列事项是需要在审计报告中沟通的关键审计事项。</w:t>
      </w:r>
    </w:p>
    <w:p>
      <w:pPr>
        <w:pStyle w:val="Style30"/>
        <w:keepNext w:val="0"/>
        <w:keepLines w:val="0"/>
        <w:widowControl w:val="0"/>
        <w:shd w:val="clear" w:color="auto" w:fill="auto"/>
        <w:tabs>
          <w:tab w:pos="921" w:val="left"/>
        </w:tabs>
        <w:bidi w:val="0"/>
        <w:spacing w:before="0" w:after="0" w:line="317" w:lineRule="exact"/>
        <w:ind w:left="0" w:right="0" w:firstLine="380"/>
        <w:jc w:val="both"/>
      </w:pPr>
      <w:bookmarkStart w:id="621" w:name="bookmark621"/>
      <w:r>
        <w:rPr>
          <w:b/>
          <w:bCs/>
          <w:color w:val="000000"/>
          <w:spacing w:val="0"/>
          <w:w w:val="100"/>
          <w:position w:val="0"/>
        </w:rPr>
        <w:t>（</w:t>
      </w:r>
      <w:bookmarkEnd w:id="621"/>
      <w:r>
        <w:rPr>
          <w:b/>
          <w:bCs/>
          <w:color w:val="000000"/>
          <w:spacing w:val="0"/>
          <w:w w:val="100"/>
          <w:position w:val="0"/>
        </w:rPr>
        <w:t>一）</w:t>
        <w:tab/>
        <w:t>建造合同收入确认</w:t>
      </w:r>
    </w:p>
    <w:p>
      <w:pPr>
        <w:pStyle w:val="Style30"/>
        <w:keepNext w:val="0"/>
        <w:keepLines w:val="0"/>
        <w:widowControl w:val="0"/>
        <w:shd w:val="clear" w:color="auto" w:fill="auto"/>
        <w:tabs>
          <w:tab w:pos="742" w:val="left"/>
        </w:tabs>
        <w:bidi w:val="0"/>
        <w:spacing w:before="0" w:after="0" w:line="317" w:lineRule="exact"/>
        <w:ind w:left="0" w:right="0" w:firstLine="380"/>
        <w:jc w:val="both"/>
      </w:pPr>
      <w:bookmarkStart w:id="622" w:name="bookmark622"/>
      <w:r>
        <w:rPr>
          <w:b/>
          <w:bCs/>
          <w:color w:val="000000"/>
          <w:spacing w:val="0"/>
          <w:w w:val="100"/>
          <w:position w:val="0"/>
        </w:rPr>
        <w:t>1</w:t>
      </w:r>
      <w:bookmarkEnd w:id="622"/>
      <w:r>
        <w:rPr>
          <w:b/>
          <w:bCs/>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如财务报表附注（四）、</w:t>
      </w:r>
      <w:r>
        <w:rPr>
          <w:color w:val="000000"/>
          <w:spacing w:val="0"/>
          <w:w w:val="100"/>
          <w:position w:val="0"/>
          <w:sz w:val="16"/>
          <w:szCs w:val="16"/>
        </w:rPr>
        <w:t>27 （3</w:t>
      </w:r>
      <w:r>
        <w:rPr>
          <w:color w:val="000000"/>
          <w:spacing w:val="0"/>
          <w:w w:val="100"/>
          <w:position w:val="0"/>
        </w:rPr>
        <w:t>）所示，银江公司对于所提供的建造服务，在建造合同的结果能够可靠估计时，按照投 入法确认收入。管理层需要对建造合同的预计总收入和预计总成本作出合理估计已确定合同履约进度，并应于合同执行过程 中持续评估和修订。上述建造合同收入确认过程中涉及管理层的重大会计估计，因此我们将建造合同收入确认认定为关键审 计事项。</w:t>
      </w:r>
    </w:p>
    <w:p>
      <w:pPr>
        <w:pStyle w:val="Style30"/>
        <w:keepNext w:val="0"/>
        <w:keepLines w:val="0"/>
        <w:widowControl w:val="0"/>
        <w:shd w:val="clear" w:color="auto" w:fill="auto"/>
        <w:tabs>
          <w:tab w:pos="742" w:val="left"/>
        </w:tabs>
        <w:bidi w:val="0"/>
        <w:spacing w:before="0" w:after="0" w:line="317" w:lineRule="exact"/>
        <w:ind w:left="0" w:right="0" w:firstLine="380"/>
        <w:jc w:val="both"/>
      </w:pPr>
      <w:bookmarkStart w:id="623" w:name="bookmark623"/>
      <w:r>
        <w:rPr>
          <w:b/>
          <w:bCs/>
          <w:color w:val="000000"/>
          <w:spacing w:val="0"/>
          <w:w w:val="100"/>
          <w:position w:val="0"/>
        </w:rPr>
        <w:t>2</w:t>
      </w:r>
      <w:bookmarkEnd w:id="623"/>
      <w:r>
        <w:rPr>
          <w:b/>
          <w:bCs/>
          <w:color w:val="000000"/>
          <w:spacing w:val="0"/>
          <w:w w:val="100"/>
          <w:position w:val="0"/>
        </w:rPr>
        <w:t>、</w:t>
        <w:tab/>
        <w:t>审计应对</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我们针对建造合同收入确认执行的审计程序主要包括：</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24" w:name="bookmark624"/>
      <w:r>
        <w:rPr>
          <w:color w:val="000000"/>
          <w:spacing w:val="0"/>
          <w:w w:val="100"/>
          <w:position w:val="0"/>
          <w:sz w:val="16"/>
          <w:szCs w:val="16"/>
        </w:rPr>
        <w:t>（</w:t>
      </w:r>
      <w:bookmarkEnd w:id="624"/>
      <w:r>
        <w:rPr>
          <w:color w:val="000000"/>
          <w:spacing w:val="0"/>
          <w:w w:val="100"/>
          <w:position w:val="0"/>
          <w:sz w:val="16"/>
          <w:szCs w:val="16"/>
        </w:rPr>
        <w:t>1）</w:t>
        <w:tab/>
      </w:r>
      <w:r>
        <w:rPr>
          <w:color w:val="000000"/>
          <w:spacing w:val="0"/>
          <w:w w:val="100"/>
          <w:position w:val="0"/>
        </w:rPr>
        <w:t>测试与建造合同预算编制和收入确认相关的内部控制；</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25" w:name="bookmark625"/>
      <w:r>
        <w:rPr>
          <w:color w:val="000000"/>
          <w:spacing w:val="0"/>
          <w:w w:val="100"/>
          <w:position w:val="0"/>
          <w:sz w:val="16"/>
          <w:szCs w:val="16"/>
        </w:rPr>
        <w:t>（</w:t>
      </w:r>
      <w:bookmarkEnd w:id="625"/>
      <w:r>
        <w:rPr>
          <w:color w:val="000000"/>
          <w:spacing w:val="0"/>
          <w:w w:val="100"/>
          <w:position w:val="0"/>
          <w:sz w:val="16"/>
          <w:szCs w:val="16"/>
        </w:rPr>
        <w:t>2）</w:t>
        <w:tab/>
      </w:r>
      <w:r>
        <w:rPr>
          <w:color w:val="000000"/>
          <w:spacing w:val="0"/>
          <w:w w:val="100"/>
          <w:position w:val="0"/>
        </w:rPr>
        <w:t>获取建造合同信息表，重新计算建造合同合同履约进度的准确性；</w:t>
      </w:r>
    </w:p>
    <w:p>
      <w:pPr>
        <w:pStyle w:val="Style30"/>
        <w:keepNext w:val="0"/>
        <w:keepLines w:val="0"/>
        <w:widowControl w:val="0"/>
        <w:shd w:val="clear" w:color="auto" w:fill="auto"/>
        <w:tabs>
          <w:tab w:pos="901" w:val="left"/>
        </w:tabs>
        <w:bidi w:val="0"/>
        <w:spacing w:before="0" w:after="0" w:line="317" w:lineRule="exact"/>
        <w:ind w:left="0" w:right="0" w:firstLine="380"/>
        <w:jc w:val="both"/>
      </w:pPr>
      <w:bookmarkStart w:id="626" w:name="bookmark626"/>
      <w:r>
        <w:rPr>
          <w:color w:val="000000"/>
          <w:spacing w:val="0"/>
          <w:w w:val="100"/>
          <w:position w:val="0"/>
          <w:sz w:val="16"/>
          <w:szCs w:val="16"/>
        </w:rPr>
        <w:t>（</w:t>
      </w:r>
      <w:bookmarkEnd w:id="626"/>
      <w:r>
        <w:rPr>
          <w:color w:val="000000"/>
          <w:spacing w:val="0"/>
          <w:w w:val="100"/>
          <w:position w:val="0"/>
          <w:sz w:val="16"/>
          <w:szCs w:val="16"/>
        </w:rPr>
        <w:t>3）</w:t>
        <w:tab/>
      </w:r>
      <w:r>
        <w:rPr>
          <w:color w:val="000000"/>
          <w:spacing w:val="0"/>
          <w:w w:val="100"/>
          <w:position w:val="0"/>
        </w:rPr>
        <w:t>选取建造合同样本，检查预计总收入、预计总成本所依据的建造合同和成本预算资料，评价管理层对预计总收入 和预计总成本的估计是否充分；</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27" w:name="bookmark627"/>
      <w:r>
        <w:rPr>
          <w:color w:val="000000"/>
          <w:spacing w:val="0"/>
          <w:w w:val="100"/>
          <w:position w:val="0"/>
          <w:sz w:val="16"/>
          <w:szCs w:val="16"/>
        </w:rPr>
        <w:t>（</w:t>
      </w:r>
      <w:bookmarkEnd w:id="627"/>
      <w:r>
        <w:rPr>
          <w:color w:val="000000"/>
          <w:spacing w:val="0"/>
          <w:w w:val="100"/>
          <w:position w:val="0"/>
          <w:sz w:val="16"/>
          <w:szCs w:val="16"/>
        </w:rPr>
        <w:t>4）</w:t>
        <w:tab/>
      </w:r>
      <w:r>
        <w:rPr>
          <w:color w:val="000000"/>
          <w:spacing w:val="0"/>
          <w:w w:val="100"/>
          <w:position w:val="0"/>
        </w:rPr>
        <w:t>选取样本对本年度发生的工程施工成本进行测试；</w:t>
      </w:r>
    </w:p>
    <w:p>
      <w:pPr>
        <w:pStyle w:val="Style30"/>
        <w:keepNext w:val="0"/>
        <w:keepLines w:val="0"/>
        <w:widowControl w:val="0"/>
        <w:shd w:val="clear" w:color="auto" w:fill="auto"/>
        <w:tabs>
          <w:tab w:pos="901" w:val="left"/>
        </w:tabs>
        <w:bidi w:val="0"/>
        <w:spacing w:before="0" w:after="0" w:line="317" w:lineRule="exact"/>
        <w:ind w:left="0" w:right="0" w:firstLine="380"/>
        <w:jc w:val="both"/>
      </w:pPr>
      <w:bookmarkStart w:id="628" w:name="bookmark628"/>
      <w:r>
        <w:rPr>
          <w:color w:val="000000"/>
          <w:spacing w:val="0"/>
          <w:w w:val="100"/>
          <w:position w:val="0"/>
          <w:sz w:val="16"/>
          <w:szCs w:val="16"/>
        </w:rPr>
        <w:t>（</w:t>
      </w:r>
      <w:bookmarkEnd w:id="628"/>
      <w:r>
        <w:rPr>
          <w:color w:val="000000"/>
          <w:spacing w:val="0"/>
          <w:w w:val="100"/>
          <w:position w:val="0"/>
          <w:sz w:val="16"/>
          <w:szCs w:val="16"/>
        </w:rPr>
        <w:t>5）</w:t>
        <w:tab/>
      </w:r>
      <w:r>
        <w:rPr>
          <w:color w:val="000000"/>
          <w:spacing w:val="0"/>
          <w:w w:val="100"/>
          <w:position w:val="0"/>
        </w:rPr>
        <w:t>选取建造合同样本，对工程进度进行现场查看，与工程管理部门讨论确认工程的完工进度，并与账面记录进行比 较，对异常偏差执行进一步的检查程序。</w:t>
      </w:r>
    </w:p>
    <w:p>
      <w:pPr>
        <w:pStyle w:val="Style30"/>
        <w:keepNext w:val="0"/>
        <w:keepLines w:val="0"/>
        <w:widowControl w:val="0"/>
        <w:shd w:val="clear" w:color="auto" w:fill="auto"/>
        <w:tabs>
          <w:tab w:pos="921" w:val="left"/>
        </w:tabs>
        <w:bidi w:val="0"/>
        <w:spacing w:before="0" w:after="0" w:line="317" w:lineRule="exact"/>
        <w:ind w:left="0" w:right="0" w:firstLine="380"/>
        <w:jc w:val="both"/>
      </w:pPr>
      <w:bookmarkStart w:id="629" w:name="bookmark629"/>
      <w:r>
        <w:rPr>
          <w:b/>
          <w:bCs/>
          <w:color w:val="000000"/>
          <w:spacing w:val="0"/>
          <w:w w:val="100"/>
          <w:position w:val="0"/>
        </w:rPr>
        <w:t>（</w:t>
      </w:r>
      <w:bookmarkEnd w:id="629"/>
      <w:r>
        <w:rPr>
          <w:b/>
          <w:bCs/>
          <w:color w:val="000000"/>
          <w:spacing w:val="0"/>
          <w:w w:val="100"/>
          <w:position w:val="0"/>
        </w:rPr>
        <w:t>二）</w:t>
        <w:tab/>
        <w:t>应收账款坏账准备计提</w:t>
      </w:r>
    </w:p>
    <w:p>
      <w:pPr>
        <w:pStyle w:val="Style30"/>
        <w:keepNext w:val="0"/>
        <w:keepLines w:val="0"/>
        <w:widowControl w:val="0"/>
        <w:shd w:val="clear" w:color="auto" w:fill="auto"/>
        <w:tabs>
          <w:tab w:pos="742" w:val="left"/>
        </w:tabs>
        <w:bidi w:val="0"/>
        <w:spacing w:before="0" w:after="0" w:line="317" w:lineRule="exact"/>
        <w:ind w:left="0" w:right="0" w:firstLine="380"/>
        <w:jc w:val="both"/>
      </w:pPr>
      <w:bookmarkStart w:id="630" w:name="bookmark630"/>
      <w:r>
        <w:rPr>
          <w:b/>
          <w:bCs/>
          <w:color w:val="000000"/>
          <w:spacing w:val="0"/>
          <w:w w:val="100"/>
          <w:position w:val="0"/>
        </w:rPr>
        <w:t>1</w:t>
      </w:r>
      <w:bookmarkEnd w:id="630"/>
      <w:r>
        <w:rPr>
          <w:b/>
          <w:bCs/>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如财务报表附注四、</w:t>
      </w:r>
      <w:r>
        <w:rPr>
          <w:color w:val="000000"/>
          <w:spacing w:val="0"/>
          <w:w w:val="100"/>
          <w:position w:val="0"/>
          <w:sz w:val="16"/>
          <w:szCs w:val="16"/>
        </w:rPr>
        <w:t>10</w:t>
      </w:r>
      <w:r>
        <w:rPr>
          <w:color w:val="000000"/>
          <w:spacing w:val="0"/>
          <w:w w:val="100"/>
          <w:position w:val="0"/>
        </w:rPr>
        <w:t>及附注六、</w:t>
      </w:r>
      <w:r>
        <w:rPr>
          <w:color w:val="000000"/>
          <w:spacing w:val="0"/>
          <w:w w:val="100"/>
          <w:position w:val="0"/>
          <w:sz w:val="16"/>
          <w:szCs w:val="16"/>
        </w:rPr>
        <w:t>3</w:t>
      </w:r>
      <w:r>
        <w:rPr>
          <w:color w:val="000000"/>
          <w:spacing w:val="0"/>
          <w:w w:val="100"/>
          <w:position w:val="0"/>
        </w:rPr>
        <w:t>所示，银江公司应收账款余额</w:t>
      </w:r>
      <w:r>
        <w:rPr>
          <w:color w:val="000000"/>
          <w:spacing w:val="0"/>
          <w:w w:val="100"/>
          <w:position w:val="0"/>
          <w:sz w:val="16"/>
          <w:szCs w:val="16"/>
        </w:rPr>
        <w:t>1,926,703,938.37</w:t>
      </w:r>
      <w:r>
        <w:rPr>
          <w:color w:val="000000"/>
          <w:spacing w:val="0"/>
          <w:w w:val="100"/>
          <w:position w:val="0"/>
        </w:rPr>
        <w:t>元，坏账准备金额</w:t>
      </w:r>
      <w:r>
        <w:rPr>
          <w:color w:val="000000"/>
          <w:spacing w:val="0"/>
          <w:w w:val="100"/>
          <w:position w:val="0"/>
          <w:sz w:val="16"/>
          <w:szCs w:val="16"/>
        </w:rPr>
        <w:t xml:space="preserve">291,674,535.72 </w:t>
      </w:r>
      <w:r>
        <w:rPr>
          <w:color w:val="000000"/>
          <w:spacing w:val="0"/>
          <w:w w:val="100"/>
          <w:position w:val="0"/>
        </w:rPr>
        <w:t>元，账面价值</w:t>
      </w:r>
      <w:r>
        <w:rPr>
          <w:color w:val="000000"/>
          <w:spacing w:val="0"/>
          <w:w w:val="100"/>
          <w:position w:val="0"/>
          <w:sz w:val="16"/>
          <w:szCs w:val="16"/>
        </w:rPr>
        <w:t xml:space="preserve">1, 635, 029, </w:t>
      </w:r>
      <w:r>
        <w:rPr>
          <w:color w:val="000000"/>
          <w:spacing w:val="0"/>
          <w:w w:val="100"/>
          <w:position w:val="0"/>
          <w:sz w:val="16"/>
          <w:szCs w:val="16"/>
        </w:rPr>
        <w:t xml:space="preserve">402. </w:t>
      </w:r>
      <w:r>
        <w:rPr>
          <w:color w:val="000000"/>
          <w:spacing w:val="0"/>
          <w:w w:val="100"/>
          <w:position w:val="0"/>
          <w:sz w:val="16"/>
          <w:szCs w:val="16"/>
        </w:rPr>
        <w:t>65</w:t>
      </w:r>
      <w:r>
        <w:rPr>
          <w:color w:val="000000"/>
          <w:spacing w:val="0"/>
          <w:w w:val="100"/>
          <w:position w:val="0"/>
        </w:rPr>
        <w:t>元。</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银江公司管理层基于对应收账款的可收回性的评估并判断是否计提坏账准备以及估计计提金额。坏账准备的计提涉及管 理层的判断，而实际情况有可能与预期存在差异。</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我们关注上述事项是由于上述应收账款余额及计提的坏账准备对银江公司合并财务报表而言是重大的，而且对上述应收 账款余额可收回性的评估中涉及重大判断，因此我们将其认定为关键审计事项。</w:t>
      </w:r>
    </w:p>
    <w:p>
      <w:pPr>
        <w:pStyle w:val="Style30"/>
        <w:keepNext w:val="0"/>
        <w:keepLines w:val="0"/>
        <w:widowControl w:val="0"/>
        <w:shd w:val="clear" w:color="auto" w:fill="auto"/>
        <w:tabs>
          <w:tab w:pos="742" w:val="left"/>
        </w:tabs>
        <w:bidi w:val="0"/>
        <w:spacing w:before="0" w:after="0" w:line="317" w:lineRule="exact"/>
        <w:ind w:left="0" w:right="0" w:firstLine="380"/>
        <w:jc w:val="both"/>
      </w:pPr>
      <w:bookmarkStart w:id="631" w:name="bookmark631"/>
      <w:r>
        <w:rPr>
          <w:b/>
          <w:bCs/>
          <w:color w:val="000000"/>
          <w:spacing w:val="0"/>
          <w:w w:val="100"/>
          <w:position w:val="0"/>
        </w:rPr>
        <w:t>2</w:t>
      </w:r>
      <w:bookmarkEnd w:id="631"/>
      <w:r>
        <w:rPr>
          <w:b/>
          <w:bCs/>
          <w:color w:val="000000"/>
          <w:spacing w:val="0"/>
          <w:w w:val="100"/>
          <w:position w:val="0"/>
        </w:rPr>
        <w:t>、</w:t>
        <w:tab/>
        <w:t>审计应对</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针对该关键审计事项，我们执行的主要审计程序如下：</w:t>
      </w:r>
    </w:p>
    <w:p>
      <w:pPr>
        <w:pStyle w:val="Style30"/>
        <w:keepNext w:val="0"/>
        <w:keepLines w:val="0"/>
        <w:widowControl w:val="0"/>
        <w:shd w:val="clear" w:color="auto" w:fill="auto"/>
        <w:tabs>
          <w:tab w:pos="901" w:val="left"/>
        </w:tabs>
        <w:bidi w:val="0"/>
        <w:spacing w:before="0" w:after="0" w:line="317" w:lineRule="exact"/>
        <w:ind w:left="0" w:right="0" w:firstLine="380"/>
        <w:jc w:val="both"/>
      </w:pPr>
      <w:bookmarkStart w:id="632" w:name="bookmark632"/>
      <w:r>
        <w:rPr>
          <w:color w:val="000000"/>
          <w:spacing w:val="0"/>
          <w:w w:val="100"/>
          <w:position w:val="0"/>
          <w:sz w:val="16"/>
          <w:szCs w:val="16"/>
        </w:rPr>
        <w:t>（</w:t>
      </w:r>
      <w:bookmarkEnd w:id="632"/>
      <w:r>
        <w:rPr>
          <w:color w:val="000000"/>
          <w:spacing w:val="0"/>
          <w:w w:val="100"/>
          <w:position w:val="0"/>
          <w:sz w:val="16"/>
          <w:szCs w:val="16"/>
        </w:rPr>
        <w:t>1）</w:t>
        <w:tab/>
      </w:r>
      <w:r>
        <w:rPr>
          <w:color w:val="000000"/>
          <w:spacing w:val="0"/>
          <w:w w:val="100"/>
          <w:position w:val="0"/>
        </w:rPr>
        <w:t>我们了解、评价及验证了银江公司管理层在对应收账款可收回性评估方面的关键控制，包括应收账款的账龄分析 和对应收账款余额的可收回性的定期评估；</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33" w:name="bookmark633"/>
      <w:r>
        <w:rPr>
          <w:color w:val="000000"/>
          <w:spacing w:val="0"/>
          <w:w w:val="100"/>
          <w:position w:val="0"/>
          <w:sz w:val="16"/>
          <w:szCs w:val="16"/>
        </w:rPr>
        <w:t>（</w:t>
      </w:r>
      <w:bookmarkEnd w:id="633"/>
      <w:r>
        <w:rPr>
          <w:color w:val="000000"/>
          <w:spacing w:val="0"/>
          <w:w w:val="100"/>
          <w:position w:val="0"/>
          <w:sz w:val="16"/>
          <w:szCs w:val="16"/>
        </w:rPr>
        <w:t>2）</w:t>
        <w:tab/>
      </w:r>
      <w:r>
        <w:rPr>
          <w:color w:val="000000"/>
          <w:spacing w:val="0"/>
          <w:w w:val="100"/>
          <w:position w:val="0"/>
        </w:rPr>
        <w:t>我们选取样本对应收账款余额进行了函证；</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34" w:name="bookmark634"/>
      <w:r>
        <w:rPr>
          <w:color w:val="000000"/>
          <w:spacing w:val="0"/>
          <w:w w:val="100"/>
          <w:position w:val="0"/>
          <w:sz w:val="16"/>
          <w:szCs w:val="16"/>
        </w:rPr>
        <w:t>（</w:t>
      </w:r>
      <w:bookmarkEnd w:id="634"/>
      <w:r>
        <w:rPr>
          <w:color w:val="000000"/>
          <w:spacing w:val="0"/>
          <w:w w:val="100"/>
          <w:position w:val="0"/>
          <w:sz w:val="16"/>
          <w:szCs w:val="16"/>
        </w:rPr>
        <w:t>3</w:t>
      </w:r>
      <w:r>
        <w:rPr>
          <w:color w:val="000000"/>
          <w:spacing w:val="0"/>
          <w:w w:val="100"/>
          <w:position w:val="0"/>
        </w:rPr>
        <w:t>）</w:t>
        <w:tab/>
        <w:t>我们对管理层所编制的应收账款的账龄准确性进行了测试；</w:t>
      </w:r>
    </w:p>
    <w:p>
      <w:pPr>
        <w:pStyle w:val="Style30"/>
        <w:keepNext w:val="0"/>
        <w:keepLines w:val="0"/>
        <w:widowControl w:val="0"/>
        <w:shd w:val="clear" w:color="auto" w:fill="auto"/>
        <w:tabs>
          <w:tab w:pos="906" w:val="left"/>
        </w:tabs>
        <w:bidi w:val="0"/>
        <w:spacing w:before="0" w:after="0" w:line="317" w:lineRule="exact"/>
        <w:ind w:left="0" w:right="0" w:firstLine="380"/>
        <w:jc w:val="both"/>
      </w:pPr>
      <w:bookmarkStart w:id="635" w:name="bookmark635"/>
      <w:r>
        <w:rPr>
          <w:color w:val="000000"/>
          <w:spacing w:val="0"/>
          <w:w w:val="100"/>
          <w:position w:val="0"/>
          <w:sz w:val="16"/>
          <w:szCs w:val="16"/>
        </w:rPr>
        <w:t>（</w:t>
      </w:r>
      <w:bookmarkEnd w:id="635"/>
      <w:r>
        <w:rPr>
          <w:color w:val="000000"/>
          <w:spacing w:val="0"/>
          <w:w w:val="100"/>
          <w:position w:val="0"/>
          <w:sz w:val="16"/>
          <w:szCs w:val="16"/>
        </w:rPr>
        <w:t>4）</w:t>
        <w:tab/>
      </w:r>
      <w:r>
        <w:rPr>
          <w:color w:val="000000"/>
          <w:spacing w:val="0"/>
          <w:w w:val="100"/>
          <w:position w:val="0"/>
        </w:rPr>
        <w:t>我们获取了管理层对大额应收账款可回收性评估的文件，对账龄在一年以上的余额，了解了客户背景、合同签订 及履约情况，查阅了工程项目进度和回款情况等；</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36" w:name="bookmark636"/>
      <w:r>
        <w:rPr>
          <w:color w:val="000000"/>
          <w:spacing w:val="0"/>
          <w:w w:val="100"/>
          <w:position w:val="0"/>
          <w:sz w:val="16"/>
          <w:szCs w:val="16"/>
        </w:rPr>
        <w:t>（</w:t>
      </w:r>
      <w:bookmarkEnd w:id="636"/>
      <w:r>
        <w:rPr>
          <w:color w:val="000000"/>
          <w:spacing w:val="0"/>
          <w:w w:val="100"/>
          <w:position w:val="0"/>
          <w:sz w:val="16"/>
          <w:szCs w:val="16"/>
        </w:rPr>
        <w:t>5）</w:t>
        <w:tab/>
      </w:r>
      <w:r>
        <w:rPr>
          <w:color w:val="000000"/>
          <w:spacing w:val="0"/>
          <w:w w:val="100"/>
          <w:position w:val="0"/>
        </w:rPr>
        <w:t>对于已计提坏账准备的部分，我们根据应收账款的账龄以及坏账准备计提比例，测试了坏账准备的计算过程。</w:t>
      </w:r>
    </w:p>
    <w:p>
      <w:pPr>
        <w:pStyle w:val="Style30"/>
        <w:keepNext w:val="0"/>
        <w:keepLines w:val="0"/>
        <w:widowControl w:val="0"/>
        <w:shd w:val="clear" w:color="auto" w:fill="auto"/>
        <w:tabs>
          <w:tab w:pos="820" w:val="left"/>
        </w:tabs>
        <w:bidi w:val="0"/>
        <w:spacing w:before="0" w:after="0" w:line="317" w:lineRule="exact"/>
        <w:ind w:left="0" w:right="0" w:firstLine="380"/>
        <w:jc w:val="both"/>
      </w:pPr>
      <w:bookmarkStart w:id="637" w:name="bookmark637"/>
      <w:r>
        <w:rPr>
          <w:b/>
          <w:bCs/>
          <w:color w:val="000000"/>
          <w:spacing w:val="0"/>
          <w:w w:val="100"/>
          <w:position w:val="0"/>
        </w:rPr>
        <w:t>五</w:t>
      </w:r>
      <w:bookmarkEnd w:id="637"/>
      <w:r>
        <w:rPr>
          <w:b/>
          <w:bCs/>
          <w:color w:val="000000"/>
          <w:spacing w:val="0"/>
          <w:w w:val="100"/>
          <w:position w:val="0"/>
        </w:rPr>
        <w:t>、</w:t>
        <w:tab/>
        <w:t>其他信息</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银江公司管理层（以下简称管理层）对其他信息负责。其他信息包括银江公司</w:t>
      </w:r>
      <w:r>
        <w:rPr>
          <w:color w:val="000000"/>
          <w:spacing w:val="0"/>
          <w:w w:val="100"/>
          <w:position w:val="0"/>
          <w:sz w:val="16"/>
          <w:szCs w:val="16"/>
        </w:rPr>
        <w:t>2020</w:t>
      </w:r>
      <w:r>
        <w:rPr>
          <w:color w:val="000000"/>
          <w:spacing w:val="0"/>
          <w:w w:val="100"/>
          <w:position w:val="0"/>
        </w:rPr>
        <w:t>年度报告中涵盖的信息，但不包括财 务报表和我们的审计报告。</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825" w:val="left"/>
        </w:tabs>
        <w:bidi w:val="0"/>
        <w:spacing w:before="0" w:after="0" w:line="317" w:lineRule="exact"/>
        <w:ind w:left="0" w:right="0" w:firstLine="380"/>
        <w:jc w:val="both"/>
      </w:pPr>
      <w:bookmarkStart w:id="638" w:name="bookmark638"/>
      <w:r>
        <w:rPr>
          <w:b/>
          <w:bCs/>
          <w:color w:val="000000"/>
          <w:spacing w:val="0"/>
          <w:w w:val="100"/>
          <w:position w:val="0"/>
        </w:rPr>
        <w:t>六</w:t>
      </w:r>
      <w:bookmarkEnd w:id="638"/>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r>
        <w:br w:type="page"/>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在编制财务报表时，管理层负责评估银江公司的持续经营能力，披露与持续经营相关的事项（如适用），并运用持续经 营假设，除非管理层计划清算银江公司、终止运营或别无其他现实的选择。</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治理层负责监督银江公司的财务报告过程。</w:t>
      </w:r>
    </w:p>
    <w:p>
      <w:pPr>
        <w:pStyle w:val="Style30"/>
        <w:keepNext w:val="0"/>
        <w:keepLines w:val="0"/>
        <w:widowControl w:val="0"/>
        <w:shd w:val="clear" w:color="auto" w:fill="auto"/>
        <w:bidi w:val="0"/>
        <w:spacing w:before="0" w:after="0" w:line="314" w:lineRule="exact"/>
        <w:ind w:left="0" w:right="0" w:firstLine="380"/>
        <w:jc w:val="both"/>
      </w:pPr>
      <w:bookmarkStart w:id="639" w:name="bookmark639"/>
      <w:r>
        <w:rPr>
          <w:b/>
          <w:bCs/>
          <w:color w:val="000000"/>
          <w:spacing w:val="0"/>
          <w:w w:val="100"/>
          <w:position w:val="0"/>
        </w:rPr>
        <w:t>七</w:t>
      </w:r>
      <w:bookmarkEnd w:id="639"/>
      <w:r>
        <w:rPr>
          <w:b/>
          <w:bCs/>
          <w:color w:val="000000"/>
          <w:spacing w:val="0"/>
          <w:w w:val="100"/>
          <w:position w:val="0"/>
        </w:rPr>
        <w:t>、注册会计师对财务报表审计的责任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在按照审计准则执行审计的过程中，我们运用了职业判断，保持了职业怀疑。同时，我们也执行以下工作：</w:t>
      </w:r>
    </w:p>
    <w:p>
      <w:pPr>
        <w:pStyle w:val="Style30"/>
        <w:keepNext w:val="0"/>
        <w:keepLines w:val="0"/>
        <w:widowControl w:val="0"/>
        <w:shd w:val="clear" w:color="auto" w:fill="auto"/>
        <w:tabs>
          <w:tab w:pos="869" w:val="left"/>
        </w:tabs>
        <w:bidi w:val="0"/>
        <w:spacing w:before="0" w:after="0" w:line="314" w:lineRule="exact"/>
        <w:ind w:left="0" w:right="0" w:firstLine="380"/>
        <w:jc w:val="both"/>
      </w:pPr>
      <w:bookmarkStart w:id="640" w:name="bookmark640"/>
      <w:r>
        <w:rPr>
          <w:color w:val="000000"/>
          <w:spacing w:val="0"/>
          <w:w w:val="100"/>
          <w:position w:val="0"/>
          <w:sz w:val="16"/>
          <w:szCs w:val="16"/>
        </w:rPr>
        <w:t>（</w:t>
      </w:r>
      <w:bookmarkEnd w:id="640"/>
      <w:r>
        <w:rPr>
          <w:color w:val="000000"/>
          <w:spacing w:val="0"/>
          <w:w w:val="100"/>
          <w:position w:val="0"/>
          <w:sz w:val="16"/>
          <w:szCs w:val="16"/>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shd w:val="clear" w:color="auto" w:fill="auto"/>
        <w:tabs>
          <w:tab w:pos="793" w:val="left"/>
        </w:tabs>
        <w:bidi w:val="0"/>
        <w:spacing w:before="0" w:after="0" w:line="314" w:lineRule="exact"/>
        <w:ind w:left="0" w:right="0" w:firstLine="380"/>
        <w:jc w:val="both"/>
      </w:pPr>
      <w:bookmarkStart w:id="641" w:name="bookmark641"/>
      <w:r>
        <w:rPr>
          <w:color w:val="000000"/>
          <w:spacing w:val="0"/>
          <w:w w:val="100"/>
          <w:position w:val="0"/>
          <w:sz w:val="16"/>
          <w:szCs w:val="16"/>
        </w:rPr>
        <w:t>（</w:t>
      </w:r>
      <w:bookmarkEnd w:id="641"/>
      <w:r>
        <w:rPr>
          <w:color w:val="000000"/>
          <w:spacing w:val="0"/>
          <w:w w:val="100"/>
          <w:position w:val="0"/>
          <w:sz w:val="16"/>
          <w:szCs w:val="16"/>
        </w:rPr>
        <w:t>2）</w:t>
        <w:tab/>
      </w:r>
      <w:r>
        <w:rPr>
          <w:color w:val="000000"/>
          <w:spacing w:val="0"/>
          <w:w w:val="100"/>
          <w:position w:val="0"/>
        </w:rPr>
        <w:t>了解与审计相关的内部控制，以设计恰当的审计程序，但目的并非对内部控制的有效性发表意见。</w:t>
      </w:r>
    </w:p>
    <w:p>
      <w:pPr>
        <w:pStyle w:val="Style30"/>
        <w:keepNext w:val="0"/>
        <w:keepLines w:val="0"/>
        <w:widowControl w:val="0"/>
        <w:shd w:val="clear" w:color="auto" w:fill="auto"/>
        <w:tabs>
          <w:tab w:pos="793" w:val="left"/>
        </w:tabs>
        <w:bidi w:val="0"/>
        <w:spacing w:before="0" w:after="0" w:line="314" w:lineRule="exact"/>
        <w:ind w:left="0" w:right="0" w:firstLine="380"/>
        <w:jc w:val="both"/>
      </w:pPr>
      <w:bookmarkStart w:id="642" w:name="bookmark642"/>
      <w:r>
        <w:rPr>
          <w:color w:val="000000"/>
          <w:spacing w:val="0"/>
          <w:w w:val="100"/>
          <w:position w:val="0"/>
          <w:sz w:val="16"/>
          <w:szCs w:val="16"/>
        </w:rPr>
        <w:t>（</w:t>
      </w:r>
      <w:bookmarkEnd w:id="642"/>
      <w:r>
        <w:rPr>
          <w:color w:val="000000"/>
          <w:spacing w:val="0"/>
          <w:w w:val="100"/>
          <w:position w:val="0"/>
          <w:sz w:val="16"/>
          <w:szCs w:val="16"/>
        </w:rPr>
        <w:t>3）</w:t>
        <w:tab/>
      </w:r>
      <w:r>
        <w:rPr>
          <w:color w:val="000000"/>
          <w:spacing w:val="0"/>
          <w:w w:val="100"/>
          <w:position w:val="0"/>
        </w:rPr>
        <w:t>评价管理层选用会计政策的恰当性和作出会计估计及相关披露的合理性。</w:t>
      </w:r>
    </w:p>
    <w:p>
      <w:pPr>
        <w:pStyle w:val="Style30"/>
        <w:keepNext w:val="0"/>
        <w:keepLines w:val="0"/>
        <w:widowControl w:val="0"/>
        <w:shd w:val="clear" w:color="auto" w:fill="auto"/>
        <w:tabs>
          <w:tab w:pos="869" w:val="left"/>
        </w:tabs>
        <w:bidi w:val="0"/>
        <w:spacing w:before="0" w:after="0" w:line="314" w:lineRule="exact"/>
        <w:ind w:left="0" w:right="0" w:firstLine="380"/>
        <w:jc w:val="both"/>
      </w:pPr>
      <w:bookmarkStart w:id="643" w:name="bookmark643"/>
      <w:r>
        <w:rPr>
          <w:color w:val="000000"/>
          <w:spacing w:val="0"/>
          <w:w w:val="100"/>
          <w:position w:val="0"/>
          <w:sz w:val="16"/>
          <w:szCs w:val="16"/>
        </w:rPr>
        <w:t>（</w:t>
      </w:r>
      <w:bookmarkEnd w:id="643"/>
      <w:r>
        <w:rPr>
          <w:color w:val="000000"/>
          <w:spacing w:val="0"/>
          <w:w w:val="100"/>
          <w:position w:val="0"/>
          <w:sz w:val="16"/>
          <w:szCs w:val="16"/>
        </w:rPr>
        <w:t>4）</w:t>
        <w:tab/>
      </w:r>
      <w:r>
        <w:rPr>
          <w:color w:val="000000"/>
          <w:spacing w:val="0"/>
          <w:w w:val="100"/>
          <w:position w:val="0"/>
        </w:rPr>
        <w:t>对管理层使用持续经营假设的恰当性得出结论。同时，根据获取的审计证据，就可能导致对银江公司持续经营能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于截至审计报告日可获得的信息。然而，未来的事项或情况可能导致银江公司不能持续经营。</w:t>
      </w:r>
    </w:p>
    <w:p>
      <w:pPr>
        <w:pStyle w:val="Style30"/>
        <w:keepNext w:val="0"/>
        <w:keepLines w:val="0"/>
        <w:widowControl w:val="0"/>
        <w:shd w:val="clear" w:color="auto" w:fill="auto"/>
        <w:tabs>
          <w:tab w:pos="793" w:val="left"/>
        </w:tabs>
        <w:bidi w:val="0"/>
        <w:spacing w:before="0" w:after="0" w:line="314" w:lineRule="exact"/>
        <w:ind w:left="0" w:right="0" w:firstLine="380"/>
        <w:jc w:val="both"/>
      </w:pPr>
      <w:bookmarkStart w:id="644" w:name="bookmark644"/>
      <w:r>
        <w:rPr>
          <w:color w:val="000000"/>
          <w:spacing w:val="0"/>
          <w:w w:val="100"/>
          <w:position w:val="0"/>
          <w:sz w:val="16"/>
          <w:szCs w:val="16"/>
        </w:rPr>
        <w:t>（</w:t>
      </w:r>
      <w:bookmarkEnd w:id="644"/>
      <w:r>
        <w:rPr>
          <w:color w:val="000000"/>
          <w:spacing w:val="0"/>
          <w:w w:val="100"/>
          <w:position w:val="0"/>
          <w:sz w:val="16"/>
          <w:szCs w:val="16"/>
        </w:rPr>
        <w:t>5）</w:t>
        <w:tab/>
      </w:r>
      <w:r>
        <w:rPr>
          <w:color w:val="000000"/>
          <w:spacing w:val="0"/>
          <w:w w:val="100"/>
          <w:position w:val="0"/>
        </w:rPr>
        <w:t>评价财务报表的总体列报、结构和内容，并评价财务报表是否公允反映相关交易和事项。</w:t>
      </w:r>
    </w:p>
    <w:p>
      <w:pPr>
        <w:pStyle w:val="Style30"/>
        <w:keepNext w:val="0"/>
        <w:keepLines w:val="0"/>
        <w:widowControl w:val="0"/>
        <w:shd w:val="clear" w:color="auto" w:fill="auto"/>
        <w:tabs>
          <w:tab w:pos="869" w:val="left"/>
        </w:tabs>
        <w:bidi w:val="0"/>
        <w:spacing w:before="0" w:after="0" w:line="314" w:lineRule="exact"/>
        <w:ind w:left="0" w:right="0" w:firstLine="380"/>
        <w:jc w:val="both"/>
      </w:pPr>
      <w:bookmarkStart w:id="645" w:name="bookmark645"/>
      <w:r>
        <w:rPr>
          <w:color w:val="000000"/>
          <w:spacing w:val="0"/>
          <w:w w:val="100"/>
          <w:position w:val="0"/>
          <w:sz w:val="16"/>
          <w:szCs w:val="16"/>
        </w:rPr>
        <w:t>（</w:t>
      </w:r>
      <w:bookmarkEnd w:id="645"/>
      <w:r>
        <w:rPr>
          <w:color w:val="000000"/>
          <w:spacing w:val="0"/>
          <w:w w:val="100"/>
          <w:position w:val="0"/>
          <w:sz w:val="16"/>
          <w:szCs w:val="16"/>
        </w:rPr>
        <w:t>6）</w:t>
        <w:tab/>
      </w:r>
      <w:r>
        <w:rPr>
          <w:color w:val="000000"/>
          <w:spacing w:val="0"/>
          <w:w w:val="100"/>
          <w:position w:val="0"/>
        </w:rPr>
        <w:t>就银江公司中实体或业务活动的财务信息获取充分、适当的审计证据，以对财务报表发表意见。我们负责指导、 监督和执行集团审计。我们对审计意见承担全部责任。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83" w:right="1037" w:bottom="1642" w:left="1091" w:header="0" w:footer="3" w:gutter="0"/>
          <w:cols w:space="720"/>
          <w:noEndnote/>
          <w:rtlGutter w:val="0"/>
          <w:docGrid w:linePitch="360"/>
        </w:sectPr>
      </w:pPr>
      <w:r>
        <mc:AlternateContent>
          <mc:Choice Requires="wps">
            <w:drawing>
              <wp:anchor distT="215900" distB="0" distL="0" distR="0" simplePos="0" relativeHeight="125829382" behindDoc="0" locked="0" layoutInCell="1" allowOverlap="1">
                <wp:simplePos x="0" y="0"/>
                <wp:positionH relativeFrom="page">
                  <wp:posOffset>1162050</wp:posOffset>
                </wp:positionH>
                <wp:positionV relativeFrom="paragraph">
                  <wp:posOffset>215900</wp:posOffset>
                </wp:positionV>
                <wp:extent cx="1959610" cy="149225"/>
                <wp:wrapTopAndBottom/>
                <wp:docPr id="26" name="Shape 26"/>
                <a:graphic xmlns:a="http://schemas.openxmlformats.org/drawingml/2006/main">
                  <a:graphicData uri="http://schemas.microsoft.com/office/word/2010/wordprocessingShape">
                    <wps:wsp>
                      <wps:cNvSpPr txBox="1"/>
                      <wps:spPr>
                        <a:xfrm>
                          <a:ext cx="19596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xbxContent>
                      </wps:txbx>
                      <wps:bodyPr wrap="none" lIns="0" tIns="0" rIns="0" bIns="0">
                        <a:noAutoFit/>
                      </wps:bodyPr>
                    </wps:wsp>
                  </a:graphicData>
                </a:graphic>
              </wp:anchor>
            </w:drawing>
          </mc:Choice>
          <mc:Fallback>
            <w:pict>
              <v:shape id="_x0000_s1052" type="#_x0000_t202" style="position:absolute;margin-left:91.5pt;margin-top:17.pt;width:154.30000000000001pt;height:11.75pt;z-index:-125829371;mso-wrap-distance-left:0;mso-wrap-distance-top:17.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xbxContent>
                </v:textbox>
                <w10:wrap type="topAndBottom" anchorx="page"/>
              </v:shape>
            </w:pict>
          </mc:Fallback>
        </mc:AlternateContent>
      </w:r>
      <w:r>
        <mc:AlternateContent>
          <mc:Choice Requires="wps">
            <w:drawing>
              <wp:anchor distT="215900" distB="3175" distL="0" distR="0" simplePos="0" relativeHeight="125829384" behindDoc="0" locked="0" layoutInCell="1" allowOverlap="1">
                <wp:simplePos x="0" y="0"/>
                <wp:positionH relativeFrom="page">
                  <wp:posOffset>3966210</wp:posOffset>
                </wp:positionH>
                <wp:positionV relativeFrom="paragraph">
                  <wp:posOffset>215900</wp:posOffset>
                </wp:positionV>
                <wp:extent cx="1271270" cy="146050"/>
                <wp:wrapTopAndBottom/>
                <wp:docPr id="28" name="Shape 28"/>
                <a:graphic xmlns:a="http://schemas.openxmlformats.org/drawingml/2006/main">
                  <a:graphicData uri="http://schemas.microsoft.com/office/word/2010/wordprocessingShape">
                    <wps:wsp>
                      <wps:cNvSpPr txBox="1"/>
                      <wps:spPr>
                        <a:xfrm>
                          <a:ext cx="127127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中国注册会计师：高敏建</w:t>
                            </w:r>
                          </w:p>
                        </w:txbxContent>
                      </wps:txbx>
                      <wps:bodyPr wrap="none" lIns="0" tIns="0" rIns="0" bIns="0">
                        <a:noAutoFit/>
                      </wps:bodyPr>
                    </wps:wsp>
                  </a:graphicData>
                </a:graphic>
              </wp:anchor>
            </w:drawing>
          </mc:Choice>
          <mc:Fallback>
            <w:pict>
              <v:shape id="_x0000_s1054" type="#_x0000_t202" style="position:absolute;margin-left:312.30000000000001pt;margin-top:17.pt;width:100.10000000000001pt;height:11.5pt;z-index:-125829369;mso-wrap-distance-left:0;mso-wrap-distance-top:17.pt;mso-wrap-distance-right:0;mso-wrap-distance-bottom:0.2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中国注册会计师：高敏建</w:t>
                      </w:r>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（项目合伙人）</w:t>
      </w:r>
    </w:p>
    <w:p>
      <w:pPr>
        <w:pStyle w:val="Style30"/>
        <w:keepNext w:val="0"/>
        <w:keepLines w:val="0"/>
        <w:widowControl w:val="0"/>
        <w:shd w:val="clear" w:color="auto" w:fill="auto"/>
        <w:bidi w:val="0"/>
        <w:spacing w:before="0" w:after="140" w:line="240" w:lineRule="auto"/>
        <w:ind w:left="0" w:right="0" w:firstLine="0"/>
        <w:jc w:val="center"/>
      </w:pPr>
      <w:r>
        <mc:AlternateContent>
          <mc:Choice Requires="wps">
            <w:drawing>
              <wp:anchor distT="0" distB="0" distL="114300" distR="114300" simplePos="0" relativeHeight="125829386" behindDoc="0" locked="0" layoutInCell="1" allowOverlap="1">
                <wp:simplePos x="0" y="0"/>
                <wp:positionH relativeFrom="page">
                  <wp:posOffset>1543050</wp:posOffset>
                </wp:positionH>
                <wp:positionV relativeFrom="paragraph">
                  <wp:posOffset>12700</wp:posOffset>
                </wp:positionV>
                <wp:extent cx="588010" cy="149225"/>
                <wp:wrapSquare wrapText="right"/>
                <wp:docPr id="30" name="Shape 30"/>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6" type="#_x0000_t202" style="position:absolute;margin-left:121.5pt;margin-top:1.pt;width:46.300000000000004pt;height:11.75pt;z-index:-125829367;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中国注册会计师：庞玉文</w:t>
      </w:r>
    </w:p>
    <w:p>
      <w:pPr>
        <w:pStyle w:val="Style30"/>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 xml:space="preserve">月 </w:t>
      </w:r>
      <w:r>
        <w:rPr>
          <w:color w:val="000000"/>
          <w:spacing w:val="0"/>
          <w:w w:val="100"/>
          <w:position w:val="0"/>
          <w:sz w:val="16"/>
          <w:szCs w:val="16"/>
        </w:rPr>
        <w:t>26</w:t>
      </w:r>
      <w:r>
        <w:rPr>
          <w:color w:val="000000"/>
          <w:spacing w:val="0"/>
          <w:w w:val="100"/>
          <w:position w:val="0"/>
        </w:rPr>
        <w:t>日</w:t>
      </w:r>
    </w:p>
    <w:p>
      <w:pPr>
        <w:pStyle w:val="Style28"/>
        <w:keepNext/>
        <w:keepLines/>
        <w:widowControl w:val="0"/>
        <w:shd w:val="clear" w:color="auto" w:fill="auto"/>
        <w:bidi w:val="0"/>
        <w:spacing w:before="0" w:after="380" w:line="240" w:lineRule="auto"/>
        <w:ind w:left="0" w:right="0" w:hanging="180"/>
        <w:jc w:val="left"/>
      </w:pPr>
      <w:bookmarkStart w:id="649" w:name="bookmark649"/>
      <w:bookmarkStart w:id="650" w:name="bookmark650"/>
      <w:bookmarkStart w:id="651" w:name="bookmark651"/>
      <w:bookmarkStart w:id="652" w:name="bookmark652"/>
      <w:r>
        <w:rPr>
          <w:color w:val="000000"/>
          <w:spacing w:val="0"/>
          <w:w w:val="100"/>
          <w:position w:val="0"/>
        </w:rPr>
        <w:t>二</w:t>
      </w:r>
      <w:bookmarkEnd w:id="651"/>
      <w:r>
        <w:rPr>
          <w:color w:val="000000"/>
          <w:spacing w:val="0"/>
          <w:w w:val="100"/>
          <w:position w:val="0"/>
        </w:rPr>
        <w:t>、财务报表</w:t>
      </w:r>
      <w:bookmarkEnd w:id="649"/>
      <w:bookmarkEnd w:id="650"/>
      <w:bookmarkEnd w:id="652"/>
    </w:p>
    <w:p>
      <w:pPr>
        <w:pStyle w:val="Style30"/>
        <w:keepNext w:val="0"/>
        <w:keepLines w:val="0"/>
        <w:widowControl w:val="0"/>
        <w:shd w:val="clear" w:color="auto" w:fill="auto"/>
        <w:bidi w:val="0"/>
        <w:spacing w:before="0" w:after="380" w:line="240" w:lineRule="auto"/>
        <w:ind w:left="0" w:right="0" w:hanging="18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hanging="18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、合并资产负债表</w:t>
      </w:r>
      <w:bookmarkEnd w:id="653"/>
      <w:bookmarkEnd w:id="654"/>
      <w:bookmarkEnd w:id="656"/>
    </w:p>
    <w:p>
      <w:pPr>
        <w:pStyle w:val="Style30"/>
        <w:keepNext w:val="0"/>
        <w:keepLines w:val="0"/>
        <w:widowControl w:val="0"/>
        <w:shd w:val="clear" w:color="auto" w:fill="auto"/>
        <w:bidi w:val="0"/>
        <w:spacing w:before="0" w:after="140" w:line="240" w:lineRule="auto"/>
        <w:ind w:left="0" w:right="0" w:hanging="180"/>
        <w:jc w:val="left"/>
      </w:pPr>
      <w:r>
        <w:rPr>
          <w:color w:val="000000"/>
          <w:spacing w:val="0"/>
          <w:w w:val="100"/>
          <w:position w:val="0"/>
        </w:rPr>
        <w:t>编制单位：银江股份有限公司</w:t>
      </w:r>
    </w:p>
    <w:p>
      <w:pPr>
        <w:pStyle w:val="Style25"/>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699,721,404.35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634,221,957.43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1,635,029,402.65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1,466,422,666.61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139,179,585.00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156,087,890.85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160,485,328.69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347,522,885.45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116,629,925.34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1,761,337,689.38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1,713,059,673.34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6,981,844.32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2,458,420.63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4,492,838,641.53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4,368,611,510.35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58,517,803.86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592,330,993.57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634,035,259.83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301,394,572.00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207,548,167.24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282,775,638.98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39,893,577.98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205,149,583.56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198,384,279.86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21,224,154.58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24,750,961.58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3,004,409.12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3,940,032.27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71,217,529.18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67,686,285.57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158,575,139.94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63,074,268.25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2,220,740,097.13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2,103,905,354.99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6,713,578,738.66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6,472,516,865.34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1,737,724,263.22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1,634,650,000.00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115,456,130.60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61,522,868.51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996,307,485.66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959,854,076.80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169,476,750.24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58,258,592.44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20,819,415.73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19,283,950.69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127,518,409.05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136,463,148.18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148,743,411.35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153,475,082.59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3,204,827,708.05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3,134,725,877.01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5,974,423.25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3,197,964.32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7,634,423.25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3,208,025,672.37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3,142,360,300.26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1,550,397,873.81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1,586,429,599.92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98,424,572.00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157,495,393.37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138,804,173.96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1,010,820,615.73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910,171,101.96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3,472,927,540.91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3,291,194,843.44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32,625,525.38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38,961,721.64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3,505,553,066.29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3,330,156,565.08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6,713,578,738.66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6,472,516,865.34</w:t>
            </w:r>
          </w:p>
        </w:tc>
      </w:tr>
    </w:tbl>
    <w:p>
      <w:pPr>
        <w:spacing w:lineRule="exact" w:line="1"/>
        <w:rPr>
          <w:sz w:val="2"/>
          <w:szCs w:val="2"/>
        </w:rPr>
      </w:pPr>
      <w:r>
        <w:br w:type="page"/>
      </w:r>
    </w:p>
    <w:p>
      <w:pPr>
        <w:widowControl w:val="0"/>
        <w:spacing w:line="1" w:lineRule="exact"/>
      </w:pPr>
      <w:r>
        <mc:AlternateContent>
          <mc:Choice Requires="wps">
            <w:drawing>
              <wp:anchor distT="0" distB="554990" distL="0" distR="0" simplePos="0" relativeHeight="125829388" behindDoc="0" locked="0" layoutInCell="1" allowOverlap="1">
                <wp:simplePos x="0" y="0"/>
                <wp:positionH relativeFrom="page">
                  <wp:posOffset>703580</wp:posOffset>
                </wp:positionH>
                <wp:positionV relativeFrom="paragraph">
                  <wp:posOffset>0</wp:posOffset>
                </wp:positionV>
                <wp:extent cx="938530" cy="149225"/>
                <wp:wrapTopAndBottom/>
                <wp:docPr id="32" name="Shape 3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wps:txbx>
                      <wps:bodyPr wrap="none" lIns="0" tIns="0" rIns="0" bIns="0">
                        <a:noAutoFit/>
                      </wps:bodyPr>
                    </wps:wsp>
                  </a:graphicData>
                </a:graphic>
              </wp:anchor>
            </w:drawing>
          </mc:Choice>
          <mc:Fallback>
            <w:pict>
              <v:shape id="_x0000_s1058" type="#_x0000_t202" style="position:absolute;margin-left:55.399999999999999pt;margin-top:0;width:73.900000000000006pt;height:11.75pt;z-index:-125829365;mso-wrap-distance-left:0;mso-wrap-distance-right:0;mso-wrap-distance-bottom:43.700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法定代表人：王腾</w:t>
                      </w:r>
                    </w:p>
                  </w:txbxContent>
                </v:textbox>
                <w10:wrap type="topAndBottom" anchorx="page"/>
              </v:shape>
            </w:pict>
          </mc:Fallback>
        </mc:AlternateContent>
      </w:r>
      <w:r>
        <mc:AlternateContent>
          <mc:Choice Requires="wps">
            <w:drawing>
              <wp:anchor distT="0" distB="558165" distL="0" distR="0" simplePos="0" relativeHeight="125829390" behindDoc="0" locked="0" layoutInCell="1" allowOverlap="1">
                <wp:simplePos x="0" y="0"/>
                <wp:positionH relativeFrom="page">
                  <wp:posOffset>2766695</wp:posOffset>
                </wp:positionH>
                <wp:positionV relativeFrom="paragraph">
                  <wp:posOffset>0</wp:posOffset>
                </wp:positionV>
                <wp:extent cx="1505585" cy="146050"/>
                <wp:wrapTopAndBottom/>
                <wp:docPr id="34" name="Shape 3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wps:txbx>
                      <wps:bodyPr wrap="none" lIns="0" tIns="0" rIns="0" bIns="0">
                        <a:noAutoFit/>
                      </wps:bodyPr>
                    </wps:wsp>
                  </a:graphicData>
                </a:graphic>
              </wp:anchor>
            </w:drawing>
          </mc:Choice>
          <mc:Fallback>
            <w:pict>
              <v:shape id="_x0000_s1060" type="#_x0000_t202" style="position:absolute;margin-left:217.84999999999999pt;margin-top:0;width:118.55pt;height:11.5pt;z-index:-125829363;mso-wrap-distance-left:0;mso-wrap-distance-right:0;mso-wrap-distance-bottom:43.950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主管会计工作负责人：任刚要</w:t>
                      </w:r>
                    </w:p>
                  </w:txbxContent>
                </v:textbox>
                <w10:wrap type="topAndBottom" anchorx="page"/>
              </v:shape>
            </w:pict>
          </mc:Fallback>
        </mc:AlternateContent>
      </w:r>
      <w:r>
        <mc:AlternateContent>
          <mc:Choice Requires="wps">
            <w:drawing>
              <wp:anchor distT="0" distB="554990" distL="0" distR="0" simplePos="0" relativeHeight="125829392" behindDoc="0" locked="0" layoutInCell="1" allowOverlap="1">
                <wp:simplePos x="0" y="0"/>
                <wp:positionH relativeFrom="page">
                  <wp:posOffset>5391150</wp:posOffset>
                </wp:positionH>
                <wp:positionV relativeFrom="paragraph">
                  <wp:posOffset>0</wp:posOffset>
                </wp:positionV>
                <wp:extent cx="1398905" cy="149225"/>
                <wp:wrapTopAndBottom/>
                <wp:docPr id="36" name="Shape 36"/>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wps:txbx>
                      <wps:bodyPr wrap="none" lIns="0" tIns="0" rIns="0" bIns="0">
                        <a:noAutoFit/>
                      </wps:bodyPr>
                    </wps:wsp>
                  </a:graphicData>
                </a:graphic>
              </wp:anchor>
            </w:drawing>
          </mc:Choice>
          <mc:Fallback>
            <w:pict>
              <v:shape id="_x0000_s1062" type="#_x0000_t202" style="position:absolute;margin-left:424.5pt;margin-top:0;width:110.15000000000001pt;height:11.75pt;z-index:-125829361;mso-wrap-distance-left:0;mso-wrap-distance-right:0;mso-wrap-distance-bottom:43.700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会计机构负责人：欧阳文根</w:t>
                      </w:r>
                    </w:p>
                  </w:txbxContent>
                </v:textbox>
                <w10:wrap type="topAndBottom" anchorx="page"/>
              </v:shape>
            </w:pict>
          </mc:Fallback>
        </mc:AlternateContent>
      </w:r>
      <w:r>
        <mc:AlternateContent>
          <mc:Choice Requires="wps">
            <w:drawing>
              <wp:anchor distT="377825" distB="152400" distL="0" distR="0" simplePos="0" relativeHeight="125829394" behindDoc="0" locked="0" layoutInCell="1" allowOverlap="1">
                <wp:simplePos x="0" y="0"/>
                <wp:positionH relativeFrom="page">
                  <wp:posOffset>700405</wp:posOffset>
                </wp:positionH>
                <wp:positionV relativeFrom="paragraph">
                  <wp:posOffset>377825</wp:posOffset>
                </wp:positionV>
                <wp:extent cx="1301750" cy="173990"/>
                <wp:wrapTopAndBottom/>
                <wp:docPr id="38" name="Shape 38"/>
                <a:graphic xmlns:a="http://schemas.openxmlformats.org/drawingml/2006/main">
                  <a:graphicData uri="http://schemas.microsoft.com/office/word/2010/wordprocessingShape">
                    <wps:wsp>
                      <wps:cNvSpPr txBox="1"/>
                      <wps:spPr>
                        <a:xfrm>
                          <a:ext cx="1301750"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6"/>
                            <w:bookmarkEnd w:id="647"/>
                            <w:bookmarkEnd w:id="648"/>
                          </w:p>
                        </w:txbxContent>
                      </wps:txbx>
                      <wps:bodyPr wrap="none" lIns="0" tIns="0" rIns="0" bIns="0">
                        <a:noAutoFit/>
                      </wps:bodyPr>
                    </wps:wsp>
                  </a:graphicData>
                </a:graphic>
              </wp:anchor>
            </w:drawing>
          </mc:Choice>
          <mc:Fallback>
            <w:pict>
              <v:shape id="_x0000_s1064" type="#_x0000_t202" style="position:absolute;margin-left:55.149999999999999pt;margin-top:29.75pt;width:102.5pt;height:13.700000000000001pt;z-index:-125829359;mso-wrap-distance-left:0;mso-wrap-distance-top:29.75pt;mso-wrap-distance-right:0;mso-wrap-distance-bottom:12.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6"/>
                      <w:bookmarkEnd w:id="647"/>
                      <w:bookmarkEnd w:id="648"/>
                    </w:p>
                  </w:txbxContent>
                </v:textbox>
                <w10:wrap type="topAndBottom" anchorx="page"/>
              </v:shape>
            </w:pict>
          </mc:Fallback>
        </mc:AlternateConten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622,099,938.64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572,074,384.57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19,111,477.84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1,636,598,278.55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1,460,993,497.36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170,941,474.23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153,744,161.34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526,894,286.31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546,187,446.07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84,185,585.11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1,708,940,242.79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1,707,490,204.98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323,168.07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4,770,137,637.68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4,442,822,900.20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27,566,926.51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46,230,898.25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901,756,635.13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943,482,772.33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110,116,000.00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110,128,224.08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282,775,638.98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92,990,414.63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518,871,721.12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39,449,541.28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114,339,214.37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101,228,139.73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18,435,930.80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22,788,569.42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783,532.95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1,251,256.91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64,349,232.74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65,815,880.83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158,575,139.94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63,074,268.25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2,223,155,968.63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2,195,096,911.18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6,993,293,606.31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6,637,919,811.38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1,592,724,263.22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260,456,130.60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61,722,868.51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1,081,970,215.41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1,004,464,222.13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147,275,504.68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38,113,594.00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13,722,471.00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12,500,593.12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120,715,485.91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131,184,144.74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326,595,410.35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214,255,897.20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3,434,297,570.49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3,205,853,230.38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4,144,458.93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5,644,458.93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3,435,665,570.49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3,211,497,689.31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1,550,436,814.97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1,586,468,541.08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157,495,393.37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138,804,173.96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1,193,906,741.48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1,045,359,439.43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3,557,628,035.82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3,426,422,122.07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6,993,293,606.31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6,637,919,811.38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、合并利润表</w:t>
      </w:r>
      <w:bookmarkEnd w:id="657"/>
      <w:bookmarkEnd w:id="658"/>
      <w:bookmarkEnd w:id="66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2,079,504,434.71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2,079,504,434.71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1,957,771,011.23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1,923,887,092.03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1,609,601,729.45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1,596,541,427.28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9,973,823.55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8,642,831.78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46,427,801.18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45,839,747.88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139,077,278.60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135,043,762.30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71,735,352.83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90,176,735.40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80,955,025.62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47,642,587.39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89,477,284.87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77,614,112.82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17,089,047.34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30,823,685.94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9,102,290.85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1,847,135.26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2,427,544.16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782,762.04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-4,254,837.40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14,740,268.22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-11,860,353.62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1,430,764.68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-5,284,434.43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5,009,984.13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174,799,343.68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160,448,053.74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9,600,213.32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784,611.43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712,842.61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174,328,075.10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169,335,424.45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22,959,780.25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23,205,191.62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151,368,294.85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146,130,232.83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151,368,294.85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146,130,232.83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157,704,491.11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150,042,583.64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-6,336,196.26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-3,912,350.81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98,007,810.28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98,007,810.28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98,007,810.28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98,007,810.28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249,376,105.13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72,077,202.33</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255,712,301.39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75,989,553.14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-6,336,196.26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-3,912,350.81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0"/>
        <w:keepNext w:val="0"/>
        <w:keepLines w:val="0"/>
        <w:widowControl w:val="0"/>
        <w:shd w:val="clear" w:color="auto" w:fill="auto"/>
        <w:tabs>
          <w:tab w:pos="3245" w:val="left"/>
          <w:tab w:pos="7378" w:val="left"/>
        </w:tabs>
        <w:bidi w:val="0"/>
        <w:spacing w:before="0" w:after="400" w:line="240" w:lineRule="auto"/>
        <w:ind w:left="0" w:right="0" w:firstLine="0"/>
        <w:jc w:val="left"/>
      </w:pPr>
      <w:r>
        <w:rPr>
          <w:color w:val="000000"/>
          <w:spacing w:val="0"/>
          <w:w w:val="100"/>
          <w:position w:val="0"/>
        </w:rPr>
        <w:t>法定代表人：王腾</w:t>
        <w:tab/>
        <w:t>主管会计工作负责人：任刚要</w:t>
        <w:tab/>
        <w:t>会计机构负责人：欧阳文根</w:t>
      </w:r>
    </w:p>
    <w:p>
      <w:pPr>
        <w:pStyle w:val="Style33"/>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、母公司利润表</w:t>
      </w:r>
      <w:bookmarkEnd w:id="661"/>
      <w:bookmarkEnd w:id="662"/>
      <w:bookmarkEnd w:id="6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2,081,874,980.78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2,027,374,451.92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1,549,399,659.25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1,542,673,556.12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9,546,227.32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8,176,680.92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45,039,770.20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41,766,226.48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94,050,194.08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75,071,009.08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93,035,941.59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117,000,337.33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80,685,685.04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47,166,110.36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88,213,395.98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76,174,361.32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15,976,988.28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29,773,040.54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4,566,943.60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1,538,945.70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-5,694,326.78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-3,689,119.73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-5,694,411.09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14,024,406.33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25,539,149.53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2,462,380.93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-1,836,013.43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4,694.96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2,675,407.31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232,697,951.18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194,268,210.79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7,320,979.40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272,149.90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232,513,642.48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201,317,040.29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27,335,820.46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21,900,389.26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205,177,822.02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179,416,651.03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64" w:lineRule="exact"/>
              <w:ind w:left="0" w:right="0" w:firstLine="380"/>
              <w:jc w:val="both"/>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205,177,822.02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179,416,651.03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7,695.65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7,695.65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7,695.65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-74,053,030.50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205,185,517.67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105,363,620.53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、合并现金流量表</w:t>
      </w:r>
      <w:bookmarkEnd w:id="665"/>
      <w:bookmarkEnd w:id="666"/>
      <w:bookmarkEnd w:id="6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1,685,138,674.92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2,057,355,664.78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1,007,135.26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114,248,617.99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267,297,493.22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1,799,434,770.79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2,325,660,293.26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1,496,640,179.61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1,804,930,772.16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99,945,419.98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110,254,067.38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46,280,060.48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56,487,120.00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248,061,195.29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340,846,581.71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1,890,926,855.36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2,312,518,541.25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13,141,752.01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12,121,362.10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133,457,806.11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38,328,233.17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1,940,128.74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5,259,381.98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38,333,463.82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900,478,050.00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849,912,861.86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950,951,214.97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1,028,903,642.51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75,053,627.88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456,075,908.08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717,254,050.00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976,574,000.00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792,307,677.88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1,455,649,908.08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158,643,537.09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-426,746,265.57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2,174,650,000.00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63,558,151.54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2,056,516,489.63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2,238,208,151.54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1,885,650,000.00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1,690,950,000.00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114,980,299.82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91,136,978.71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85,787,767.77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2,050,910,339.14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1,867,874,746.48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5,606,150.49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370,333,405.06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51,996.97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72,809,599.98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-43,269,670.05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561,039,553.87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604,309,223.92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561,039,553.87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1,617,474,610.88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1,999,093,692.88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47,477.88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698,945.70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82,709,315.05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219,221,049.18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1,700,231,403.81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2,219,013,687.76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1,298,718,083.13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1,772,815,667.61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60,034,803.55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64,029,013.93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44,590,690.17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52,789,808.05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227,365,542.17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302,553,545.17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1,630,709,119.02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2,192,188,034.76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69,522,284.79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26,825,653.00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21,362.10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169,457,806.11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38,054,404.00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1,940,128.74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10,649.17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2,678,718.56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900,478,050.00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849,912,861.86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938,564,465.27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1,023,989,515.27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73,540,994.03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446,615,220.10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717,254,050.00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976,574,000.00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790,795,044.03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1,446,189,220.10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147,769,421.24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-422,199,704.83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2,174,450,000.00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190,679,291.58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329,363,267.29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2,030,679,291.58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2,503,813,267.29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1,885,450,000.00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114,980,299.82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89,697,227.21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221,318,911.24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380,386,125.29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2,221,749,211.06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2,110,083,352.50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-191,069,919.48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393,729,914.79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26,279,457.08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-1,644,137.04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529,948,231.06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531,592,368.10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556,227,688.14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529,948,231.06</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693,68</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4,205.</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429,59</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w:t>
            </w:r>
          </w:p>
          <w:p>
            <w:pPr>
              <w:pStyle w:val="Style25"/>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2,301.</w:t>
            </w:r>
          </w:p>
          <w:p>
            <w:pPr>
              <w:pStyle w:val="Style25"/>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397,87</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129,63</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290,80</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52,091</w:t>
            </w:r>
          </w:p>
          <w:p>
            <w:pPr>
              <w:pStyle w:val="Style2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740,16</w:t>
            </w:r>
          </w:p>
          <w:p>
            <w:pPr>
              <w:pStyle w:val="Style25"/>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52,454</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-4,539,</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75,989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6,564,</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6,564,</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5,337.</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429,59</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w:t>
            </w:r>
          </w:p>
          <w:p>
            <w:pPr>
              <w:pStyle w:val="Style25"/>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3,429,133,</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-16,446,</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1,586,46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136,976,</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20,518,6</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164,994,</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086.76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149,480,11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205,177,</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205,185,5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-40,191,</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-20,517,</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-19,673,</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7,719.52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1,550,43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1,193,90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6,741.48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68,577.</w:t>
            </w:r>
          </w:p>
          <w:p>
            <w:pPr>
              <w:pStyle w:val="Style25"/>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915,819,1</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3,338,107,7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-1,838,8</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7,491,981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6,485,592.1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29,746.</w:t>
            </w:r>
          </w:p>
          <w:p>
            <w:pPr>
              <w:pStyle w:val="Style25"/>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923,311,1</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3,344,578,3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-3,861,2</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122,048,3</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81,843,742.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-74,053,</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179,416,6</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105,363,62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6,564,0</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6,564,048.5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6,564,0</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6,564,048.5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-37,615,3</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-17,941,6</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-19,673,6</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-2,194,7</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-19,752,9</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-2,194,7</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-19,752,9</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-10,425,253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3,426,422,1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三</w:t>
      </w:r>
      <w:bookmarkEnd w:id="683"/>
      <w:r>
        <w:rPr>
          <w:color w:val="000000"/>
          <w:spacing w:val="0"/>
          <w:w w:val="100"/>
          <w:position w:val="0"/>
        </w:rPr>
        <w:t>、公司基本情况</w:t>
      </w:r>
      <w:bookmarkEnd w:id="681"/>
      <w:bookmarkEnd w:id="682"/>
      <w:bookmarkEnd w:id="684"/>
    </w:p>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1、公司注册地、组织形式和总部地址</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银江股份有限公司（以下简称“公司”或“本公司”）系在原杭州银江电子有限公司基础上整体变更设立的股份有限公司， 由银江科技集团有限公司和自然人张岩、柴志涛、王毅、杨富金、钱小鸿、樊锦祥、刘健、钱英、柳展、王剑伟作为发起人， 注册资本为人民币</w:t>
      </w:r>
      <w:r>
        <w:rPr>
          <w:color w:val="000000"/>
          <w:spacing w:val="0"/>
          <w:w w:val="100"/>
          <w:position w:val="0"/>
          <w:sz w:val="16"/>
          <w:szCs w:val="16"/>
        </w:rPr>
        <w:t>4, 000</w:t>
      </w:r>
      <w:r>
        <w:rPr>
          <w:color w:val="000000"/>
          <w:spacing w:val="0"/>
          <w:w w:val="100"/>
          <w:position w:val="0"/>
        </w:rPr>
        <w:t>万元（每股面值人民币</w:t>
      </w:r>
      <w:r>
        <w:rPr>
          <w:color w:val="000000"/>
          <w:spacing w:val="0"/>
          <w:w w:val="100"/>
          <w:position w:val="0"/>
          <w:sz w:val="16"/>
          <w:szCs w:val="16"/>
        </w:rPr>
        <w:t>1</w:t>
      </w:r>
      <w:r>
        <w:rPr>
          <w:color w:val="000000"/>
          <w:spacing w:val="0"/>
          <w:w w:val="100"/>
          <w:position w:val="0"/>
        </w:rPr>
        <w:t>元）。公司于</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 xml:space="preserve">日取得杭州市工商行政管理局核发的 </w:t>
      </w:r>
      <w:r>
        <w:rPr>
          <w:color w:val="000000"/>
          <w:spacing w:val="0"/>
          <w:w w:val="100"/>
          <w:position w:val="0"/>
          <w:sz w:val="16"/>
          <w:szCs w:val="16"/>
        </w:rPr>
        <w:t>330100000003403</w:t>
      </w:r>
      <w:r>
        <w:rPr>
          <w:color w:val="000000"/>
          <w:spacing w:val="0"/>
          <w:w w:val="100"/>
          <w:position w:val="0"/>
        </w:rPr>
        <w:t>号《企业法人营业执照》。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月，公司申请新增注册资本</w:t>
      </w:r>
      <w:r>
        <w:rPr>
          <w:color w:val="000000"/>
          <w:spacing w:val="0"/>
          <w:w w:val="100"/>
          <w:position w:val="0"/>
          <w:sz w:val="16"/>
          <w:szCs w:val="16"/>
        </w:rPr>
        <w:t>1,200</w:t>
      </w:r>
      <w:r>
        <w:rPr>
          <w:color w:val="000000"/>
          <w:spacing w:val="0"/>
          <w:w w:val="100"/>
          <w:position w:val="0"/>
        </w:rPr>
        <w:t>万元，由新增法人股东浙江蓝山投资有限公司出资</w:t>
      </w:r>
      <w:r>
        <w:rPr>
          <w:color w:val="000000"/>
          <w:spacing w:val="0"/>
          <w:w w:val="100"/>
          <w:position w:val="0"/>
          <w:sz w:val="16"/>
          <w:szCs w:val="16"/>
        </w:rPr>
        <w:t>500</w:t>
      </w:r>
      <w:r>
        <w:rPr>
          <w:color w:val="000000"/>
          <w:spacing w:val="0"/>
          <w:w w:val="100"/>
          <w:position w:val="0"/>
        </w:rPr>
        <w:t>万元，新增自然人股东杨增 荣出资</w:t>
      </w:r>
      <w:r>
        <w:rPr>
          <w:color w:val="000000"/>
          <w:spacing w:val="0"/>
          <w:w w:val="100"/>
          <w:position w:val="0"/>
          <w:sz w:val="16"/>
          <w:szCs w:val="16"/>
        </w:rPr>
        <w:t>282</w:t>
      </w:r>
      <w:r>
        <w:rPr>
          <w:color w:val="000000"/>
          <w:spacing w:val="0"/>
          <w:w w:val="100"/>
          <w:position w:val="0"/>
        </w:rPr>
        <w:t>万元，新增自然人股东李涛出资</w:t>
      </w:r>
      <w:r>
        <w:rPr>
          <w:color w:val="000000"/>
          <w:spacing w:val="0"/>
          <w:w w:val="100"/>
          <w:position w:val="0"/>
          <w:sz w:val="16"/>
          <w:szCs w:val="16"/>
        </w:rPr>
        <w:t>278</w:t>
      </w:r>
      <w:r>
        <w:rPr>
          <w:color w:val="000000"/>
          <w:spacing w:val="0"/>
          <w:w w:val="100"/>
          <w:position w:val="0"/>
        </w:rPr>
        <w:t>万元,新增自然人股东章笠中出资</w:t>
      </w:r>
      <w:r>
        <w:rPr>
          <w:color w:val="000000"/>
          <w:spacing w:val="0"/>
          <w:w w:val="100"/>
          <w:position w:val="0"/>
          <w:sz w:val="16"/>
          <w:szCs w:val="16"/>
        </w:rPr>
        <w:t>60</w:t>
      </w:r>
      <w:r>
        <w:rPr>
          <w:color w:val="000000"/>
          <w:spacing w:val="0"/>
          <w:w w:val="100"/>
          <w:position w:val="0"/>
        </w:rPr>
        <w:t>万元,新增自然人股东乐秀夫出资</w:t>
      </w:r>
      <w:r>
        <w:rPr>
          <w:color w:val="000000"/>
          <w:spacing w:val="0"/>
          <w:w w:val="100"/>
          <w:position w:val="0"/>
          <w:sz w:val="16"/>
          <w:szCs w:val="16"/>
        </w:rPr>
        <w:t>80</w:t>
      </w:r>
      <w:r>
        <w:rPr>
          <w:color w:val="000000"/>
          <w:spacing w:val="0"/>
          <w:w w:val="100"/>
          <w:position w:val="0"/>
        </w:rPr>
        <w:t>万元， 变更后的注册资本为</w:t>
      </w:r>
      <w:r>
        <w:rPr>
          <w:color w:val="000000"/>
          <w:spacing w:val="0"/>
          <w:w w:val="100"/>
          <w:position w:val="0"/>
          <w:sz w:val="16"/>
          <w:szCs w:val="16"/>
        </w:rPr>
        <w:t>5, 200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12</w:t>
      </w:r>
      <w:r>
        <w:rPr>
          <w:color w:val="000000"/>
          <w:spacing w:val="0"/>
          <w:w w:val="100"/>
          <w:position w:val="0"/>
        </w:rPr>
        <w:t>月，钱英将其所持公司股份中的</w:t>
      </w:r>
      <w:r>
        <w:rPr>
          <w:color w:val="000000"/>
          <w:spacing w:val="0"/>
          <w:w w:val="100"/>
          <w:position w:val="0"/>
          <w:sz w:val="16"/>
          <w:szCs w:val="16"/>
        </w:rPr>
        <w:t>10</w:t>
      </w:r>
      <w:r>
        <w:rPr>
          <w:color w:val="000000"/>
          <w:spacing w:val="0"/>
          <w:w w:val="100"/>
          <w:position w:val="0"/>
        </w:rPr>
        <w:t>万股转让给李正大、</w:t>
      </w:r>
      <w:r>
        <w:rPr>
          <w:color w:val="000000"/>
          <w:spacing w:val="0"/>
          <w:w w:val="100"/>
          <w:position w:val="0"/>
          <w:sz w:val="16"/>
          <w:szCs w:val="16"/>
        </w:rPr>
        <w:t>10</w:t>
      </w:r>
      <w:r>
        <w:rPr>
          <w:color w:val="000000"/>
          <w:spacing w:val="0"/>
          <w:w w:val="100"/>
          <w:position w:val="0"/>
        </w:rPr>
        <w:t>万股转让给胡志宏，杨富金将其所持公司股份中的</w:t>
      </w:r>
      <w:r>
        <w:rPr>
          <w:color w:val="000000"/>
          <w:spacing w:val="0"/>
          <w:w w:val="100"/>
          <w:position w:val="0"/>
          <w:sz w:val="16"/>
          <w:szCs w:val="16"/>
        </w:rPr>
        <w:t>20</w:t>
      </w:r>
      <w:r>
        <w:rPr>
          <w:color w:val="000000"/>
          <w:spacing w:val="0"/>
          <w:w w:val="100"/>
          <w:position w:val="0"/>
        </w:rPr>
        <w:t>万股 转让给胡志宏；另外公司申请新增注册资本</w:t>
      </w:r>
      <w:r>
        <w:rPr>
          <w:color w:val="000000"/>
          <w:spacing w:val="0"/>
          <w:w w:val="100"/>
          <w:position w:val="0"/>
          <w:sz w:val="16"/>
          <w:szCs w:val="16"/>
        </w:rPr>
        <w:t>800</w:t>
      </w:r>
      <w:r>
        <w:rPr>
          <w:color w:val="000000"/>
          <w:spacing w:val="0"/>
          <w:w w:val="100"/>
          <w:position w:val="0"/>
        </w:rPr>
        <w:t>万元，其中银江科技集团有限公司增资</w:t>
      </w:r>
      <w:r>
        <w:rPr>
          <w:color w:val="000000"/>
          <w:spacing w:val="0"/>
          <w:w w:val="100"/>
          <w:position w:val="0"/>
          <w:sz w:val="16"/>
          <w:szCs w:val="16"/>
        </w:rPr>
        <w:t>50</w:t>
      </w:r>
      <w:r>
        <w:rPr>
          <w:color w:val="000000"/>
          <w:spacing w:val="0"/>
          <w:w w:val="100"/>
          <w:position w:val="0"/>
        </w:rPr>
        <w:t>万元，英特尔产品（成都）有限公 司投资</w:t>
      </w:r>
      <w:r>
        <w:rPr>
          <w:color w:val="000000"/>
          <w:spacing w:val="0"/>
          <w:w w:val="100"/>
          <w:position w:val="0"/>
          <w:sz w:val="16"/>
          <w:szCs w:val="16"/>
        </w:rPr>
        <w:t>500</w:t>
      </w:r>
      <w:r>
        <w:rPr>
          <w:color w:val="000000"/>
          <w:spacing w:val="0"/>
          <w:w w:val="100"/>
          <w:position w:val="0"/>
        </w:rPr>
        <w:t>万元，浙江省科技风险投资有限公司投资</w:t>
      </w:r>
      <w:r>
        <w:rPr>
          <w:color w:val="000000"/>
          <w:spacing w:val="0"/>
          <w:w w:val="100"/>
          <w:position w:val="0"/>
          <w:sz w:val="16"/>
          <w:szCs w:val="16"/>
        </w:rPr>
        <w:t>150</w:t>
      </w:r>
      <w:r>
        <w:rPr>
          <w:color w:val="000000"/>
          <w:spacing w:val="0"/>
          <w:w w:val="100"/>
          <w:position w:val="0"/>
        </w:rPr>
        <w:t>万元，杭州青岛实业投资有限公司投资</w:t>
      </w:r>
      <w:r>
        <w:rPr>
          <w:color w:val="000000"/>
          <w:spacing w:val="0"/>
          <w:w w:val="100"/>
          <w:position w:val="0"/>
          <w:sz w:val="16"/>
          <w:szCs w:val="16"/>
        </w:rPr>
        <w:t>100</w:t>
      </w:r>
      <w:r>
        <w:rPr>
          <w:color w:val="000000"/>
          <w:spacing w:val="0"/>
          <w:w w:val="100"/>
          <w:position w:val="0"/>
        </w:rPr>
        <w:t>万元，变更后的注册资本 为</w:t>
      </w:r>
      <w:r>
        <w:rPr>
          <w:color w:val="000000"/>
          <w:spacing w:val="0"/>
          <w:w w:val="100"/>
          <w:position w:val="0"/>
          <w:sz w:val="16"/>
          <w:szCs w:val="16"/>
        </w:rPr>
        <w:t>6, 000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3</w:t>
      </w:r>
      <w:r>
        <w:rPr>
          <w:color w:val="000000"/>
          <w:spacing w:val="0"/>
          <w:w w:val="100"/>
          <w:position w:val="0"/>
        </w:rPr>
        <w:t>月，杨增荣、张岩分别将其持有的</w:t>
      </w:r>
      <w:r>
        <w:rPr>
          <w:color w:val="000000"/>
          <w:spacing w:val="0"/>
          <w:w w:val="100"/>
          <w:position w:val="0"/>
          <w:sz w:val="16"/>
          <w:szCs w:val="16"/>
        </w:rPr>
        <w:t>75</w:t>
      </w:r>
      <w:r>
        <w:rPr>
          <w:color w:val="000000"/>
          <w:spacing w:val="0"/>
          <w:w w:val="100"/>
          <w:position w:val="0"/>
        </w:rPr>
        <w:t>万股股份转让给海通开元投资有限公司。</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color w:val="000000"/>
          <w:spacing w:val="0"/>
          <w:w w:val="100"/>
          <w:position w:val="0"/>
          <w:sz w:val="16"/>
          <w:szCs w:val="16"/>
        </w:rPr>
        <w:t>2009</w:t>
      </w:r>
      <w:r>
        <w:rPr>
          <w:color w:val="000000"/>
          <w:spacing w:val="0"/>
          <w:w w:val="100"/>
          <w:position w:val="0"/>
        </w:rPr>
        <w:t>年度第一次临时股东大会决议，并经中国证券监督管理委员会证监许可【</w:t>
      </w:r>
      <w:r>
        <w:rPr>
          <w:color w:val="000000"/>
          <w:spacing w:val="0"/>
          <w:w w:val="100"/>
          <w:position w:val="0"/>
          <w:sz w:val="16"/>
          <w:szCs w:val="16"/>
        </w:rPr>
        <w:t>2009</w:t>
      </w:r>
      <w:r>
        <w:rPr>
          <w:color w:val="000000"/>
          <w:spacing w:val="0"/>
          <w:w w:val="100"/>
          <w:position w:val="0"/>
        </w:rPr>
        <w:t xml:space="preserve">】 </w:t>
      </w:r>
      <w:r>
        <w:rPr>
          <w:color w:val="000000"/>
          <w:spacing w:val="0"/>
          <w:w w:val="100"/>
          <w:position w:val="0"/>
          <w:sz w:val="16"/>
          <w:szCs w:val="16"/>
        </w:rPr>
        <w:t>1032</w:t>
      </w:r>
      <w:r>
        <w:rPr>
          <w:color w:val="000000"/>
          <w:spacing w:val="0"/>
          <w:w w:val="100"/>
          <w:position w:val="0"/>
        </w:rPr>
        <w:t>号文核准，公司向社会公开发 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w:t>
      </w:r>
      <w:r>
        <w:rPr>
          <w:color w:val="000000"/>
          <w:spacing w:val="0"/>
          <w:w w:val="100"/>
          <w:position w:val="0"/>
        </w:rPr>
        <w:t>万股（每股面值人民币</w:t>
      </w:r>
      <w:r>
        <w:rPr>
          <w:color w:val="000000"/>
          <w:spacing w:val="0"/>
          <w:w w:val="100"/>
          <w:position w:val="0"/>
          <w:sz w:val="16"/>
          <w:szCs w:val="16"/>
        </w:rPr>
        <w:t>1</w:t>
      </w:r>
      <w:r>
        <w:rPr>
          <w:color w:val="000000"/>
          <w:spacing w:val="0"/>
          <w:w w:val="100"/>
          <w:position w:val="0"/>
        </w:rPr>
        <w:t>元）</w:t>
      </w:r>
      <w:r>
        <w:rPr>
          <w:color w:val="000000"/>
          <w:spacing w:val="0"/>
          <w:w w:val="100"/>
          <w:position w:val="0"/>
          <w:sz w:val="16"/>
          <w:szCs w:val="16"/>
        </w:rPr>
        <w:t>，</w:t>
      </w:r>
      <w:r>
        <w:rPr>
          <w:color w:val="000000"/>
          <w:spacing w:val="0"/>
          <w:w w:val="100"/>
          <w:position w:val="0"/>
        </w:rPr>
        <w:t>变更后的注册资本为人民币</w:t>
      </w:r>
      <w:r>
        <w:rPr>
          <w:color w:val="000000"/>
          <w:spacing w:val="0"/>
          <w:w w:val="100"/>
          <w:position w:val="0"/>
          <w:sz w:val="16"/>
          <w:szCs w:val="16"/>
        </w:rPr>
        <w:t>8, 000</w:t>
      </w:r>
      <w:r>
        <w:rPr>
          <w:color w:val="000000"/>
          <w:spacing w:val="0"/>
          <w:w w:val="100"/>
          <w:position w:val="0"/>
        </w:rPr>
        <w:t>万元，已于</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日在 深圳证券交易所创业板上市。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color w:val="000000"/>
          <w:spacing w:val="0"/>
          <w:w w:val="100"/>
          <w:position w:val="0"/>
          <w:sz w:val="16"/>
          <w:szCs w:val="16"/>
        </w:rPr>
        <w:t>2009</w:t>
      </w:r>
      <w:r>
        <w:rPr>
          <w:color w:val="000000"/>
          <w:spacing w:val="0"/>
          <w:w w:val="100"/>
          <w:position w:val="0"/>
        </w:rPr>
        <w:t>年度股东大会决议，公司以首次公开发行股票并上市后的总股本</w:t>
      </w:r>
      <w:r>
        <w:rPr>
          <w:color w:val="000000"/>
          <w:spacing w:val="0"/>
          <w:w w:val="100"/>
          <w:position w:val="0"/>
          <w:sz w:val="16"/>
          <w:szCs w:val="16"/>
        </w:rPr>
        <w:t>8, 000</w:t>
      </w:r>
      <w:r>
        <w:rPr>
          <w:color w:val="000000"/>
          <w:spacing w:val="0"/>
          <w:w w:val="100"/>
          <w:position w:val="0"/>
        </w:rPr>
        <w:t>万股为基数，按每</w:t>
      </w:r>
      <w:r>
        <w:rPr>
          <w:color w:val="000000"/>
          <w:spacing w:val="0"/>
          <w:w w:val="100"/>
          <w:position w:val="0"/>
          <w:sz w:val="16"/>
          <w:szCs w:val="16"/>
        </w:rPr>
        <w:t>10</w:t>
      </w:r>
      <w:r>
        <w:rPr>
          <w:color w:val="000000"/>
          <w:spacing w:val="0"/>
          <w:w w:val="100"/>
          <w:position w:val="0"/>
        </w:rPr>
        <w:t>股由资本公积转增</w:t>
      </w:r>
      <w:r>
        <w:rPr>
          <w:color w:val="000000"/>
          <w:spacing w:val="0"/>
          <w:w w:val="100"/>
          <w:position w:val="0"/>
          <w:sz w:val="16"/>
          <w:szCs w:val="16"/>
        </w:rPr>
        <w:t>10</w:t>
      </w:r>
      <w:r>
        <w:rPr>
          <w:color w:val="000000"/>
          <w:spacing w:val="0"/>
          <w:w w:val="100"/>
          <w:position w:val="0"/>
        </w:rPr>
        <w:t>股， 共计转增</w:t>
      </w:r>
      <w:r>
        <w:rPr>
          <w:color w:val="000000"/>
          <w:spacing w:val="0"/>
          <w:w w:val="100"/>
          <w:position w:val="0"/>
          <w:sz w:val="16"/>
          <w:szCs w:val="16"/>
        </w:rPr>
        <w:t>8, 000</w:t>
      </w:r>
      <w:r>
        <w:rPr>
          <w:color w:val="000000"/>
          <w:spacing w:val="0"/>
          <w:w w:val="100"/>
          <w:position w:val="0"/>
        </w:rPr>
        <w:t>万股。变更后的注册资本为</w:t>
      </w:r>
      <w:r>
        <w:rPr>
          <w:color w:val="000000"/>
          <w:spacing w:val="0"/>
          <w:w w:val="100"/>
          <w:position w:val="0"/>
          <w:sz w:val="16"/>
          <w:szCs w:val="16"/>
        </w:rPr>
        <w:t>1.6</w:t>
      </w:r>
      <w:r>
        <w:rPr>
          <w:color w:val="000000"/>
          <w:spacing w:val="0"/>
          <w:w w:val="100"/>
          <w:position w:val="0"/>
        </w:rPr>
        <w:t>亿元。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color w:val="000000"/>
          <w:spacing w:val="0"/>
          <w:w w:val="100"/>
          <w:position w:val="0"/>
          <w:sz w:val="16"/>
          <w:szCs w:val="16"/>
        </w:rPr>
        <w:t>2010</w:t>
      </w:r>
      <w:r>
        <w:rPr>
          <w:color w:val="000000"/>
          <w:spacing w:val="0"/>
          <w:w w:val="100"/>
          <w:position w:val="0"/>
        </w:rPr>
        <w:t>年度股东大会决议，公司以总股本数</w:t>
      </w:r>
      <w:r>
        <w:rPr>
          <w:color w:val="000000"/>
          <w:spacing w:val="0"/>
          <w:w w:val="100"/>
          <w:position w:val="0"/>
          <w:sz w:val="16"/>
          <w:szCs w:val="16"/>
        </w:rPr>
        <w:t>1.6</w:t>
      </w:r>
      <w:r>
        <w:rPr>
          <w:color w:val="000000"/>
          <w:spacing w:val="0"/>
          <w:w w:val="100"/>
          <w:position w:val="0"/>
        </w:rPr>
        <w:t>亿股为基数，按每</w:t>
      </w:r>
      <w:r>
        <w:rPr>
          <w:color w:val="000000"/>
          <w:spacing w:val="0"/>
          <w:w w:val="100"/>
          <w:position w:val="0"/>
          <w:sz w:val="16"/>
          <w:szCs w:val="16"/>
        </w:rPr>
        <w:t>10</w:t>
      </w:r>
      <w:r>
        <w:rPr>
          <w:color w:val="000000"/>
          <w:spacing w:val="0"/>
          <w:w w:val="100"/>
          <w:position w:val="0"/>
        </w:rPr>
        <w:t>股由资本公积转增</w:t>
      </w:r>
      <w:r>
        <w:rPr>
          <w:color w:val="000000"/>
          <w:spacing w:val="0"/>
          <w:w w:val="100"/>
          <w:position w:val="0"/>
          <w:sz w:val="16"/>
          <w:szCs w:val="16"/>
        </w:rPr>
        <w:t>5</w:t>
      </w:r>
      <w:r>
        <w:rPr>
          <w:color w:val="000000"/>
          <w:spacing w:val="0"/>
          <w:w w:val="100"/>
          <w:position w:val="0"/>
        </w:rPr>
        <w:t>股，共计转增</w:t>
      </w:r>
      <w:r>
        <w:rPr>
          <w:color w:val="000000"/>
          <w:spacing w:val="0"/>
          <w:w w:val="100"/>
          <w:position w:val="0"/>
          <w:sz w:val="16"/>
          <w:szCs w:val="16"/>
        </w:rPr>
        <w:t>8, 000</w:t>
      </w:r>
      <w:r>
        <w:rPr>
          <w:color w:val="000000"/>
          <w:spacing w:val="0"/>
          <w:w w:val="100"/>
          <w:position w:val="0"/>
        </w:rPr>
        <w:t>万股，变更后 的注册资本</w:t>
      </w:r>
      <w:r>
        <w:rPr>
          <w:color w:val="000000"/>
          <w:spacing w:val="0"/>
          <w:w w:val="100"/>
          <w:position w:val="0"/>
          <w:sz w:val="16"/>
          <w:szCs w:val="16"/>
        </w:rPr>
        <w:t>2.4</w:t>
      </w:r>
      <w:r>
        <w:rPr>
          <w:color w:val="000000"/>
          <w:spacing w:val="0"/>
          <w:w w:val="100"/>
          <w:position w:val="0"/>
        </w:rPr>
        <w:t>亿元。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10</w:t>
      </w:r>
      <w:r>
        <w:rPr>
          <w:color w:val="000000"/>
          <w:spacing w:val="0"/>
          <w:w w:val="100"/>
          <w:position w:val="0"/>
        </w:rPr>
        <w:t>日召开的</w:t>
      </w:r>
      <w:r>
        <w:rPr>
          <w:color w:val="000000"/>
          <w:spacing w:val="0"/>
          <w:w w:val="100"/>
          <w:position w:val="0"/>
          <w:sz w:val="16"/>
          <w:szCs w:val="16"/>
        </w:rPr>
        <w:t>2012</w:t>
      </w:r>
      <w:r>
        <w:rPr>
          <w:color w:val="000000"/>
          <w:spacing w:val="0"/>
          <w:w w:val="100"/>
          <w:position w:val="0"/>
        </w:rPr>
        <w:t>年第一次临时股东大会决议审议通过的《公司股票期权激励计划（草案修订稿）》，公司向 股票期权激励对象定向发行股票。截止</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日，公司累计已向股票激励对象发行股票</w:t>
      </w:r>
      <w:r>
        <w:rPr>
          <w:color w:val="000000"/>
          <w:spacing w:val="0"/>
          <w:w w:val="100"/>
          <w:position w:val="0"/>
          <w:sz w:val="16"/>
          <w:szCs w:val="16"/>
        </w:rPr>
        <w:t>5,113,600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color w:val="000000"/>
          <w:spacing w:val="0"/>
          <w:w w:val="100"/>
          <w:position w:val="0"/>
          <w:sz w:val="16"/>
          <w:szCs w:val="16"/>
        </w:rPr>
        <w:t>2013</w:t>
      </w:r>
      <w:r>
        <w:rPr>
          <w:color w:val="000000"/>
          <w:spacing w:val="0"/>
          <w:w w:val="100"/>
          <w:position w:val="0"/>
        </w:rPr>
        <w:t xml:space="preserve">年第一次临时股东大会决议、第二届董事会第二十八次会议决议，并经中国证券监督管理委员会“证监许可 </w:t>
      </w:r>
      <w:r>
        <w:rPr>
          <w:color w:val="000000"/>
          <w:spacing w:val="0"/>
          <w:w w:val="100"/>
          <w:position w:val="0"/>
          <w:sz w:val="16"/>
          <w:szCs w:val="16"/>
        </w:rPr>
        <w:t>[2013]1633</w:t>
      </w:r>
      <w:r>
        <w:rPr>
          <w:color w:val="000000"/>
          <w:spacing w:val="0"/>
          <w:w w:val="100"/>
          <w:position w:val="0"/>
        </w:rPr>
        <w:t>号”核准，公司向李欣发行</w:t>
      </w:r>
      <w:r>
        <w:rPr>
          <w:color w:val="000000"/>
          <w:spacing w:val="0"/>
          <w:w w:val="100"/>
          <w:position w:val="0"/>
          <w:sz w:val="16"/>
          <w:szCs w:val="16"/>
        </w:rPr>
        <w:t>17,587,245</w:t>
      </w:r>
      <w:r>
        <w:rPr>
          <w:color w:val="000000"/>
          <w:spacing w:val="0"/>
          <w:w w:val="100"/>
          <w:position w:val="0"/>
        </w:rPr>
        <w:t>股股份、向昆山中科昆开创业投资有限公司发行</w:t>
      </w:r>
      <w:r>
        <w:rPr>
          <w:color w:val="000000"/>
          <w:spacing w:val="0"/>
          <w:w w:val="100"/>
          <w:position w:val="0"/>
          <w:sz w:val="16"/>
          <w:szCs w:val="16"/>
        </w:rPr>
        <w:t>1,362,518</w:t>
      </w:r>
      <w:r>
        <w:rPr>
          <w:color w:val="000000"/>
          <w:spacing w:val="0"/>
          <w:w w:val="100"/>
          <w:position w:val="0"/>
        </w:rPr>
        <w:t>股股份、向兰 馨成长（天津）股权投资基金合伙企业（有限合伙）发行</w:t>
      </w:r>
      <w:r>
        <w:rPr>
          <w:color w:val="000000"/>
          <w:spacing w:val="0"/>
          <w:w w:val="100"/>
          <w:position w:val="0"/>
          <w:sz w:val="16"/>
          <w:szCs w:val="16"/>
        </w:rPr>
        <w:t>1,362,518</w:t>
      </w:r>
      <w:r>
        <w:rPr>
          <w:color w:val="000000"/>
          <w:spacing w:val="0"/>
          <w:w w:val="100"/>
          <w:position w:val="0"/>
        </w:rPr>
        <w:t>股股份、向杭州众赢成长投资合伙企业（有限合伙）发 行</w:t>
      </w:r>
      <w:r>
        <w:rPr>
          <w:color w:val="000000"/>
          <w:spacing w:val="0"/>
          <w:w w:val="100"/>
          <w:position w:val="0"/>
          <w:sz w:val="16"/>
          <w:szCs w:val="16"/>
        </w:rPr>
        <w:t>1,167,792</w:t>
      </w:r>
      <w:r>
        <w:rPr>
          <w:color w:val="000000"/>
          <w:spacing w:val="0"/>
          <w:w w:val="100"/>
          <w:position w:val="0"/>
        </w:rPr>
        <w:t>股股份、向江阴长泾中科长赢创业投资有限公司发行</w:t>
      </w:r>
      <w:r>
        <w:rPr>
          <w:color w:val="000000"/>
          <w:spacing w:val="0"/>
          <w:w w:val="100"/>
          <w:position w:val="0"/>
          <w:sz w:val="16"/>
          <w:szCs w:val="16"/>
        </w:rPr>
        <w:t>973,254</w:t>
      </w:r>
      <w:r>
        <w:rPr>
          <w:color w:val="000000"/>
          <w:spacing w:val="0"/>
          <w:w w:val="100"/>
          <w:position w:val="0"/>
        </w:rPr>
        <w:t>股股份、向陈兴华发行</w:t>
      </w:r>
      <w:r>
        <w:rPr>
          <w:color w:val="000000"/>
          <w:spacing w:val="0"/>
          <w:w w:val="100"/>
          <w:position w:val="0"/>
          <w:sz w:val="16"/>
          <w:szCs w:val="16"/>
        </w:rPr>
        <w:t>762,143</w:t>
      </w:r>
      <w:r>
        <w:rPr>
          <w:color w:val="000000"/>
          <w:spacing w:val="0"/>
          <w:w w:val="100"/>
          <w:position w:val="0"/>
        </w:rPr>
        <w:t>股股份、向颜廷健 发行</w:t>
      </w:r>
      <w:r>
        <w:rPr>
          <w:color w:val="000000"/>
          <w:spacing w:val="0"/>
          <w:w w:val="100"/>
          <w:position w:val="0"/>
          <w:sz w:val="16"/>
          <w:szCs w:val="16"/>
        </w:rPr>
        <w:t>58, 626</w:t>
      </w:r>
      <w:r>
        <w:rPr>
          <w:color w:val="000000"/>
          <w:spacing w:val="0"/>
          <w:w w:val="100"/>
          <w:position w:val="0"/>
        </w:rPr>
        <w:t>股股份、向于海燕发行</w:t>
      </w:r>
      <w:r>
        <w:rPr>
          <w:color w:val="000000"/>
          <w:spacing w:val="0"/>
          <w:w w:val="100"/>
          <w:position w:val="0"/>
          <w:sz w:val="16"/>
          <w:szCs w:val="16"/>
        </w:rPr>
        <w:t>49, 836</w:t>
      </w:r>
      <w:r>
        <w:rPr>
          <w:color w:val="000000"/>
          <w:spacing w:val="0"/>
          <w:w w:val="100"/>
          <w:position w:val="0"/>
        </w:rPr>
        <w:t>股股份、向罗明发行</w:t>
      </w:r>
      <w:r>
        <w:rPr>
          <w:color w:val="000000"/>
          <w:spacing w:val="0"/>
          <w:w w:val="100"/>
          <w:position w:val="0"/>
          <w:sz w:val="16"/>
          <w:szCs w:val="16"/>
        </w:rPr>
        <w:t>43, 976</w:t>
      </w:r>
      <w:r>
        <w:rPr>
          <w:color w:val="000000"/>
          <w:spacing w:val="0"/>
          <w:w w:val="100"/>
          <w:position w:val="0"/>
        </w:rPr>
        <w:t>股股份、向张晔发行</w:t>
      </w:r>
      <w:r>
        <w:rPr>
          <w:color w:val="000000"/>
          <w:spacing w:val="0"/>
          <w:w w:val="100"/>
          <w:position w:val="0"/>
          <w:sz w:val="16"/>
          <w:szCs w:val="16"/>
        </w:rPr>
        <w:t>29,301</w:t>
      </w:r>
      <w:r>
        <w:rPr>
          <w:color w:val="000000"/>
          <w:spacing w:val="0"/>
          <w:w w:val="100"/>
          <w:position w:val="0"/>
        </w:rPr>
        <w:t>股股份、向侯世勇发行</w:t>
      </w:r>
      <w:r>
        <w:rPr>
          <w:color w:val="000000"/>
          <w:spacing w:val="0"/>
          <w:w w:val="100"/>
          <w:position w:val="0"/>
          <w:sz w:val="16"/>
          <w:szCs w:val="16"/>
        </w:rPr>
        <w:t xml:space="preserve">14, 651 </w:t>
      </w:r>
      <w:r>
        <w:rPr>
          <w:color w:val="000000"/>
          <w:spacing w:val="0"/>
          <w:w w:val="100"/>
          <w:position w:val="0"/>
        </w:rPr>
        <w:t>股股份、向金鑫发行</w:t>
      </w:r>
      <w:r>
        <w:rPr>
          <w:color w:val="000000"/>
          <w:spacing w:val="0"/>
          <w:w w:val="100"/>
          <w:position w:val="0"/>
          <w:sz w:val="16"/>
          <w:szCs w:val="16"/>
        </w:rPr>
        <w:t>14,651</w:t>
      </w:r>
      <w:r>
        <w:rPr>
          <w:color w:val="000000"/>
          <w:spacing w:val="0"/>
          <w:w w:val="100"/>
          <w:position w:val="0"/>
        </w:rPr>
        <w:t>股股份、向张蓓发行</w:t>
      </w:r>
      <w:r>
        <w:rPr>
          <w:color w:val="000000"/>
          <w:spacing w:val="0"/>
          <w:w w:val="100"/>
          <w:position w:val="0"/>
          <w:sz w:val="16"/>
          <w:szCs w:val="16"/>
        </w:rPr>
        <w:t>14,651</w:t>
      </w:r>
      <w:r>
        <w:rPr>
          <w:color w:val="000000"/>
          <w:spacing w:val="0"/>
          <w:w w:val="100"/>
          <w:position w:val="0"/>
        </w:rPr>
        <w:t>股股份，以购买北京亚太安讯科技股份有限公司</w:t>
      </w:r>
      <w:r>
        <w:rPr>
          <w:color w:val="000000"/>
          <w:spacing w:val="0"/>
          <w:w w:val="100"/>
          <w:position w:val="0"/>
          <w:sz w:val="16"/>
          <w:szCs w:val="16"/>
        </w:rPr>
        <w:t>83.3333%</w:t>
      </w:r>
      <w:r>
        <w:rPr>
          <w:color w:val="000000"/>
          <w:spacing w:val="0"/>
          <w:w w:val="100"/>
          <w:position w:val="0"/>
        </w:rPr>
        <w:t>的股权；同 时向华安基金管理有限公司、常州投资集团有限公司和国泰基金管理有限公司以</w:t>
      </w:r>
      <w:r>
        <w:rPr>
          <w:color w:val="000000"/>
          <w:spacing w:val="0"/>
          <w:w w:val="100"/>
          <w:position w:val="0"/>
          <w:sz w:val="16"/>
          <w:szCs w:val="16"/>
        </w:rPr>
        <w:t>24</w:t>
      </w:r>
      <w:r>
        <w:rPr>
          <w:color w:val="000000"/>
          <w:spacing w:val="0"/>
          <w:w w:val="100"/>
          <w:position w:val="0"/>
        </w:rPr>
        <w:t>元</w:t>
      </w:r>
      <w:r>
        <w:rPr>
          <w:color w:val="000000"/>
          <w:spacing w:val="0"/>
          <w:w w:val="100"/>
          <w:position w:val="0"/>
          <w:sz w:val="16"/>
          <w:szCs w:val="16"/>
        </w:rPr>
        <w:t>/</w:t>
      </w:r>
      <w:r>
        <w:rPr>
          <w:color w:val="000000"/>
          <w:spacing w:val="0"/>
          <w:w w:val="100"/>
          <w:position w:val="0"/>
        </w:rPr>
        <w:t>股的发行价格非公开发行</w:t>
      </w:r>
      <w:r>
        <w:rPr>
          <w:color w:val="000000"/>
          <w:spacing w:val="0"/>
          <w:w w:val="100"/>
          <w:position w:val="0"/>
          <w:sz w:val="16"/>
          <w:szCs w:val="16"/>
        </w:rPr>
        <w:t xml:space="preserve">8, 333, 333 </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元）人民币普通股，本次定向增发股份共计新增公司股本</w:t>
      </w:r>
      <w:r>
        <w:rPr>
          <w:color w:val="000000"/>
          <w:spacing w:val="0"/>
          <w:w w:val="100"/>
          <w:position w:val="0"/>
          <w:sz w:val="16"/>
          <w:szCs w:val="16"/>
        </w:rPr>
        <w:t>31,774,495</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公司首期股权激励计划第二个行权期采用自主行权模式，行权期限为</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日，行权期内公司股票期 权激励计划首次授予股票期权第二个行权期累计共行权</w:t>
      </w:r>
      <w:r>
        <w:rPr>
          <w:color w:val="000000"/>
          <w:spacing w:val="0"/>
          <w:w w:val="100"/>
          <w:position w:val="0"/>
          <w:sz w:val="16"/>
          <w:szCs w:val="16"/>
        </w:rPr>
        <w:t>2, 655, 000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15</w:t>
      </w:r>
      <w:r>
        <w:rPr>
          <w:color w:val="000000"/>
          <w:spacing w:val="0"/>
          <w:w w:val="100"/>
          <w:position w:val="0"/>
        </w:rPr>
        <w:t>日，公司召开的</w:t>
      </w:r>
      <w:r>
        <w:rPr>
          <w:color w:val="000000"/>
          <w:spacing w:val="0"/>
          <w:w w:val="100"/>
          <w:position w:val="0"/>
          <w:sz w:val="16"/>
          <w:szCs w:val="16"/>
        </w:rPr>
        <w:t>2014</w:t>
      </w:r>
      <w:r>
        <w:rPr>
          <w:color w:val="000000"/>
          <w:spacing w:val="0"/>
          <w:w w:val="100"/>
          <w:position w:val="0"/>
        </w:rPr>
        <w:t>年度股东大会审议通过《</w:t>
      </w:r>
      <w:r>
        <w:rPr>
          <w:color w:val="000000"/>
          <w:spacing w:val="0"/>
          <w:w w:val="100"/>
          <w:position w:val="0"/>
          <w:sz w:val="16"/>
          <w:szCs w:val="16"/>
        </w:rPr>
        <w:t>2014</w:t>
      </w:r>
      <w:r>
        <w:rPr>
          <w:color w:val="000000"/>
          <w:spacing w:val="0"/>
          <w:w w:val="100"/>
          <w:position w:val="0"/>
        </w:rPr>
        <w:t>年度利润分配预案》，以</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 xml:space="preserve">日的公司总股本 </w:t>
      </w:r>
      <w:r>
        <w:rPr>
          <w:color w:val="000000"/>
          <w:spacing w:val="0"/>
          <w:w w:val="100"/>
          <w:position w:val="0"/>
          <w:sz w:val="16"/>
          <w:szCs w:val="16"/>
        </w:rPr>
        <w:t>277, 243, 495</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w:t>
      </w:r>
      <w:r>
        <w:rPr>
          <w:color w:val="000000"/>
          <w:spacing w:val="0"/>
          <w:w w:val="100"/>
          <w:position w:val="0"/>
          <w:sz w:val="16"/>
          <w:szCs w:val="16"/>
        </w:rPr>
        <w:t>1</w:t>
      </w:r>
      <w:r>
        <w:rPr>
          <w:color w:val="000000"/>
          <w:spacing w:val="0"/>
          <w:w w:val="100"/>
          <w:position w:val="0"/>
          <w:sz w:val="16"/>
          <w:szCs w:val="16"/>
        </w:rPr>
        <w:t>.00</w:t>
      </w:r>
      <w:r>
        <w:rPr>
          <w:color w:val="000000"/>
          <w:spacing w:val="0"/>
          <w:w w:val="100"/>
          <w:position w:val="0"/>
        </w:rPr>
        <w:t>元现金；同时，以资本公积向全体股东每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12</w:t>
      </w:r>
      <w:r>
        <w:rPr>
          <w:color w:val="000000"/>
          <w:spacing w:val="0"/>
          <w:w w:val="100"/>
          <w:position w:val="0"/>
        </w:rPr>
        <w:t>股。公司分红前总股 本为</w:t>
      </w:r>
      <w:r>
        <w:rPr>
          <w:color w:val="000000"/>
          <w:spacing w:val="0"/>
          <w:w w:val="100"/>
          <w:position w:val="0"/>
          <w:sz w:val="16"/>
          <w:szCs w:val="16"/>
        </w:rPr>
        <w:t>277, 243, 495</w:t>
      </w:r>
      <w:r>
        <w:rPr>
          <w:color w:val="000000"/>
          <w:spacing w:val="0"/>
          <w:w w:val="100"/>
          <w:position w:val="0"/>
        </w:rPr>
        <w:t>股，分红后总股本增至</w:t>
      </w:r>
      <w:r>
        <w:rPr>
          <w:color w:val="000000"/>
          <w:spacing w:val="0"/>
          <w:w w:val="100"/>
          <w:position w:val="0"/>
          <w:sz w:val="16"/>
          <w:szCs w:val="16"/>
        </w:rPr>
        <w:t>609, 935, 689</w:t>
      </w:r>
      <w:r>
        <w:rPr>
          <w:color w:val="000000"/>
          <w:spacing w:val="0"/>
          <w:w w:val="100"/>
          <w:position w:val="0"/>
        </w:rPr>
        <w:t>股。</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15</w:t>
      </w:r>
      <w:r>
        <w:rPr>
          <w:color w:val="000000"/>
          <w:spacing w:val="0"/>
          <w:w w:val="100"/>
          <w:position w:val="0"/>
        </w:rPr>
        <w:t>日，公司取得中国证监会《关于核准银江股份有限公司非公开发行股票的批复》（证监许可</w:t>
      </w:r>
      <w:r>
        <w:rPr>
          <w:color w:val="000000"/>
          <w:spacing w:val="0"/>
          <w:w w:val="100"/>
          <w:position w:val="0"/>
          <w:sz w:val="16"/>
          <w:szCs w:val="16"/>
        </w:rPr>
        <w:t>[2015]845</w:t>
      </w:r>
      <w:r>
        <w:rPr>
          <w:color w:val="000000"/>
          <w:spacing w:val="0"/>
          <w:w w:val="100"/>
          <w:position w:val="0"/>
        </w:rPr>
        <w:t>号）</w:t>
      </w:r>
      <w:r>
        <w:rPr>
          <w:color w:val="000000"/>
          <w:spacing w:val="0"/>
          <w:w w:val="100"/>
          <w:position w:val="0"/>
          <w:sz w:val="16"/>
          <w:szCs w:val="16"/>
        </w:rPr>
        <w:t>，</w:t>
      </w:r>
      <w:r>
        <w:rPr>
          <w:color w:val="000000"/>
          <w:spacing w:val="0"/>
          <w:w w:val="100"/>
          <w:position w:val="0"/>
        </w:rPr>
        <w:t>核 准公司非公开发行不超过</w:t>
      </w:r>
      <w:r>
        <w:rPr>
          <w:color w:val="000000"/>
          <w:spacing w:val="0"/>
          <w:w w:val="100"/>
          <w:position w:val="0"/>
          <w:sz w:val="16"/>
          <w:szCs w:val="16"/>
        </w:rPr>
        <w:t>5,000</w:t>
      </w:r>
      <w:r>
        <w:rPr>
          <w:color w:val="000000"/>
          <w:spacing w:val="0"/>
          <w:w w:val="100"/>
          <w:position w:val="0"/>
        </w:rPr>
        <w:t>万股股票。由于公司于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w:t>
      </w:r>
      <w:r>
        <w:rPr>
          <w:color w:val="000000"/>
          <w:spacing w:val="0"/>
          <w:w w:val="100"/>
          <w:position w:val="0"/>
        </w:rPr>
        <w:t>日实施了以资本公积每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12</w:t>
      </w:r>
      <w:r>
        <w:rPr>
          <w:color w:val="000000"/>
          <w:spacing w:val="0"/>
          <w:w w:val="100"/>
          <w:position w:val="0"/>
        </w:rPr>
        <w:t>股的利润分配方案，本 次非公开发行股票数量调整为不超过</w:t>
      </w:r>
      <w:r>
        <w:rPr>
          <w:color w:val="000000"/>
          <w:spacing w:val="0"/>
          <w:w w:val="100"/>
          <w:position w:val="0"/>
          <w:sz w:val="16"/>
          <w:szCs w:val="16"/>
        </w:rPr>
        <w:t>11,000</w:t>
      </w:r>
      <w:r>
        <w:rPr>
          <w:color w:val="000000"/>
          <w:spacing w:val="0"/>
          <w:w w:val="100"/>
          <w:position w:val="0"/>
        </w:rPr>
        <w:t>万股（含）。该调整事项已经履行了会后事项程序。根据发行对象申购报价情况， 本次非公开发行向财通基金管理有限公司、华安未来资产管理（上海）有限公司、上海基金管理有限公司和云南惠潮投资合 伙企业（有限合伙）以</w:t>
      </w:r>
      <w:r>
        <w:rPr>
          <w:color w:val="000000"/>
          <w:spacing w:val="0"/>
          <w:w w:val="100"/>
          <w:position w:val="0"/>
          <w:sz w:val="16"/>
          <w:szCs w:val="16"/>
        </w:rPr>
        <w:t>23</w:t>
      </w:r>
      <w:r>
        <w:rPr>
          <w:color w:val="000000"/>
          <w:spacing w:val="0"/>
          <w:w w:val="100"/>
          <w:position w:val="0"/>
        </w:rPr>
        <w:t>元</w:t>
      </w:r>
      <w:r>
        <w:rPr>
          <w:color w:val="000000"/>
          <w:spacing w:val="0"/>
          <w:w w:val="100"/>
          <w:position w:val="0"/>
          <w:sz w:val="16"/>
          <w:szCs w:val="16"/>
        </w:rPr>
        <w:t>/</w:t>
      </w:r>
      <w:r>
        <w:rPr>
          <w:color w:val="000000"/>
          <w:spacing w:val="0"/>
          <w:w w:val="100"/>
          <w:position w:val="0"/>
        </w:rPr>
        <w:t>股的的发行价格非公开发行</w:t>
      </w:r>
      <w:r>
        <w:rPr>
          <w:color w:val="000000"/>
          <w:spacing w:val="0"/>
          <w:w w:val="100"/>
          <w:position w:val="0"/>
          <w:sz w:val="16"/>
          <w:szCs w:val="16"/>
        </w:rPr>
        <w:t>43,391,304</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元）人民币普通股，本次定向增发股份共 计新增公司股本</w:t>
      </w:r>
      <w:r>
        <w:rPr>
          <w:color w:val="000000"/>
          <w:spacing w:val="0"/>
          <w:w w:val="100"/>
          <w:position w:val="0"/>
          <w:sz w:val="16"/>
          <w:szCs w:val="16"/>
        </w:rPr>
        <w:t>43,391,304</w:t>
      </w:r>
      <w:r>
        <w:rPr>
          <w:color w:val="000000"/>
          <w:spacing w:val="0"/>
          <w:w w:val="100"/>
          <w:position w:val="0"/>
        </w:rPr>
        <w:t>股（每股面值</w:t>
      </w:r>
      <w:r>
        <w:rPr>
          <w:color w:val="000000"/>
          <w:spacing w:val="0"/>
          <w:w w:val="100"/>
          <w:position w:val="0"/>
          <w:sz w:val="16"/>
          <w:szCs w:val="16"/>
        </w:rPr>
        <w:t>1</w:t>
      </w:r>
      <w:r>
        <w:rPr>
          <w:color w:val="000000"/>
          <w:spacing w:val="0"/>
          <w:w w:val="100"/>
          <w:position w:val="0"/>
        </w:rPr>
        <w:t>元）。</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由于亚太安讯未能完成</w:t>
      </w:r>
      <w:r>
        <w:rPr>
          <w:color w:val="000000"/>
          <w:spacing w:val="0"/>
          <w:w w:val="100"/>
          <w:position w:val="0"/>
          <w:sz w:val="16"/>
          <w:szCs w:val="16"/>
        </w:rPr>
        <w:t>2014</w:t>
      </w:r>
      <w:r>
        <w:rPr>
          <w:color w:val="000000"/>
          <w:spacing w:val="0"/>
          <w:w w:val="100"/>
          <w:position w:val="0"/>
        </w:rPr>
        <w:t>年度的承诺业绩，根据公司与其签订的《盈利预测补偿协议》，公司于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17</w:t>
      </w:r>
      <w:r>
        <w:rPr>
          <w:color w:val="000000"/>
          <w:spacing w:val="0"/>
          <w:w w:val="100"/>
          <w:position w:val="0"/>
        </w:rPr>
        <w:t>日在中国证 券登记结算有限责任公司深圳分公司办理完毕原亚太安讯实际控制人李欣所持有的银江股份</w:t>
      </w:r>
      <w:r>
        <w:rPr>
          <w:color w:val="000000"/>
          <w:spacing w:val="0"/>
          <w:w w:val="100"/>
          <w:position w:val="0"/>
          <w:sz w:val="16"/>
          <w:szCs w:val="16"/>
        </w:rPr>
        <w:t>5, 074, 307</w:t>
      </w:r>
      <w:r>
        <w:rPr>
          <w:color w:val="000000"/>
          <w:spacing w:val="0"/>
          <w:w w:val="100"/>
          <w:position w:val="0"/>
        </w:rPr>
        <w:t>股回购股份注销手续。 公司首期股权激励计划第三个行权期采用自主行权模式，行权期限为</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日起至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17</w:t>
      </w:r>
      <w:r>
        <w:rPr>
          <w:color w:val="000000"/>
          <w:spacing w:val="0"/>
          <w:w w:val="100"/>
          <w:position w:val="0"/>
        </w:rPr>
        <w:t>日，行权期内公司股票 期权激励计划首次授予股票期权第二个行权期累计共行权</w:t>
      </w:r>
      <w:r>
        <w:rPr>
          <w:color w:val="000000"/>
          <w:spacing w:val="0"/>
          <w:w w:val="100"/>
          <w:position w:val="0"/>
          <w:sz w:val="16"/>
          <w:szCs w:val="16"/>
        </w:rPr>
        <w:t>7, 536, 400</w:t>
      </w:r>
      <w:r>
        <w:rPr>
          <w:color w:val="000000"/>
          <w:spacing w:val="0"/>
          <w:w w:val="100"/>
          <w:position w:val="0"/>
        </w:rPr>
        <w:t>股。</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日，本公司股本</w:t>
      </w:r>
      <w:r>
        <w:rPr>
          <w:color w:val="000000"/>
          <w:spacing w:val="0"/>
          <w:w w:val="100"/>
          <w:position w:val="0"/>
          <w:sz w:val="16"/>
          <w:szCs w:val="16"/>
        </w:rPr>
        <w:t>655, 789, 086</w:t>
      </w:r>
      <w:r>
        <w:rPr>
          <w:color w:val="000000"/>
          <w:spacing w:val="0"/>
          <w:w w:val="100"/>
          <w:position w:val="0"/>
        </w:rPr>
        <w:t>元，累计发行股票</w:t>
      </w:r>
      <w:r>
        <w:rPr>
          <w:color w:val="000000"/>
          <w:spacing w:val="0"/>
          <w:w w:val="100"/>
          <w:position w:val="0"/>
          <w:sz w:val="16"/>
          <w:szCs w:val="16"/>
        </w:rPr>
        <w:t>655, 789, 086</w:t>
      </w:r>
      <w:r>
        <w:rPr>
          <w:color w:val="000000"/>
          <w:spacing w:val="0"/>
          <w:w w:val="100"/>
          <w:position w:val="0"/>
        </w:rPr>
        <w:t>股。</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公司注册地址为浙江省杭州市益乐路</w:t>
      </w:r>
      <w:r>
        <w:rPr>
          <w:color w:val="000000"/>
          <w:spacing w:val="0"/>
          <w:w w:val="100"/>
          <w:position w:val="0"/>
          <w:sz w:val="16"/>
          <w:szCs w:val="16"/>
        </w:rPr>
        <w:t>223</w:t>
      </w:r>
      <w:r>
        <w:rPr>
          <w:color w:val="000000"/>
          <w:spacing w:val="0"/>
          <w:w w:val="100"/>
          <w:position w:val="0"/>
        </w:rPr>
        <w:t>号</w:t>
      </w:r>
      <w:r>
        <w:rPr>
          <w:color w:val="000000"/>
          <w:spacing w:val="0"/>
          <w:w w:val="100"/>
          <w:position w:val="0"/>
          <w:sz w:val="16"/>
          <w:szCs w:val="16"/>
        </w:rPr>
        <w:t>1</w:t>
      </w:r>
      <w:r>
        <w:rPr>
          <w:color w:val="000000"/>
          <w:spacing w:val="0"/>
          <w:w w:val="100"/>
          <w:position w:val="0"/>
        </w:rPr>
        <w:t>幢</w:t>
      </w:r>
      <w:r>
        <w:rPr>
          <w:color w:val="000000"/>
          <w:spacing w:val="0"/>
          <w:w w:val="100"/>
          <w:position w:val="0"/>
          <w:sz w:val="16"/>
          <w:szCs w:val="16"/>
        </w:rPr>
        <w:t>1</w:t>
      </w:r>
      <w:r>
        <w:rPr>
          <w:color w:val="000000"/>
          <w:spacing w:val="0"/>
          <w:w w:val="100"/>
          <w:position w:val="0"/>
        </w:rPr>
        <w:t>层；总部地址为浙江省杭州市西湖科技园西园八路</w:t>
      </w:r>
      <w:r>
        <w:rPr>
          <w:color w:val="000000"/>
          <w:spacing w:val="0"/>
          <w:w w:val="100"/>
          <w:position w:val="0"/>
          <w:sz w:val="16"/>
          <w:szCs w:val="16"/>
        </w:rPr>
        <w:t>2</w:t>
      </w:r>
      <w:r>
        <w:rPr>
          <w:color w:val="000000"/>
          <w:spacing w:val="0"/>
          <w:w w:val="100"/>
          <w:position w:val="0"/>
        </w:rPr>
        <w:t>号银江软件园。</w:t>
      </w:r>
    </w:p>
    <w:p>
      <w:pPr>
        <w:pStyle w:val="Style30"/>
        <w:keepNext w:val="0"/>
        <w:keepLines w:val="0"/>
        <w:widowControl w:val="0"/>
        <w:shd w:val="clear" w:color="auto" w:fill="auto"/>
        <w:tabs>
          <w:tab w:pos="317" w:val="left"/>
        </w:tabs>
        <w:bidi w:val="0"/>
        <w:spacing w:before="0" w:after="0" w:line="311" w:lineRule="exact"/>
        <w:ind w:left="0" w:right="0" w:firstLine="0"/>
        <w:jc w:val="both"/>
      </w:pPr>
      <w:bookmarkStart w:id="685" w:name="bookmark685"/>
      <w:r>
        <w:rPr>
          <w:b/>
          <w:bCs/>
          <w:color w:val="000000"/>
          <w:spacing w:val="0"/>
          <w:w w:val="100"/>
          <w:position w:val="0"/>
        </w:rPr>
        <w:t>2</w:t>
      </w:r>
      <w:bookmarkEnd w:id="685"/>
      <w:r>
        <w:rPr>
          <w:b/>
          <w:bCs/>
          <w:color w:val="000000"/>
          <w:spacing w:val="0"/>
          <w:w w:val="100"/>
          <w:position w:val="0"/>
        </w:rPr>
        <w:t>、</w:t>
        <w:tab/>
        <w:t>公司的业务性质和主要经营活动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一般项目：交通、医疗、建筑、环境、能源、教育智能化及信息化技术开发、技术服务、成果转让、设计，工业自动化工程 及产品、电力、电子工程及产品、机电工程及产品的设计、技术开发、技术服务、成果转让，停车服务，城市给排水系统设 施的建设、运营、管理，城市地下综合管廊工程的施工、运营、管理，安全技术防范工程的设计、施工、维护，智慧城市信 息化的技术研发与咨询服务，计算机系统集成及技术服务，数据处理技术服务，软件开发，电子产品、计算机软硬件及设备 的销售，从事进出口业务，实业投资。许可经营：第一类增值电信业务，第二类增值电信业务。（依法须经批准的项目，经 相关部门批准后方可开展经营活动）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本公司及各子公司（以下统称“本集团”）主要从事智慧城市、智慧交通和智慧医疗等领域工程项目的开发、实施和维护。</w:t>
      </w:r>
    </w:p>
    <w:p>
      <w:pPr>
        <w:pStyle w:val="Style30"/>
        <w:keepNext w:val="0"/>
        <w:keepLines w:val="0"/>
        <w:widowControl w:val="0"/>
        <w:shd w:val="clear" w:color="auto" w:fill="auto"/>
        <w:tabs>
          <w:tab w:pos="317" w:val="left"/>
        </w:tabs>
        <w:bidi w:val="0"/>
        <w:spacing w:before="0" w:after="0" w:line="311" w:lineRule="exact"/>
        <w:ind w:left="0" w:right="0" w:firstLine="0"/>
        <w:jc w:val="both"/>
      </w:pPr>
      <w:bookmarkStart w:id="686" w:name="bookmark686"/>
      <w:r>
        <w:rPr>
          <w:b/>
          <w:bCs/>
          <w:color w:val="000000"/>
          <w:spacing w:val="0"/>
          <w:w w:val="100"/>
          <w:position w:val="0"/>
        </w:rPr>
        <w:t>3</w:t>
      </w:r>
      <w:bookmarkEnd w:id="686"/>
      <w:r>
        <w:rPr>
          <w:b/>
          <w:bCs/>
          <w:color w:val="000000"/>
          <w:spacing w:val="0"/>
          <w:w w:val="100"/>
          <w:position w:val="0"/>
        </w:rPr>
        <w:t>、</w:t>
        <w:tab/>
        <w:t>财务报告的批准报出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本财务报表业经公司董事会于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26</w:t>
      </w:r>
      <w:r>
        <w:rPr>
          <w:color w:val="000000"/>
          <w:spacing w:val="0"/>
          <w:w w:val="100"/>
          <w:position w:val="0"/>
        </w:rPr>
        <w:t>日决议批准报出。</w:t>
      </w:r>
    </w:p>
    <w:p>
      <w:pPr>
        <w:pStyle w:val="Style30"/>
        <w:keepNext w:val="0"/>
        <w:keepLines w:val="0"/>
        <w:widowControl w:val="0"/>
        <w:shd w:val="clear" w:color="auto" w:fill="auto"/>
        <w:tabs>
          <w:tab w:pos="317" w:val="left"/>
        </w:tabs>
        <w:bidi w:val="0"/>
        <w:spacing w:before="0" w:after="0" w:line="311" w:lineRule="exact"/>
        <w:ind w:left="0" w:right="0" w:firstLine="0"/>
        <w:jc w:val="both"/>
      </w:pPr>
      <w:bookmarkStart w:id="687" w:name="bookmark687"/>
      <w:r>
        <w:rPr>
          <w:color w:val="000000"/>
          <w:spacing w:val="0"/>
          <w:w w:val="100"/>
          <w:position w:val="0"/>
          <w:sz w:val="16"/>
          <w:szCs w:val="16"/>
        </w:rPr>
        <w:t>4</w:t>
      </w:r>
      <w:bookmarkEnd w:id="687"/>
      <w:r>
        <w:rPr>
          <w:color w:val="000000"/>
          <w:spacing w:val="0"/>
          <w:w w:val="100"/>
          <w:position w:val="0"/>
        </w:rPr>
        <w:t>、</w:t>
        <w:tab/>
      </w:r>
      <w:r>
        <w:rPr>
          <w:b/>
          <w:bCs/>
          <w:color w:val="000000"/>
          <w:spacing w:val="0"/>
          <w:w w:val="100"/>
          <w:position w:val="0"/>
        </w:rPr>
        <w:t>合并报表范围</w:t>
      </w:r>
    </w:p>
    <w:p>
      <w:pPr>
        <w:pStyle w:val="Style30"/>
        <w:keepNext w:val="0"/>
        <w:keepLines w:val="0"/>
        <w:widowControl w:val="0"/>
        <w:shd w:val="clear" w:color="auto" w:fill="auto"/>
        <w:bidi w:val="0"/>
        <w:spacing w:before="0" w:after="380" w:line="331" w:lineRule="exact"/>
        <w:ind w:left="0" w:right="0" w:firstLine="0"/>
        <w:jc w:val="both"/>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日，本集团纳入合并范围的二级子公司共</w:t>
      </w:r>
      <w:r>
        <w:rPr>
          <w:color w:val="000000"/>
          <w:spacing w:val="0"/>
          <w:w w:val="100"/>
          <w:position w:val="0"/>
          <w:sz w:val="16"/>
          <w:szCs w:val="16"/>
        </w:rPr>
        <w:t>34</w:t>
      </w:r>
      <w:r>
        <w:rPr>
          <w:color w:val="000000"/>
          <w:spacing w:val="0"/>
          <w:w w:val="100"/>
          <w:position w:val="0"/>
        </w:rPr>
        <w:t>户，详见本附注八“在其他主体中的权益”。本集团本年度合 并范围较上期无变化。</w:t>
      </w:r>
    </w:p>
    <w:p>
      <w:pPr>
        <w:pStyle w:val="Style28"/>
        <w:keepNext/>
        <w:keepLines/>
        <w:widowControl w:val="0"/>
        <w:shd w:val="clear" w:color="auto" w:fill="auto"/>
        <w:bidi w:val="0"/>
        <w:spacing w:before="0" w:after="38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rPr>
        <w:t>四</w:t>
      </w:r>
      <w:bookmarkEnd w:id="690"/>
      <w:r>
        <w:rPr>
          <w:color w:val="000000"/>
          <w:spacing w:val="0"/>
          <w:w w:val="100"/>
          <w:position w:val="0"/>
        </w:rPr>
        <w:t>、财务报表的编制基础</w:t>
      </w:r>
      <w:bookmarkEnd w:id="688"/>
      <w:bookmarkEnd w:id="689"/>
      <w:bookmarkEnd w:id="691"/>
    </w:p>
    <w:p>
      <w:pPr>
        <w:pStyle w:val="Style33"/>
        <w:keepNext/>
        <w:keepLines/>
        <w:widowControl w:val="0"/>
        <w:shd w:val="clear" w:color="auto" w:fill="auto"/>
        <w:tabs>
          <w:tab w:pos="331"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编制基础</w:t>
      </w:r>
      <w:bookmarkEnd w:id="692"/>
      <w:bookmarkEnd w:id="693"/>
      <w:bookmarkEnd w:id="695"/>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本集团财务报表以持续经营假设为基础，根据实际发生的交易和事项，按照财政部发布的《企业会计准则一一基本准则》（财 政部令第</w:t>
      </w:r>
      <w:r>
        <w:rPr>
          <w:color w:val="000000"/>
          <w:spacing w:val="0"/>
          <w:w w:val="100"/>
          <w:position w:val="0"/>
          <w:sz w:val="16"/>
          <w:szCs w:val="16"/>
        </w:rPr>
        <w:t>33</w:t>
      </w:r>
      <w:r>
        <w:rPr>
          <w:color w:val="000000"/>
          <w:spacing w:val="0"/>
          <w:w w:val="100"/>
          <w:position w:val="0"/>
        </w:rPr>
        <w:t>号发布、财政部令第</w:t>
      </w:r>
      <w:r>
        <w:rPr>
          <w:color w:val="000000"/>
          <w:spacing w:val="0"/>
          <w:w w:val="100"/>
          <w:position w:val="0"/>
          <w:sz w:val="16"/>
          <w:szCs w:val="16"/>
        </w:rPr>
        <w:t>76</w:t>
      </w:r>
      <w:r>
        <w:rPr>
          <w:color w:val="000000"/>
          <w:spacing w:val="0"/>
          <w:w w:val="100"/>
          <w:position w:val="0"/>
        </w:rPr>
        <w:t>号修订）、于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日及其后颁布和修订的</w:t>
      </w:r>
      <w:r>
        <w:rPr>
          <w:color w:val="000000"/>
          <w:spacing w:val="0"/>
          <w:w w:val="100"/>
          <w:position w:val="0"/>
          <w:sz w:val="16"/>
          <w:szCs w:val="16"/>
        </w:rPr>
        <w:t>42</w:t>
      </w:r>
      <w:r>
        <w:rPr>
          <w:color w:val="000000"/>
          <w:spacing w:val="0"/>
          <w:w w:val="100"/>
          <w:position w:val="0"/>
        </w:rPr>
        <w:t>项具体会计准则、企业会计准则应用 指南、企业会计准则解释及其他相关规定（以下合称“企业会计准则”），以及中国证券监督管理委员会《公开发行证券的 公司信息披露编报规则第</w:t>
      </w:r>
      <w:r>
        <w:rPr>
          <w:color w:val="000000"/>
          <w:spacing w:val="0"/>
          <w:w w:val="100"/>
          <w:position w:val="0"/>
          <w:sz w:val="16"/>
          <w:szCs w:val="16"/>
        </w:rPr>
        <w:t>15</w:t>
      </w:r>
      <w:r>
        <w:rPr>
          <w:color w:val="000000"/>
          <w:spacing w:val="0"/>
          <w:w w:val="100"/>
          <w:position w:val="0"/>
        </w:rPr>
        <w:t>号——财务报告的一般规定</w:t>
      </w:r>
      <w:r>
        <w:rPr>
          <w:color w:val="000000"/>
          <w:spacing w:val="0"/>
          <w:w w:val="100"/>
          <w:position w:val="0"/>
          <w:sz w:val="16"/>
          <w:szCs w:val="16"/>
        </w:rPr>
        <w:t>（2014</w:t>
      </w:r>
      <w:r>
        <w:rPr>
          <w:color w:val="000000"/>
          <w:spacing w:val="0"/>
          <w:w w:val="100"/>
          <w:position w:val="0"/>
        </w:rPr>
        <w:t>年修订）》的披露规定编制。</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根据企业会计准则的相关规定，本集团会计核算以权责发生制为基础。除某些金融工具外，本财务报表均以历史成本为计量 基础。资产如果发生减值，则按照相关规定计提相应的减值准备。</w:t>
      </w:r>
    </w:p>
    <w:p>
      <w:pPr>
        <w:pStyle w:val="Style33"/>
        <w:keepNext/>
        <w:keepLines/>
        <w:widowControl w:val="0"/>
        <w:shd w:val="clear" w:color="auto" w:fill="auto"/>
        <w:tabs>
          <w:tab w:pos="341"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持续经营</w:t>
      </w:r>
      <w:bookmarkEnd w:id="696"/>
      <w:bookmarkEnd w:id="697"/>
      <w:bookmarkEnd w:id="699"/>
    </w:p>
    <w:p>
      <w:pPr>
        <w:pStyle w:val="Style30"/>
        <w:keepNext w:val="0"/>
        <w:keepLines w:val="0"/>
        <w:widowControl w:val="0"/>
        <w:shd w:val="clear" w:color="auto" w:fill="auto"/>
        <w:bidi w:val="0"/>
        <w:spacing w:before="0" w:after="320" w:line="311" w:lineRule="exact"/>
        <w:ind w:left="0" w:right="0" w:firstLine="0"/>
        <w:jc w:val="both"/>
      </w:pPr>
      <w:r>
        <w:rPr>
          <w:color w:val="000000"/>
          <w:spacing w:val="0"/>
          <w:w w:val="100"/>
          <w:position w:val="0"/>
        </w:rPr>
        <w:t>公司评价了自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个月的持续经营能力，评价结果表明未对持续经营能力产生重大怀疑，能够持续经营。</w:t>
      </w:r>
    </w:p>
    <w:p>
      <w:pPr>
        <w:pStyle w:val="Style28"/>
        <w:keepNext/>
        <w:keepLines/>
        <w:widowControl w:val="0"/>
        <w:shd w:val="clear" w:color="auto" w:fill="auto"/>
        <w:bidi w:val="0"/>
        <w:spacing w:before="0" w:after="260" w:line="240" w:lineRule="auto"/>
        <w:ind w:left="0" w:right="0" w:firstLine="0"/>
        <w:jc w:val="both"/>
      </w:pPr>
      <w:bookmarkStart w:id="700" w:name="bookmark700"/>
      <w:bookmarkStart w:id="701" w:name="bookmark701"/>
      <w:bookmarkStart w:id="702" w:name="bookmark702"/>
      <w:bookmarkStart w:id="703" w:name="bookmark703"/>
      <w:r>
        <w:rPr>
          <w:color w:val="000000"/>
          <w:spacing w:val="0"/>
          <w:w w:val="100"/>
          <w:position w:val="0"/>
        </w:rPr>
        <w:t>五</w:t>
      </w:r>
      <w:bookmarkEnd w:id="702"/>
      <w:r>
        <w:rPr>
          <w:color w:val="000000"/>
          <w:spacing w:val="0"/>
          <w:w w:val="100"/>
          <w:position w:val="0"/>
        </w:rPr>
        <w:t>、重要会计政策及会计估计</w:t>
      </w:r>
      <w:bookmarkEnd w:id="700"/>
      <w:bookmarkEnd w:id="701"/>
      <w:bookmarkEnd w:id="703"/>
    </w:p>
    <w:p>
      <w:pPr>
        <w:pStyle w:val="Style30"/>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本集团根据实际生产经营特点，依据相关企业会计准则的规定，对收入确认、研究开发支出等交易和事项制定了若干项具体 会计政策和会计估计，详见本附注四、</w:t>
      </w:r>
      <w:r>
        <w:rPr>
          <w:color w:val="000000"/>
          <w:spacing w:val="0"/>
          <w:w w:val="100"/>
          <w:position w:val="0"/>
          <w:sz w:val="16"/>
          <w:szCs w:val="16"/>
        </w:rPr>
        <w:t>27“</w:t>
      </w:r>
      <w:r>
        <w:rPr>
          <w:color w:val="000000"/>
          <w:spacing w:val="0"/>
          <w:w w:val="100"/>
          <w:position w:val="0"/>
        </w:rPr>
        <w:t>收入”、附注四</w:t>
      </w:r>
      <w:r>
        <w:rPr>
          <w:color w:val="000000"/>
          <w:spacing w:val="0"/>
          <w:w w:val="100"/>
          <w:position w:val="0"/>
          <w:sz w:val="16"/>
          <w:szCs w:val="16"/>
        </w:rPr>
        <w:t>19“</w:t>
      </w:r>
      <w:r>
        <w:rPr>
          <w:color w:val="000000"/>
          <w:spacing w:val="0"/>
          <w:w w:val="100"/>
          <w:position w:val="0"/>
        </w:rPr>
        <w:t>无形资产”各项描述。关于管理层所作出的重大会计判断和 估计的说明，请参阅附注四、</w:t>
      </w:r>
      <w:r>
        <w:rPr>
          <w:color w:val="000000"/>
          <w:spacing w:val="0"/>
          <w:w w:val="100"/>
          <w:position w:val="0"/>
          <w:sz w:val="16"/>
          <w:szCs w:val="16"/>
        </w:rPr>
        <w:t xml:space="preserve">32 </w:t>
      </w:r>
      <w:r>
        <w:rPr>
          <w:color w:val="000000"/>
          <w:spacing w:val="0"/>
          <w:w w:val="100"/>
          <w:position w:val="0"/>
        </w:rPr>
        <w:t>“重大会计判断和估计”。</w:t>
      </w:r>
    </w:p>
    <w:p>
      <w:pPr>
        <w:pStyle w:val="Style33"/>
        <w:keepNext/>
        <w:keepLines/>
        <w:widowControl w:val="0"/>
        <w:shd w:val="clear" w:color="auto" w:fill="auto"/>
        <w:tabs>
          <w:tab w:pos="368" w:val="left"/>
        </w:tabs>
        <w:bidi w:val="0"/>
        <w:spacing w:before="0" w:after="26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遵循企业会计准则的声明</w:t>
      </w:r>
      <w:bookmarkEnd w:id="704"/>
      <w:bookmarkEnd w:id="705"/>
      <w:bookmarkEnd w:id="707"/>
    </w:p>
    <w:p>
      <w:pPr>
        <w:pStyle w:val="Style30"/>
        <w:keepNext w:val="0"/>
        <w:keepLines w:val="0"/>
        <w:widowControl w:val="0"/>
        <w:shd w:val="clear" w:color="auto" w:fill="auto"/>
        <w:bidi w:val="0"/>
        <w:spacing w:before="0" w:after="400" w:line="315" w:lineRule="exact"/>
        <w:ind w:left="0" w:right="0" w:firstLine="0"/>
        <w:jc w:val="both"/>
      </w:pPr>
      <w:r>
        <w:rPr>
          <w:color w:val="000000"/>
          <w:spacing w:val="0"/>
          <w:w w:val="100"/>
          <w:position w:val="0"/>
        </w:rPr>
        <w:t>本公司及本集团编制的财务报表符合企业会计准则的要求，真实、完整地反映了本公司及本集团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 公司财务状况及</w:t>
      </w:r>
      <w:r>
        <w:rPr>
          <w:color w:val="000000"/>
          <w:spacing w:val="0"/>
          <w:w w:val="100"/>
          <w:position w:val="0"/>
          <w:sz w:val="16"/>
          <w:szCs w:val="16"/>
        </w:rPr>
        <w:t>2020</w:t>
      </w:r>
      <w:r>
        <w:rPr>
          <w:color w:val="000000"/>
          <w:spacing w:val="0"/>
          <w:w w:val="100"/>
          <w:position w:val="0"/>
        </w:rPr>
        <w:t>年度的合并及母公司经营成果和合并及母公司现金流量等有关信息。此外，本公司及本集团的财务报表 在所有重大方面符合中国证券监督管理委员会</w:t>
      </w:r>
      <w:r>
        <w:rPr>
          <w:color w:val="000000"/>
          <w:spacing w:val="0"/>
          <w:w w:val="100"/>
          <w:position w:val="0"/>
          <w:sz w:val="16"/>
          <w:szCs w:val="16"/>
        </w:rPr>
        <w:t>2014</w:t>
      </w:r>
      <w:r>
        <w:rPr>
          <w:color w:val="000000"/>
          <w:spacing w:val="0"/>
          <w:w w:val="100"/>
          <w:position w:val="0"/>
        </w:rPr>
        <w:t>年修订的《公开发行证券的公司信息披露编报规则第</w:t>
      </w:r>
      <w:r>
        <w:rPr>
          <w:color w:val="000000"/>
          <w:spacing w:val="0"/>
          <w:w w:val="100"/>
          <w:position w:val="0"/>
          <w:sz w:val="16"/>
          <w:szCs w:val="16"/>
        </w:rPr>
        <w:t>15</w:t>
      </w:r>
      <w:r>
        <w:rPr>
          <w:color w:val="000000"/>
          <w:spacing w:val="0"/>
          <w:w w:val="100"/>
          <w:position w:val="0"/>
        </w:rPr>
        <w:t>号一财务报告的一 般规定》有关财务报表及其附注的披露要求。</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会计期间</w:t>
      </w:r>
      <w:bookmarkEnd w:id="708"/>
      <w:bookmarkEnd w:id="709"/>
      <w:bookmarkEnd w:id="711"/>
    </w:p>
    <w:p>
      <w:pPr>
        <w:pStyle w:val="Style30"/>
        <w:keepNext w:val="0"/>
        <w:keepLines w:val="0"/>
        <w:widowControl w:val="0"/>
        <w:shd w:val="clear" w:color="auto" w:fill="auto"/>
        <w:bidi w:val="0"/>
        <w:spacing w:before="0" w:after="400" w:line="293" w:lineRule="exact"/>
        <w:ind w:left="0" w:right="0" w:firstLine="0"/>
        <w:jc w:val="both"/>
      </w:pPr>
      <w:r>
        <w:rPr>
          <w:color w:val="000000"/>
          <w:spacing w:val="0"/>
          <w:w w:val="100"/>
          <w:position w:val="0"/>
        </w:rPr>
        <w:t>本集团的会计期间分为年度和中期，会计中期指短于一个完整的会计年度的报告期间。本集团会计年度采用公历年度，即每 年自</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营业周期</w:t>
      </w:r>
      <w:bookmarkEnd w:id="712"/>
      <w:bookmarkEnd w:id="713"/>
      <w:bookmarkEnd w:id="715"/>
    </w:p>
    <w:p>
      <w:pPr>
        <w:pStyle w:val="Style30"/>
        <w:keepNext w:val="0"/>
        <w:keepLines w:val="0"/>
        <w:widowControl w:val="0"/>
        <w:shd w:val="clear" w:color="auto" w:fill="auto"/>
        <w:bidi w:val="0"/>
        <w:spacing w:before="0" w:after="400" w:line="326" w:lineRule="exact"/>
        <w:ind w:left="0" w:right="0" w:firstLine="0"/>
        <w:jc w:val="both"/>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6"/>
          <w:szCs w:val="16"/>
        </w:rPr>
        <w:t>12</w:t>
      </w:r>
      <w:r>
        <w:rPr>
          <w:color w:val="000000"/>
          <w:spacing w:val="0"/>
          <w:w w:val="100"/>
          <w:position w:val="0"/>
        </w:rPr>
        <w:t>个月作为一个营业周期，并 以其作为资产和负债的流动性划分标准。</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w:t>
        <w:tab/>
        <w:t>记账本位币</w:t>
      </w:r>
      <w:bookmarkEnd w:id="716"/>
      <w:bookmarkEnd w:id="717"/>
      <w:bookmarkEnd w:id="719"/>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人民币为本公司及境内子公司经营所处的主要经济环境中的货币，本公司及境内子公司以人民币为记账本位币。本集团编制 本财务报表时所采用的货币为人民币。</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w:t>
        <w:tab/>
        <w:t>同一控制下和非同一控制下企业合并的会计处理方法</w:t>
      </w:r>
      <w:bookmarkEnd w:id="720"/>
      <w:bookmarkEnd w:id="721"/>
      <w:bookmarkEnd w:id="723"/>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同一控制下企业合并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合并方取得的资产和负债均按合并日在被合并方的账面价值计量。合并方取得的净资产账面价值与支付的合并对价账面价值 （或发行股份面值总额）的差额，调整资本公积（股本溢价）；资本公积（股本溢价）不足以冲减的，调整留存收益。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非同一控制下企业合并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对于非同一控制下的企业合并，合并成本包含购买日购买方为取得对被购买方的控制权而付出的资产、发生或承担的负债以 </w:t>
      </w:r>
      <w:r>
        <w:rPr>
          <w:color w:val="000000"/>
          <w:spacing w:val="0"/>
          <w:w w:val="100"/>
          <w:position w:val="0"/>
        </w:rPr>
        <w:t>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color w:val="000000"/>
          <w:spacing w:val="0"/>
          <w:w w:val="100"/>
          <w:position w:val="0"/>
          <w:sz w:val="16"/>
          <w:szCs w:val="16"/>
        </w:rPr>
        <w:t>12</w:t>
      </w:r>
      <w:r>
        <w:rPr>
          <w:color w:val="000000"/>
          <w:spacing w:val="0"/>
          <w:w w:val="100"/>
          <w:position w:val="0"/>
        </w:rPr>
        <w:t>个月内出现对购买日已存在情况的新的或进一步证据 而需要调整或有对价的，相应调整合并商誉。购买方发生的合并成本及在合并中取得的可辨认净资产按购买日的公允价值计 量。合并成本大于合并中取得的被购买方于购买日可辨认净资产公允价值份额的差额，确认为商誉。合并成本小于合并中取 得的被购买方可辨认净资产公允价值份额的，首先对取得的被购买方各项可辨认资产、负债及或有负债的公允价值以及合并 成本的计量进行复核，复核后合并成本仍小于合并中取得的被购买方可辨认净资产公允价值份额的，其差额计入当期损益。 购买方取得被购买方的可抵扣暂时性差异，在购买日因不符合递延所得税资产确认条件而未予确认的，在购买日后</w:t>
      </w:r>
      <w:r>
        <w:rPr>
          <w:color w:val="000000"/>
          <w:spacing w:val="0"/>
          <w:w w:val="100"/>
          <w:position w:val="0"/>
          <w:sz w:val="16"/>
          <w:szCs w:val="16"/>
        </w:rPr>
        <w:t>12</w:t>
      </w:r>
      <w:r>
        <w:rPr>
          <w:color w:val="000000"/>
          <w:spacing w:val="0"/>
          <w:w w:val="100"/>
          <w:position w:val="0"/>
        </w:rPr>
        <w:t>个月内， 如取得新的或进一步的信息表明购买日的相关情况已经存在,预期被购买方在购买日可抵扣暂时性差异带来的经济利益能够 实现的，则确认相关的递延所得税资产，同时减少商誉，商誉不足冲减的，差额部分确认为当期损益；除上述情况以外，确 认与企业合并相关的递延所得税资产的，计入当期损益。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6"/>
          <w:szCs w:val="16"/>
        </w:rPr>
        <w:t>5</w:t>
      </w:r>
      <w:r>
        <w:rPr>
          <w:color w:val="000000"/>
          <w:spacing w:val="0"/>
          <w:w w:val="100"/>
          <w:position w:val="0"/>
        </w:rPr>
        <w:t>号的通知》（财会〔</w:t>
      </w:r>
      <w:r>
        <w:rPr>
          <w:color w:val="000000"/>
          <w:spacing w:val="0"/>
          <w:w w:val="100"/>
          <w:position w:val="0"/>
          <w:sz w:val="16"/>
          <w:szCs w:val="16"/>
        </w:rPr>
        <w:t>2012） 19</w:t>
      </w:r>
      <w:r>
        <w:rPr>
          <w:color w:val="000000"/>
          <w:spacing w:val="0"/>
          <w:w w:val="100"/>
          <w:position w:val="0"/>
        </w:rPr>
        <w:t>号）和《企业会计准则第</w:t>
      </w:r>
      <w:r>
        <w:rPr>
          <w:color w:val="000000"/>
          <w:spacing w:val="0"/>
          <w:w w:val="100"/>
          <w:position w:val="0"/>
          <w:sz w:val="16"/>
          <w:szCs w:val="16"/>
        </w:rPr>
        <w:t>33</w:t>
      </w:r>
      <w:r>
        <w:rPr>
          <w:color w:val="000000"/>
          <w:spacing w:val="0"/>
          <w:w w:val="100"/>
          <w:position w:val="0"/>
        </w:rPr>
        <w:t>号一一合并财务报表》第五十一条关于“一揽子交易”的判断标准（参见本附注四、</w:t>
      </w:r>
      <w:r>
        <w:rPr>
          <w:color w:val="000000"/>
          <w:spacing w:val="0"/>
          <w:w w:val="100"/>
          <w:position w:val="0"/>
          <w:sz w:val="16"/>
          <w:szCs w:val="16"/>
        </w:rPr>
        <w:t xml:space="preserve">5 </w:t>
      </w:r>
      <w:r>
        <w:rPr>
          <w:color w:val="000000"/>
          <w:spacing w:val="0"/>
          <w:w w:val="100"/>
          <w:position w:val="0"/>
        </w:rPr>
        <w:t>“合并 财务报表的编制方法”</w:t>
      </w:r>
      <w:r>
        <w:rPr>
          <w:color w:val="000000"/>
          <w:spacing w:val="0"/>
          <w:w w:val="100"/>
          <w:position w:val="0"/>
          <w:sz w:val="16"/>
          <w:szCs w:val="16"/>
        </w:rPr>
        <w:t>（2）</w:t>
      </w:r>
      <w:r>
        <w:rPr>
          <w:color w:val="000000"/>
          <w:spacing w:val="0"/>
          <w:w w:val="100"/>
          <w:position w:val="0"/>
        </w:rPr>
        <w:t>），判断该多次交易是否属于“一揽子交易”。属于“一揽子交易”的，参考本部分前面各段 描述及本附注四、</w:t>
      </w:r>
      <w:r>
        <w:rPr>
          <w:color w:val="000000"/>
          <w:spacing w:val="0"/>
          <w:w w:val="100"/>
          <w:position w:val="0"/>
          <w:sz w:val="16"/>
          <w:szCs w:val="16"/>
        </w:rPr>
        <w:t>14“</w:t>
      </w:r>
      <w:r>
        <w:rPr>
          <w:color w:val="000000"/>
          <w:spacing w:val="0"/>
          <w:w w:val="100"/>
          <w:position w:val="0"/>
        </w:rPr>
        <w:t>长期股权投资”进行会计处理；不属于“一揽子交易”的，区分个别财务报表和合并财务报表进行相 关会计处理：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资成本；购买日之前持有的被购买方的股权涉及其他综合收益的，在处置该项投资时将与其相关的其他综合收益采用与被购 买方直接处置相关资产或负债相同的基础进行会计处理。</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w:t>
      </w:r>
    </w:p>
    <w:p>
      <w:pPr>
        <w:pStyle w:val="Style33"/>
        <w:keepNext/>
        <w:keepLines/>
        <w:widowControl w:val="0"/>
        <w:shd w:val="clear" w:color="auto" w:fill="auto"/>
        <w:bidi w:val="0"/>
        <w:spacing w:before="0" w:after="28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6</w:t>
      </w:r>
      <w:bookmarkEnd w:id="726"/>
      <w:r>
        <w:rPr>
          <w:color w:val="000000"/>
          <w:spacing w:val="0"/>
          <w:w w:val="100"/>
          <w:position w:val="0"/>
        </w:rPr>
        <w:t>、合并财务报表的编制方法</w:t>
      </w:r>
      <w:bookmarkEnd w:id="724"/>
      <w:bookmarkEnd w:id="725"/>
      <w:bookmarkEnd w:id="727"/>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合并财务报表的合并范围以控制为基础予以确定。控制是指本集团拥有对被投资方的权力，通过参与被投资方的相关活动而 享有可变回报，并且有能力运用对被投资方的权力影响该回报金额。合并范围包括本公司及全部子公司。子公司，是指被本 集团控制的主体。</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一旦相关事实和情况的变化导致上述控制定义涉及的相关要素发生了变化，本集团将进行重新评估。 合并财务报表编制的方法</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从取得子公司的净资产和生产经营决策的实际控制权之日起，本集团开始将其纳入合并范围；从丧失实际控制权之日起停止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的子公司，其自合并当期期初至合并日的经营成果和现金流量已经适当地包括在合并利润表和合并现金流量表中，并且同时 调整合并财务报表的对比数。</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集团内所有重大往来余额、交易及未实现利润在合并财务报表编制时予以抵销。</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东权益及净利润项下单独列示。子公司当期净损益中属于少数股东权益的份额，在合并利润表中净利润项目下以“少数股东 损益”项目列示。少数股东分担的子公司的亏损超过了少数股东在该子公司期初股东权益中所享有的份额，仍冲减少数股东 </w:t>
      </w:r>
      <w:r>
        <w:rPr>
          <w:color w:val="000000"/>
          <w:spacing w:val="0"/>
          <w:w w:val="100"/>
          <w:position w:val="0"/>
        </w:rPr>
        <w:t>权益。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时采用与被购买方直接处置相关资产或负债相同的基础进行会计处理（即，除了在该原有子公司重新计量设定受益计划净负 债或净资产导致的变动以外，其余一并转为当期投资收益）。其后，对该部分剩余股权按照《企业会计准则第</w:t>
      </w:r>
      <w:r>
        <w:rPr>
          <w:color w:val="000000"/>
          <w:spacing w:val="0"/>
          <w:w w:val="100"/>
          <w:position w:val="0"/>
          <w:sz w:val="16"/>
          <w:szCs w:val="16"/>
        </w:rPr>
        <w:t>2</w:t>
      </w:r>
      <w:r>
        <w:rPr>
          <w:color w:val="000000"/>
          <w:spacing w:val="0"/>
          <w:w w:val="100"/>
          <w:position w:val="0"/>
        </w:rPr>
        <w:t>号一一长期 股权投资》或《企业会计准则第</w:t>
      </w:r>
      <w:r>
        <w:rPr>
          <w:color w:val="000000"/>
          <w:spacing w:val="0"/>
          <w:w w:val="100"/>
          <w:position w:val="0"/>
          <w:sz w:val="16"/>
          <w:szCs w:val="16"/>
        </w:rPr>
        <w:t>22</w:t>
      </w:r>
      <w:r>
        <w:rPr>
          <w:color w:val="000000"/>
          <w:spacing w:val="0"/>
          <w:w w:val="100"/>
          <w:position w:val="0"/>
        </w:rPr>
        <w:t>号一一金融工具确认和计量》等相关规定进行后续计量，详见本附注四、</w:t>
      </w:r>
      <w:r>
        <w:rPr>
          <w:color w:val="000000"/>
          <w:spacing w:val="0"/>
          <w:w w:val="100"/>
          <w:position w:val="0"/>
          <w:sz w:val="16"/>
          <w:szCs w:val="16"/>
        </w:rPr>
        <w:t>14“</w:t>
      </w:r>
      <w:r>
        <w:rPr>
          <w:color w:val="000000"/>
          <w:spacing w:val="0"/>
          <w:w w:val="100"/>
          <w:position w:val="0"/>
        </w:rPr>
        <w:t>长期股权投 资”或本附注四、</w:t>
      </w:r>
      <w:r>
        <w:rPr>
          <w:color w:val="000000"/>
          <w:spacing w:val="0"/>
          <w:w w:val="100"/>
          <w:position w:val="0"/>
          <w:sz w:val="16"/>
          <w:szCs w:val="16"/>
        </w:rPr>
        <w:t xml:space="preserve">9 </w:t>
      </w:r>
      <w:r>
        <w:rPr>
          <w:color w:val="000000"/>
          <w:spacing w:val="0"/>
          <w:w w:val="100"/>
          <w:position w:val="0"/>
        </w:rPr>
        <w:t>“金融工具”。</w:t>
      </w:r>
    </w:p>
    <w:p>
      <w:pPr>
        <w:pStyle w:val="Style30"/>
        <w:keepNext w:val="0"/>
        <w:keepLines w:val="0"/>
        <w:widowControl w:val="0"/>
        <w:shd w:val="clear" w:color="auto" w:fill="auto"/>
        <w:bidi w:val="0"/>
        <w:spacing w:before="0" w:after="400" w:line="311" w:lineRule="exact"/>
        <w:ind w:left="0" w:right="0" w:firstLine="0"/>
        <w:jc w:val="both"/>
      </w:pPr>
      <w:r>
        <w:rPr>
          <w:color w:val="000000"/>
          <w:spacing w:val="0"/>
          <w:w w:val="100"/>
          <w:position w:val="0"/>
        </w:rPr>
        <w:t>本集团通过多次交易分步处置对子公司股权投资直至丧失控制权的，需区分处置对子公司股权投资直至丧失控制权的各项交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和其他交易一并考虑时是经济的。不属于一揽子交易的，对其中的每一项交易视情况分别按照“不丧失控制权的情况下部分 处置对子公司的长期股权投资”（详见本附注四、</w:t>
      </w:r>
      <w:r>
        <w:rPr>
          <w:color w:val="000000"/>
          <w:spacing w:val="0"/>
          <w:w w:val="100"/>
          <w:position w:val="0"/>
          <w:sz w:val="16"/>
          <w:szCs w:val="16"/>
        </w:rPr>
        <w:t xml:space="preserve">14 </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④）和“因处置部分股权投资或其他原因丧失 了对原有子公司的控制权”（详见前段）适用的原则进行会计处理。处置对子公司股权投资直至丧失控制权的各项交易属于 一揽子交易的，将各项交易作为一项处置子公司并丧失控制权的交易进行会计处理；但是，在丧失控制权之前每一次处置价 款与处置投资对应的享有该子公司净资产份额的差额，在合并财务报表中确认为其他综合收益，在丧失控制权时一并转入丧 失控制权当期的损益。</w:t>
      </w:r>
    </w:p>
    <w:p>
      <w:pPr>
        <w:pStyle w:val="Style33"/>
        <w:keepNext/>
        <w:keepLines/>
        <w:widowControl w:val="0"/>
        <w:shd w:val="clear" w:color="auto" w:fill="auto"/>
        <w:tabs>
          <w:tab w:pos="315" w:val="left"/>
        </w:tabs>
        <w:bidi w:val="0"/>
        <w:spacing w:before="0" w:after="26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7</w:t>
      </w:r>
      <w:bookmarkEnd w:id="730"/>
      <w:r>
        <w:rPr>
          <w:color w:val="000000"/>
          <w:spacing w:val="0"/>
          <w:w w:val="100"/>
          <w:position w:val="0"/>
        </w:rPr>
        <w:t>、</w:t>
        <w:tab/>
        <w:t>合营安排分类及共同经营会计处理方法</w:t>
      </w:r>
      <w:bookmarkEnd w:id="728"/>
      <w:bookmarkEnd w:id="729"/>
      <w:bookmarkEnd w:id="731"/>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合营安排，是指一项由两个或两个以上的参与方共同控制的安排。本集团根据在合营安排中享有的权利和承担的义务，将合 营安排分为共同经营和合营企业。共同经营，是指本集团享有该安排相关资产且承担该安排相关负债的合营安排。合营企业， 是指本集团仅对该安排的净资产享有权利的合营安排。</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本集团对合营企业的投资采用权益法核算，按照本附注四、</w:t>
      </w:r>
      <w:r>
        <w:rPr>
          <w:color w:val="000000"/>
          <w:spacing w:val="0"/>
          <w:w w:val="100"/>
          <w:position w:val="0"/>
          <w:sz w:val="16"/>
          <w:szCs w:val="16"/>
        </w:rPr>
        <w:t xml:space="preserve">14 </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②“权益法核算的长期股权投资”中 所述的会计政策处理。</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本集团作为合营方对共同经营，确认本集团单独持有的资产、单独所承担的负债，以及按本集团份额确认共同持有的资产和 共同承担的负债；确认出售本集团享有的共同经营产出份额所产生的收入；按本集团份额确认共同经营因出售产出所产生的 收入；确认本集团单独所发生的费用，以及按本集团份额确认共同经营发生的费用。</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当本集团作为合营方向共同经营投出或出售资产（该资产不构成业务，下同）、或者自共同经营购买资产时，在该等资产出 售给第三方之前，本集团仅确认因该交易产生的损益中归属于共同经营其他参与方的部分。该等资产发生符合《企业会计准 则第</w:t>
      </w:r>
      <w:r>
        <w:rPr>
          <w:color w:val="000000"/>
          <w:spacing w:val="0"/>
          <w:w w:val="100"/>
          <w:position w:val="0"/>
          <w:sz w:val="16"/>
          <w:szCs w:val="16"/>
        </w:rPr>
        <w:t>8</w:t>
      </w:r>
      <w:r>
        <w:rPr>
          <w:color w:val="000000"/>
          <w:spacing w:val="0"/>
          <w:w w:val="100"/>
          <w:position w:val="0"/>
        </w:rPr>
        <w:t>号一一资产减值》等规定的资产减值损失的，对于由本集团向共同经营投出或出售资产的情况，本集团全额确认该损 失；对于本集团自共同经营购买资产的情况，本集团按承担的份额确认该损失。</w:t>
      </w:r>
    </w:p>
    <w:p>
      <w:pPr>
        <w:pStyle w:val="Style33"/>
        <w:keepNext/>
        <w:keepLines/>
        <w:widowControl w:val="0"/>
        <w:shd w:val="clear" w:color="auto" w:fill="auto"/>
        <w:tabs>
          <w:tab w:pos="31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8</w:t>
      </w:r>
      <w:bookmarkEnd w:id="734"/>
      <w:r>
        <w:rPr>
          <w:color w:val="000000"/>
          <w:spacing w:val="0"/>
          <w:w w:val="100"/>
          <w:position w:val="0"/>
        </w:rPr>
        <w:t>、</w:t>
        <w:tab/>
        <w:t>现金及现金等价物的确定标准</w:t>
      </w:r>
      <w:bookmarkEnd w:id="732"/>
      <w:bookmarkEnd w:id="733"/>
      <w:bookmarkEnd w:id="735"/>
    </w:p>
    <w:p>
      <w:pPr>
        <w:pStyle w:val="Style30"/>
        <w:keepNext w:val="0"/>
        <w:keepLines w:val="0"/>
        <w:widowControl w:val="0"/>
        <w:shd w:val="clear" w:color="auto" w:fill="auto"/>
        <w:bidi w:val="0"/>
        <w:spacing w:before="0" w:after="400" w:line="307" w:lineRule="exact"/>
        <w:ind w:left="0" w:right="0" w:firstLine="0"/>
        <w:jc w:val="both"/>
      </w:pPr>
      <w:r>
        <w:rPr>
          <w:color w:val="000000"/>
          <w:spacing w:val="0"/>
          <w:w w:val="100"/>
          <w:position w:val="0"/>
        </w:rPr>
        <w:t>本集团现金及现金等价物包括库存现金、可以随时用于支付的存款以及本集团持有的期限短（一般为从购买日起三个月内到 期）、流动性强、易于转换为已知金额现金、价值变动风险很小的投资。</w:t>
      </w:r>
    </w:p>
    <w:p>
      <w:pPr>
        <w:pStyle w:val="Style33"/>
        <w:keepNext/>
        <w:keepLines/>
        <w:widowControl w:val="0"/>
        <w:shd w:val="clear" w:color="auto" w:fill="auto"/>
        <w:tabs>
          <w:tab w:pos="31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9</w:t>
      </w:r>
      <w:bookmarkEnd w:id="738"/>
      <w:r>
        <w:rPr>
          <w:color w:val="000000"/>
          <w:spacing w:val="0"/>
          <w:w w:val="100"/>
          <w:position w:val="0"/>
        </w:rPr>
        <w:t>、</w:t>
        <w:tab/>
        <w:t>外币业务和外币报表折算</w:t>
      </w:r>
      <w:bookmarkEnd w:id="736"/>
      <w:bookmarkEnd w:id="737"/>
      <w:bookmarkEnd w:id="739"/>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外币交易的折算方法</w:t>
      </w:r>
    </w:p>
    <w:p>
      <w:pPr>
        <w:pStyle w:val="Style30"/>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本集团发生的外币交易在初始确认时，按交易日的即期汇率（通常指中国人民银行公布的当日外汇牌价的中间价，下同）折 算为记账本位币金额，但本集团发生的外币兑换业务或涉及外币兑换的交易事项，按照实际采用的汇率折算为记账本位币金 额。</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对于外币货币性项目和外币非货币性项目的折算方法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资产负债表日，对于外币货币性项目采用资产负债表日即期汇率折算，由此产生的汇兑差额，除：①属于与购建符合资本化 条件的资产相关的外币专门借款产生的汇兑差额按照借款费用资本化的原则处理;②以及可供出售的外币货币性项目除摊余 成本之外的其他账面余额变动产生的汇兑差额计入其他综合收益之外，均计入当期损益。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外币财务报表的折算方法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境外经营的外币财务报表按以下方法折算为人民币报表：资产负债表中的资产和负债项目，采用资产负债表日的即期汇率折 算；股东权益类项目除“未分配利润”项目外，其他项目采用发生时的即期汇率折算。利润表中的收入和费用项目，采用交 易发生日的即期汇率折算。年初未分配利润为上一年折算后的期末未分配利润；期末未分配利润按折算后的利润分配各项目 计算列示;折算后资产类项目与负债类项目和股东权益类项目合计数的差额，作为外币报表折算差额，确认为其他综合收益。 处置境外经营并丧失控制权时，将资产负债表中股东权益项目下列示的、与该境外经营相关的外币报表折算差额，全部或按 处置该境外经营的比例转入处置当期损益。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外币现金流量，采用现金流量发生日的即期汇率折算。汇率变动对现金的影响额作为调节项目，在现金流量表中单独列报。 年初数和上期实际数按照上期财务报表折算后的数额列示。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在处置本集团在境外经营的全部所有者权益或因处置部分股权投资或其他原因丧失了对境外经营控制权时，将资产负债表中 股东权益项目下列示的、与该境外经营相关的归属于母公司所有者权益的外币报表折算差额，全部转入处置当期损益。 在处置部分股权投资或其他原因导致持有境外经营权益比例降低但不丧失对境外经营控制权时,与该境外经营处置部分相关 的外币报表折算差额将归属于少数股东权益，不转入当期损益。在处置境外经营为联营企业或合营企业的部分股权时，与该 境外经营相关的外币报表折算差额，按处置该境外经营的比例转入处置当期损益。</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如有实质上构成对境外经营净投资的外币货币性项目，在合并财务报表中，其因汇率变动而产生的汇兑差额，作为“外币报 表折算差额”确认为其他综合收益；处置境外经营时，计入处置当期损益。</w:t>
      </w:r>
    </w:p>
    <w:p>
      <w:pPr>
        <w:pStyle w:val="Style33"/>
        <w:keepNext/>
        <w:keepLines/>
        <w:widowControl w:val="0"/>
        <w:shd w:val="clear" w:color="auto" w:fill="auto"/>
        <w:bidi w:val="0"/>
        <w:spacing w:before="0" w:after="26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0"/>
      <w:bookmarkEnd w:id="741"/>
      <w:bookmarkEnd w:id="743"/>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一、金融工具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在本集团成为金融工具合同的一方时确认一项金融资产或金融负债。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金融资产的分类、确认和计量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本集团根据管理金融资产的业务模式和金融资产的合同现金流量特征，将金融资产划分为：以摊余成本计量的金融资产；以 公允价值计量且其变动计入其他综合收益的金融资产；以公允价值计量且其变动计入当期损益的金融资产。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大融资成分的应收账款或应收票据，本集团按照预期有权收取的对价金额作为初始确认金额。</w:t>
      </w:r>
    </w:p>
    <w:p>
      <w:pPr>
        <w:pStyle w:val="Style30"/>
        <w:keepNext w:val="0"/>
        <w:keepLines w:val="0"/>
        <w:widowControl w:val="0"/>
        <w:numPr>
          <w:ilvl w:val="0"/>
          <w:numId w:val="7"/>
        </w:numPr>
        <w:shd w:val="clear" w:color="auto" w:fill="auto"/>
        <w:tabs>
          <w:tab w:pos="326" w:val="left"/>
        </w:tabs>
        <w:bidi w:val="0"/>
        <w:spacing w:before="0" w:after="0" w:line="312" w:lineRule="exact"/>
        <w:ind w:left="0" w:right="0" w:firstLine="0"/>
        <w:jc w:val="both"/>
      </w:pPr>
      <w:bookmarkStart w:id="744" w:name="bookmark744"/>
      <w:bookmarkEnd w:id="744"/>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本集团管理以摊余成本计量的金融资产的业务模式为以收取合同现金流量为目标,且此类金融资产的合同现金流量特征与基 本借贷安排相一致，即在特定日期产生的现金流量，仅为对本金和以未偿付本金金额为基础的利息的支付。本集团对于此类 金融资产，采用实际利率法，按照摊余成本进行后续计量，其摊销或减值产生的利得或损失，计入当期损益。</w:t>
      </w:r>
    </w:p>
    <w:p>
      <w:pPr>
        <w:pStyle w:val="Style30"/>
        <w:keepNext w:val="0"/>
        <w:keepLines w:val="0"/>
        <w:widowControl w:val="0"/>
        <w:numPr>
          <w:ilvl w:val="0"/>
          <w:numId w:val="7"/>
        </w:numPr>
        <w:shd w:val="clear" w:color="auto" w:fill="auto"/>
        <w:tabs>
          <w:tab w:pos="326" w:val="left"/>
        </w:tabs>
        <w:bidi w:val="0"/>
        <w:spacing w:before="0" w:after="0" w:line="312" w:lineRule="exact"/>
        <w:ind w:left="0" w:right="0" w:firstLine="0"/>
        <w:jc w:val="both"/>
      </w:pPr>
      <w:bookmarkStart w:id="745" w:name="bookmark745"/>
      <w:bookmarkEnd w:id="745"/>
      <w:r>
        <w:rPr>
          <w:color w:val="000000"/>
          <w:spacing w:val="0"/>
          <w:w w:val="100"/>
          <w:position w:val="0"/>
        </w:rPr>
        <w:t>以公允价值计量且其变动计入其他综合收益的金融资产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本集团管理此类金融资产的业务模式为既以收取合同现金流量为目标又以出售为目标，且此类金融资产的合同现金流量特征 与基本借贷安排相一致。本集团对此类金融资产按照公允价值计量且其变动计入其他综合收益，但减值损失或利得、汇兑损 益和按照实际利率法计算的利息收入计入当期损益。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此外，本集团将部分非交易性权益工具投资指定为以公允价值计量且其变动计入其他综合收益的金融资产。本集团将该类金 融资产的相关股利收入计入当期损益，公允价值变动计入其他综合收益。当该金融资产终止确认时，之前计入其他综合收益 </w:t>
      </w:r>
      <w:r>
        <w:rPr>
          <w:color w:val="000000"/>
          <w:spacing w:val="0"/>
          <w:w w:val="100"/>
          <w:position w:val="0"/>
        </w:rPr>
        <w:t>的累计利得或损失将从其他综合收益转入留存收益，不计入当期损益。</w:t>
      </w:r>
    </w:p>
    <w:p>
      <w:pPr>
        <w:pStyle w:val="Style30"/>
        <w:keepNext w:val="0"/>
        <w:keepLines w:val="0"/>
        <w:widowControl w:val="0"/>
        <w:numPr>
          <w:ilvl w:val="0"/>
          <w:numId w:val="7"/>
        </w:numPr>
        <w:shd w:val="clear" w:color="auto" w:fill="auto"/>
        <w:bidi w:val="0"/>
        <w:spacing w:before="0" w:after="0" w:line="312" w:lineRule="exact"/>
        <w:ind w:left="0" w:right="0" w:firstLine="0"/>
        <w:jc w:val="both"/>
      </w:pPr>
      <w:bookmarkStart w:id="746" w:name="bookmark746"/>
      <w:bookmarkEnd w:id="746"/>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本集团将上述以摊余成本计量的金融资产和以公允价值计量且其变动计入其他综合收益的金融资产之外的金融资产，分类为 以公允价值计量且其变动计入当期损益的金融资产。此外，在初始确认时，本集团为了消除或显著减少会计错配，将部分金 融资产指定为以公允价值计量且其变动计入当期损益的金融资产。对于此类金融资产，本集团采用公允价值进行后续计量， 公允价值变动计入当期损益。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金融负债的分类、确认和计量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金融负债于初始确认时分类为以公允价值计量且其变动计入当期损益的金融负债和其他金融负债。对于以公允价值计量且其 变动计入当期损益的金融负债，相关交易费用直接计入当期损益，其他金融负债的相关交易费用计入其初始确认金额。</w:t>
      </w:r>
    </w:p>
    <w:p>
      <w:pPr>
        <w:pStyle w:val="Style30"/>
        <w:keepNext w:val="0"/>
        <w:keepLines w:val="0"/>
        <w:widowControl w:val="0"/>
        <w:numPr>
          <w:ilvl w:val="0"/>
          <w:numId w:val="9"/>
        </w:numPr>
        <w:shd w:val="clear" w:color="auto" w:fill="auto"/>
        <w:tabs>
          <w:tab w:pos="327" w:val="left"/>
        </w:tabs>
        <w:bidi w:val="0"/>
        <w:spacing w:before="0" w:after="0" w:line="312" w:lineRule="exact"/>
        <w:ind w:left="0" w:right="0" w:firstLine="0"/>
        <w:jc w:val="both"/>
      </w:pPr>
      <w:bookmarkStart w:id="747" w:name="bookmark747"/>
      <w:bookmarkEnd w:id="747"/>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以公允价值计量且其变动计入当期损益的金融负债，包括交易性金融负债（含属于金融负债的衍生工具）和初始确认时指定 为以公允价值计量且其变动计入当期损益的金融负债。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交易性金融负债（含属于金融负债的衍生工具），按照公允价值进行后续计量，除与套期会计有关外，公允价值变动计入当 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被指定为以公允价值计量且其变动计入当期损益的金融负债,该负债由本集团自身信用风险变动引起的公允价值变动计入其 他综合收益，且终止确认该负债时，计入其他综合收益的自身信用风险变动引起的其公允价值累计变动额转入留存收益。其 余公允价值变动计入当期损益。若按上述方式对该等金融负债的自身信用风险变动的影响进行处理会造成或扩大损益中的会 计错配的，本集团将该金融负债的全部利得或损失（包括企业自身信用风险变动的影响金额）计入当期损益。</w:t>
      </w:r>
    </w:p>
    <w:p>
      <w:pPr>
        <w:pStyle w:val="Style30"/>
        <w:keepNext w:val="0"/>
        <w:keepLines w:val="0"/>
        <w:widowControl w:val="0"/>
        <w:numPr>
          <w:ilvl w:val="0"/>
          <w:numId w:val="9"/>
        </w:numPr>
        <w:shd w:val="clear" w:color="auto" w:fill="auto"/>
        <w:tabs>
          <w:tab w:pos="327" w:val="left"/>
        </w:tabs>
        <w:bidi w:val="0"/>
        <w:spacing w:before="0" w:after="0" w:line="312" w:lineRule="exact"/>
        <w:ind w:left="0" w:right="0" w:firstLine="0"/>
        <w:jc w:val="both"/>
      </w:pPr>
      <w:bookmarkStart w:id="748" w:name="bookmark748"/>
      <w:bookmarkEnd w:id="748"/>
      <w:r>
        <w:rPr>
          <w:color w:val="000000"/>
          <w:spacing w:val="0"/>
          <w:w w:val="100"/>
          <w:position w:val="0"/>
        </w:rPr>
        <w:t>其他金融负债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除金融资产转移不符合终止确认条件或继续涉入被转移金融资产所形成的金融负债、财务担保合同外的其他金融负债分类为 以摊余成本计量的金融负债，按摊余成本进行后续计量，终止确认或摊销产生的利得或损失计入当期损益。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满足下列条件之一的金融资产，予以终止确认：①收取该金融资产现金流量的合同权利终止；②该金融资产已转移，且将金 融资产所有权上几乎所有的风险和报酬转移给转入方；③该金融资产已转移，虽然企业既没有转移也没有保留金融资产所有 权上几乎所有的风险和报酬，但是放弃了对该金融资产的控制。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若企业既没有转移也没有保留金融资产所有权上几乎所有的风险和报酬，且未放弃对该金融资产的控制的，则按照继续涉入 所转移金融资产的程度确认有关金融资产，并相应确认有关负债。继续涉入所转移金融资产的程度，是指该金融资产价值变 动使企业面临的风险水平。</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金融资产整体转移满足终止确认条件的,将所转移金融资产的账面价值及因转移而收到的对价与原计入其他综合收益的公允 价值变动累计额之和的差额计入当期损益。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金融资产部分转移满足终止确认条件的,将所转移金融资产的账面价值在终止确认及未终止确认部分之间按其相对的公允价 值进行分摊,并将因转移而收到的对价与应分摊至终止确认部分的原计入其他综合收益的公允价值变动累计额之和与分摊的 前述账面金额之差额计入当期损益。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本集团对采用附追索权方式出售的金融资产，或将持有的金融资产背书转让，需确定该金融资产所有权上几乎所有的风险和 报酬是否已经转移。已将该金融资产所有权上几乎所有的风险和报酬转移给转入方的，终止确认该金融资产；保留了金融资 产所有权上几乎所有的风险和报酬的，不终止确认该金融资产；既没有转移也没有保留金融资产所有权上几乎所有的风险和 报酬的，则继续判断企业是否对该资产保留了控制，并根据前面各段所述的原则进行会计处理。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金融负债的终止确认</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金融负债（或其一部分）的现时义务已经解除的，本集团终止确认该金融负债（或该部分金融负债）。本集团（借入方）与 借出方签订协议，以承担新金融负债的方式替换原金融负债，且新金融负债与原金融负债的合同条款实质上不同的，终止确 认原金融负债，同时确认一项新金融负债。本集团对原金融负债（或其一部分）的合同条款作出实质性修改的，终止确认原 金融负债，同时按照修改后的条款确认一项新金融负债。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金融负债（或其一部分）终止确认的，本集团将其账面价值与支付的对价（包括转出的非现金资产或承担的负债）之间的差 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当本集团具有抵销已确认金额的金融资产和金融负债的法定权利，且该种法定权利是当前可执行的，同时本集团计划以净额 结算或同时变现该金融资产和清偿该金融负债时，金融资产和金融负债以相互抵销后的净额在资产负债表内列示。除此以外， 金融资产和金融负债在资产负债表内分别列示，不予相互抵销。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公允价值，是指市场参与者在计量日发生的有序交易中，出售一项资产所能收到或者转移一项负债所需支付的价格。金融工 具存在活跃市场的，本集团采用活跃市场中的报价确定其公允价值。活跃市场中的报价是指易于定期从交易所、经纪商、行 业协会、定价服务机构等获得的价格，且代表了在公平交易中实际发生的市场交易的价格。金融工具不存在活跃市场的，本 集团采用估值技术确定其公允价值。估值技术包括参考熟悉情况并自愿交易的各方最近进行的市场交易中使用的价格、参照 实质上相同的其他金融工具当前的公允价值、现金流量折现法和期权定价模型等。在估值时，本集团采用在当前情况下适用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权益工具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权益工具是指能证明拥有本集团在扣除所有负债后的资产中的剩余权益的合同。本集团发行（含再融资）、回购、出售或注 销权益工具作为权益的变动处理，与权益性交易相关的交易费用从权益中扣减。本集团不确认权益工具的公允价值变动。 本集团权益工具在存续期间分派股利（含分类为权益工具的工具所产生的“利息”）的，作为利润分配处理。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本集团需确认减值损失的金融资产系以摊余成本计量的金融资产、以公允价值计量且其变动计入其他综合收益的债务工具投 资、租赁应收款，主要包括应收票据、应收账款、其他应收款、债权投资、其他债权投资、长期应收款等。此外，对部分财 务担保合同，也按照本部分所述会计政策计提减值准备和确认信用减值损失。</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减值准备的确认方法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本集团以预期信用损失为基础，对上述各项目按照其适用的预期信用损失计量方法（一般方法或简化方法）计提减值准备并 确认信用减值损失。</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信用损失，是指本集团按照原实际利率折现的、根据合同应收的所有合同现金流量与预期收取的所有现金流量之间的差额， 即全部现金短缺的现值。其中，对于购买或源生的已发生信用减值的金融资产，本集团按照该金融资产经信用调整的实际利 率折现。</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预期信用损失计量的一般方法是指，本集团在每个资产负债表日评估金融资产（含其他适用项目，下同）的信用风险自初始 确认后是否已经显著增加，如果信用风险自初始确认后已显著增加，本集团按照相当于整个存续期内预期信用损失的金额计 量损失准备；如果信用风险自初始确认后未显著增加，本集团按照相当于未来</w:t>
      </w:r>
      <w:r>
        <w:rPr>
          <w:color w:val="000000"/>
          <w:spacing w:val="0"/>
          <w:w w:val="100"/>
          <w:position w:val="0"/>
          <w:sz w:val="16"/>
          <w:szCs w:val="16"/>
        </w:rPr>
        <w:t>12</w:t>
      </w:r>
      <w:r>
        <w:rPr>
          <w:color w:val="000000"/>
          <w:spacing w:val="0"/>
          <w:w w:val="100"/>
          <w:position w:val="0"/>
        </w:rPr>
        <w:t>个月内预期信用损失的金额计量损失准备。 本集团在评估预期信用损失时，考虑所有合理且有依据的信息，包括前瞻性信息。</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对于在资产负债表日具有较低信用风险的金融工具，本集团不选择简化处理方法，依据其信用风险自初始确认后是否已显著 增加，而采用未来</w:t>
      </w:r>
      <w:r>
        <w:rPr>
          <w:color w:val="000000"/>
          <w:spacing w:val="0"/>
          <w:w w:val="100"/>
          <w:position w:val="0"/>
          <w:sz w:val="16"/>
          <w:szCs w:val="16"/>
        </w:rPr>
        <w:t>12</w:t>
      </w:r>
      <w:r>
        <w:rPr>
          <w:color w:val="000000"/>
          <w:spacing w:val="0"/>
          <w:w w:val="100"/>
          <w:position w:val="0"/>
        </w:rPr>
        <w:t>月内或者整个存续期内预期信用损失金额为基础计量损失准备。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信用风险自初始确认后是否显著增加的判断标准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如果某项金融资产在资产负债表日确定的预计存续期内的违约概率显著高于在初始确认时确定的预计存续期内的违约概率， 则表明该项金融资产的信用风险显著增加。除特殊情况外，本集团采用未来</w:t>
      </w:r>
      <w:r>
        <w:rPr>
          <w:color w:val="000000"/>
          <w:spacing w:val="0"/>
          <w:w w:val="100"/>
          <w:position w:val="0"/>
          <w:sz w:val="16"/>
          <w:szCs w:val="16"/>
        </w:rPr>
        <w:t>12</w:t>
      </w:r>
      <w:r>
        <w:rPr>
          <w:color w:val="000000"/>
          <w:spacing w:val="0"/>
          <w:w w:val="100"/>
          <w:position w:val="0"/>
        </w:rPr>
        <w:t>个月内发生的违约风险的变化作为整个存续期 内发生违约风险变化的合理估计，来确定自初始确认后信用风险是否显著增加。</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以组合为基础评估预期信用风险的组合方法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本集团对信用风险显著不同的金融资产单项评价信用风险，如：与对方存在争议或涉及诉讼、仲裁的应收款项；已有明显迹 象表明债务人很可能无法履行还款义务的应收款项等。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除了单项评估信用风险的金融资产外，本集团基于共同风险特征将金融资产划分为不同的组别，在组合的基础上评估信用风 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金融资产减值的会计处理方法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期末，本集团计算各类金融资产的预计信用损失，如果该预计信用损失大于其当前减值准备的账面金额，将其差额确认为减 </w:t>
      </w:r>
      <w:r>
        <w:rPr>
          <w:color w:val="000000"/>
          <w:spacing w:val="0"/>
          <w:w w:val="100"/>
          <w:position w:val="0"/>
        </w:rPr>
        <w:t>值损失；如果小于当前减值准备的账面金额，则将差额确认为减值利得。</w:t>
      </w:r>
    </w:p>
    <w:p>
      <w:pPr>
        <w:pStyle w:val="Style30"/>
        <w:keepNext w:val="0"/>
        <w:keepLines w:val="0"/>
        <w:widowControl w:val="0"/>
        <w:numPr>
          <w:ilvl w:val="0"/>
          <w:numId w:val="11"/>
        </w:numPr>
        <w:shd w:val="clear" w:color="auto" w:fill="auto"/>
        <w:bidi w:val="0"/>
        <w:spacing w:before="0" w:after="400" w:line="307" w:lineRule="exact"/>
        <w:ind w:left="0" w:right="0" w:firstLine="0"/>
        <w:jc w:val="left"/>
      </w:pPr>
      <w:bookmarkStart w:id="749" w:name="bookmark749"/>
      <w:bookmarkEnd w:id="749"/>
      <w:r>
        <w:rPr>
          <w:color w:val="000000"/>
          <w:spacing w:val="0"/>
          <w:w w:val="100"/>
          <w:position w:val="0"/>
        </w:rPr>
        <w:t>各类金融资产信用损失的确定方法</w:t>
      </w:r>
    </w:p>
    <w:p>
      <w:pPr>
        <w:pStyle w:val="Style33"/>
        <w:keepNext/>
        <w:keepLines/>
        <w:widowControl w:val="0"/>
        <w:shd w:val="clear" w:color="auto" w:fill="auto"/>
        <w:bidi w:val="0"/>
        <w:spacing w:before="0" w:after="4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50"/>
      <w:bookmarkEnd w:id="751"/>
      <w:bookmarkEnd w:id="753"/>
    </w:p>
    <w:p>
      <w:pPr>
        <w:pStyle w:val="Style3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本集团对于应收票据按照相当于整个存续期内的预期信用损失金额计量损失准备。基于应收票据的信用风险特征，将其划分 为不同组合：</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以商业承兑汇票的账龄作为信用风险特征</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54"/>
      <w:bookmarkEnd w:id="755"/>
      <w:bookmarkEnd w:id="757"/>
    </w:p>
    <w:p>
      <w:pPr>
        <w:pStyle w:val="Style39"/>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对于不含重大融资成分的应收款项，本集团按照相当于整个存续期内的预期信用损失金额计量损失准备。</w:t>
      </w:r>
    </w:p>
    <w:p>
      <w:pPr>
        <w:pStyle w:val="Style39"/>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对于包含重大融资成分的应收款项和租赁应收款，本集团选择始终按照相当于存续期内预期信用损失的金额计量损失准备。 除了单项评估信用风险的应收账款外，基于其信用风险特征，将其划分为不同组合：</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758"/>
      <w:bookmarkEnd w:id="759"/>
      <w:bookmarkEnd w:id="761"/>
    </w:p>
    <w:p>
      <w:pPr>
        <w:pStyle w:val="Style30"/>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分类为以公允价值计量且其变动计入其他综合收益的应收票据和应收账款，自取得起期限在一年内（含一年）的部分，列示 为应收款项融资；自取得起期限在一年以上的，列示为其他债权投资。其相关会计政策参见本附注四、</w:t>
      </w:r>
      <w:r>
        <w:rPr>
          <w:color w:val="000000"/>
          <w:spacing w:val="0"/>
          <w:w w:val="100"/>
          <w:position w:val="0"/>
          <w:sz w:val="16"/>
          <w:szCs w:val="16"/>
        </w:rPr>
        <w:t xml:space="preserve">9 </w:t>
      </w:r>
      <w:r>
        <w:rPr>
          <w:color w:val="000000"/>
          <w:spacing w:val="0"/>
          <w:w w:val="100"/>
          <w:position w:val="0"/>
        </w:rPr>
        <w:t>“金融工具”及附 注四、</w:t>
      </w:r>
      <w:r>
        <w:rPr>
          <w:color w:val="000000"/>
          <w:spacing w:val="0"/>
          <w:w w:val="100"/>
          <w:position w:val="0"/>
          <w:sz w:val="16"/>
          <w:szCs w:val="16"/>
        </w:rPr>
        <w:t xml:space="preserve">10 </w:t>
      </w:r>
      <w:r>
        <w:rPr>
          <w:color w:val="000000"/>
          <w:spacing w:val="0"/>
          <w:w w:val="100"/>
          <w:position w:val="0"/>
        </w:rPr>
        <w:t>“金融资产减值”。</w:t>
      </w:r>
    </w:p>
    <w:p>
      <w:pPr>
        <w:pStyle w:val="Style33"/>
        <w:keepNext/>
        <w:keepLines/>
        <w:widowControl w:val="0"/>
        <w:shd w:val="clear" w:color="auto" w:fill="auto"/>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762"/>
      <w:bookmarkEnd w:id="763"/>
      <w:bookmarkEnd w:id="765"/>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本集团依据其他应收款信用风险自初始确认后是否已经显著增加，采用相当于未来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个月内、或整个存续期的预期信用损失 的金额计量减值损失。除了单项评估信用风险的其他应收款外，基于其信用风险特征，将其划分为不同组合：</w:t>
      </w:r>
    </w:p>
    <w:tbl>
      <w:tblPr>
        <w:tblOverlap w:val="never"/>
        <w:jc w:val="left"/>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本组合为应收股利款项</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本组合为应收利息款项</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766"/>
      <w:bookmarkEnd w:id="767"/>
      <w:bookmarkEnd w:id="76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存货的分类</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存货主要包括原材料、库存商品、发出商品、合同履约成本、建造合同形成的已完工未结算资产等。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存货取得和发出的计价方法</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存货在取得时按实际成本计价，存货成本包括采购成本、加工成本和其他成本。领用和发出时按个别认定法计价。</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存货可变现净值的确认和跌价准备的计提方法</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可变现净值是指在日常活动中，存货的估计售价减去至完工时估计将要发生的成本、估计的销售费用以及相关税费后的金额。 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在资产负债表日，存货按照成本与可变现净值孰低计量。当其可变现净值低于成本时，提取存货跌价准备。存货跌价准备按 </w:t>
      </w:r>
      <w:r>
        <w:rPr>
          <w:color w:val="000000"/>
          <w:spacing w:val="0"/>
          <w:w w:val="100"/>
          <w:position w:val="0"/>
        </w:rPr>
        <w:t>单个存货项目的成本高于其可变现净值的差额提取。</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存货的盘存制度为永续盘存制。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低值易耗品和包装物的摊销方法</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低值易耗品于领用时按一次摊销法摊销；包装物于领用时按一次摊销法摊销。</w:t>
      </w:r>
    </w:p>
    <w:p>
      <w:pPr>
        <w:pStyle w:val="Style33"/>
        <w:keepNext/>
        <w:keepLines/>
        <w:widowControl w:val="0"/>
        <w:shd w:val="clear" w:color="auto" w:fill="auto"/>
        <w:bidi w:val="0"/>
        <w:spacing w:before="0" w:after="26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769"/>
      <w:bookmarkEnd w:id="770"/>
      <w:bookmarkEnd w:id="772"/>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合同资产会计政策适用于</w:t>
      </w:r>
      <w:r>
        <w:rPr>
          <w:color w:val="000000"/>
          <w:spacing w:val="0"/>
          <w:w w:val="100"/>
          <w:position w:val="0"/>
          <w:sz w:val="16"/>
          <w:szCs w:val="16"/>
        </w:rPr>
        <w:t>2020</w:t>
      </w:r>
      <w:r>
        <w:rPr>
          <w:color w:val="000000"/>
          <w:spacing w:val="0"/>
          <w:w w:val="100"/>
          <w:position w:val="0"/>
        </w:rPr>
        <w:t>年度及以后。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本公司将客户尚未支付合同对价，但本公司已经依据合同履行了履约义务，且不属于无条件（即仅取决于时间流逝）向客户 收款的权利，在资产负债表中列示为合同资产。同一合同下的合同资产和合同负债以净额列示，不同合同下的合同资产和合 同负债不予抵销。</w:t>
      </w:r>
    </w:p>
    <w:p>
      <w:pPr>
        <w:pStyle w:val="Style30"/>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合同资产预期信用损失的确定方法和会计处理方法参见附注四、</w:t>
      </w:r>
      <w:r>
        <w:rPr>
          <w:color w:val="000000"/>
          <w:spacing w:val="0"/>
          <w:w w:val="100"/>
          <w:position w:val="0"/>
          <w:sz w:val="16"/>
          <w:szCs w:val="16"/>
        </w:rPr>
        <w:t xml:space="preserve">10 </w:t>
      </w:r>
      <w:r>
        <w:rPr>
          <w:color w:val="000000"/>
          <w:spacing w:val="0"/>
          <w:w w:val="100"/>
          <w:position w:val="0"/>
        </w:rPr>
        <w:t>“金融资产减值”。</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对于划分为组合的合同资产，本公司参考历史信用损失经验，结合当前状况以及对未来经济状况的预测，通过违约风险敞口 与整个存续期预期信用损失率，计算预期信用损失。除了单项评估信用风险的合同资产外，基于其信用风险特征，将其划分 为不同组合：</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本组合以合同资产款项性质作为信用风险特征。</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本组合以合同资产款项性质作为信用风险特征。</w:t>
            </w:r>
          </w:p>
        </w:tc>
      </w:tr>
    </w:tbl>
    <w:p>
      <w:pPr>
        <w:widowControl w:val="0"/>
        <w:spacing w:after="299" w:line="1" w:lineRule="exact"/>
      </w:pPr>
    </w:p>
    <w:p>
      <w:pPr>
        <w:pStyle w:val="Style33"/>
        <w:keepNext/>
        <w:keepLines/>
        <w:widowControl w:val="0"/>
        <w:shd w:val="clear" w:color="auto" w:fill="auto"/>
        <w:bidi w:val="0"/>
        <w:spacing w:before="0" w:after="26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773"/>
      <w:bookmarkEnd w:id="774"/>
      <w:bookmarkEnd w:id="776"/>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合同成本会计政策适用于</w:t>
      </w:r>
      <w:r>
        <w:rPr>
          <w:color w:val="000000"/>
          <w:spacing w:val="0"/>
          <w:w w:val="100"/>
          <w:position w:val="0"/>
          <w:sz w:val="16"/>
          <w:szCs w:val="16"/>
        </w:rPr>
        <w:t>2020</w:t>
      </w:r>
      <w:r>
        <w:rPr>
          <w:color w:val="000000"/>
          <w:spacing w:val="0"/>
          <w:w w:val="100"/>
          <w:position w:val="0"/>
        </w:rPr>
        <w:t>年度及以后。</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本集团为取得合同发生的增量成本预期能够收回的，作为合同取得成本确认为一项资产。但是，如果该资产的摊销期限不超 过一年，则在发生时计入当期损益。</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为履行合同发生的成本不属于《企业会计准则第</w:t>
      </w:r>
      <w:r>
        <w:rPr>
          <w:color w:val="000000"/>
          <w:spacing w:val="0"/>
          <w:w w:val="100"/>
          <w:position w:val="0"/>
          <w:sz w:val="16"/>
          <w:szCs w:val="16"/>
        </w:rPr>
        <w:t>14</w:t>
      </w:r>
      <w:r>
        <w:rPr>
          <w:color w:val="000000"/>
          <w:spacing w:val="0"/>
          <w:w w:val="100"/>
          <w:position w:val="0"/>
        </w:rPr>
        <w:t>号一一收入</w:t>
      </w:r>
      <w:r>
        <w:rPr>
          <w:color w:val="000000"/>
          <w:spacing w:val="0"/>
          <w:w w:val="100"/>
          <w:position w:val="0"/>
          <w:sz w:val="16"/>
          <w:szCs w:val="16"/>
        </w:rPr>
        <w:t>（2017</w:t>
      </w:r>
      <w:r>
        <w:rPr>
          <w:color w:val="000000"/>
          <w:spacing w:val="0"/>
          <w:w w:val="100"/>
          <w:position w:val="0"/>
        </w:rPr>
        <w:t>年修订）》之外的其他企业会计准则规范范围且同时满 足下列条件的，作为合同履约成本确认为一项资产：①该成本与一份当前或预期取得的合同直接相关，包括直接人工、直接 材料、制造费用（或类似费用）、明确由客户承担的成本以及仅因该合同而发生的其他成本；②该成本增加了本集团未来用 于履行履约义务的资源；③该成本预期能够收回。</w:t>
      </w:r>
    </w:p>
    <w:p>
      <w:pPr>
        <w:pStyle w:val="Style30"/>
        <w:keepNext w:val="0"/>
        <w:keepLines w:val="0"/>
        <w:widowControl w:val="0"/>
        <w:shd w:val="clear" w:color="auto" w:fill="auto"/>
        <w:bidi w:val="0"/>
        <w:spacing w:before="0" w:after="380" w:line="316" w:lineRule="exact"/>
        <w:ind w:left="0" w:right="0" w:firstLine="0"/>
        <w:jc w:val="both"/>
      </w:pPr>
      <w:r>
        <w:rPr>
          <w:color w:val="000000"/>
          <w:spacing w:val="0"/>
          <w:w w:val="100"/>
          <w:position w:val="0"/>
        </w:rPr>
        <w:t>与合同成本有关的资产采用与该资产相关的商品收入确认相同的基础进行摊销，计入当期损益。</w:t>
      </w:r>
    </w:p>
    <w:p>
      <w:pPr>
        <w:pStyle w:val="Style33"/>
        <w:keepNext/>
        <w:keepLines/>
        <w:widowControl w:val="0"/>
        <w:shd w:val="clear" w:color="auto" w:fill="auto"/>
        <w:tabs>
          <w:tab w:pos="474" w:val="left"/>
        </w:tabs>
        <w:bidi w:val="0"/>
        <w:spacing w:before="0" w:after="38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77"/>
      <w:bookmarkEnd w:id="778"/>
      <w:bookmarkEnd w:id="780"/>
    </w:p>
    <w:p>
      <w:pPr>
        <w:pStyle w:val="Style33"/>
        <w:keepNext/>
        <w:keepLines/>
        <w:widowControl w:val="0"/>
        <w:shd w:val="clear" w:color="auto" w:fill="auto"/>
        <w:tabs>
          <w:tab w:pos="474" w:val="left"/>
        </w:tabs>
        <w:bidi w:val="0"/>
        <w:spacing w:before="0" w:after="38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81"/>
      <w:bookmarkEnd w:id="782"/>
      <w:bookmarkEnd w:id="784"/>
    </w:p>
    <w:p>
      <w:pPr>
        <w:pStyle w:val="Style33"/>
        <w:keepNext/>
        <w:keepLines/>
        <w:widowControl w:val="0"/>
        <w:shd w:val="clear" w:color="auto" w:fill="auto"/>
        <w:tabs>
          <w:tab w:pos="483" w:val="left"/>
        </w:tabs>
        <w:bidi w:val="0"/>
        <w:spacing w:before="0" w:after="38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85"/>
      <w:bookmarkEnd w:id="786"/>
      <w:bookmarkEnd w:id="788"/>
    </w:p>
    <w:p>
      <w:pPr>
        <w:pStyle w:val="Style33"/>
        <w:keepNext/>
        <w:keepLines/>
        <w:widowControl w:val="0"/>
        <w:shd w:val="clear" w:color="auto" w:fill="auto"/>
        <w:tabs>
          <w:tab w:pos="483" w:val="left"/>
        </w:tabs>
        <w:bidi w:val="0"/>
        <w:spacing w:before="0" w:after="3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789"/>
      <w:bookmarkEnd w:id="790"/>
      <w:bookmarkEnd w:id="792"/>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本集团依据其信用风险自初始确认后是否已经显著增加，采用相当于未来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个月内、或整个存续期的预期信用损失的金额计 量长期应收款减值损失。除了单项评估信用风险的长期应收款外，基于其信用风险特征，将其划分为不同组合：</w:t>
      </w:r>
    </w:p>
    <w:tbl>
      <w:tblPr>
        <w:tblOverlap w:val="never"/>
        <w:jc w:val="center"/>
        <w:tblLayout w:type="fixed"/>
      </w:tblPr>
      <w:tblGrid>
        <w:gridCol w:w="3067"/>
        <w:gridCol w:w="6024"/>
      </w:tblGrid>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bl>
    <w:p>
      <w:pPr>
        <w:widowControl w:val="0"/>
        <w:spacing w:line="1" w:lineRule="exact"/>
      </w:pPr>
    </w:p>
    <w:tbl>
      <w:tblPr>
        <w:tblOverlap w:val="never"/>
        <w:jc w:val="center"/>
        <w:tblLayout w:type="fixed"/>
      </w:tblPr>
      <w:tblGrid>
        <w:gridCol w:w="3067"/>
        <w:gridCol w:w="6024"/>
      </w:tblGrid>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超过合同约定收款期年限组合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本组合以长期应收款超过合同约定收款年限作为信用风险特征。</w:t>
            </w:r>
          </w:p>
        </w:tc>
      </w:tr>
    </w:tbl>
    <w:p>
      <w:pPr>
        <w:widowControl w:val="0"/>
        <w:spacing w:after="639" w:line="1" w:lineRule="exact"/>
      </w:pPr>
    </w:p>
    <w:p>
      <w:pPr>
        <w:pStyle w:val="Style33"/>
        <w:keepNext/>
        <w:keepLines/>
        <w:widowControl w:val="0"/>
        <w:shd w:val="clear" w:color="auto" w:fill="auto"/>
        <w:bidi w:val="0"/>
        <w:spacing w:before="0" w:after="26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93"/>
      <w:bookmarkEnd w:id="794"/>
      <w:bookmarkEnd w:id="796"/>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本部分所指的长期股权投资是指本集团对被投资单位具有控制、共同控制或重大影响的长期股权投资。本集团对被投资单位 不具有控制、共同控制或重大影响的长期股权投资，作为以公允价值计量且其变动计入当期损益的金融资产核算，其中如果 属于非交易性的，本集团在初始确认时可选择将其指定为以公允价值计量且其变动计入其他综合收益的金融资产核算，其会 计政策详见附注四、</w:t>
      </w:r>
      <w:r>
        <w:rPr>
          <w:color w:val="000000"/>
          <w:spacing w:val="0"/>
          <w:w w:val="100"/>
          <w:position w:val="0"/>
          <w:sz w:val="16"/>
          <w:szCs w:val="16"/>
        </w:rPr>
        <w:t xml:space="preserve">9 </w:t>
      </w:r>
      <w:r>
        <w:rPr>
          <w:color w:val="000000"/>
          <w:spacing w:val="0"/>
          <w:w w:val="100"/>
          <w:position w:val="0"/>
        </w:rPr>
        <w:t>“金融工具”。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共同控制，是指本集团按照相关约定对某项安排所共有的控制，并且该安排的相关活动必须经过分享控制权的参与方一致同 意后才能决策。重大影响，是指本集团对被投资单位的财务和经营政策有参与决策的权力，但并不能够控制或者与其他方一 起共同控制这些政策的制定。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投资成本的确定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对于同一控制下的企业合并取得的长期股权投资，在合并日按照被合并方所有者权益在最终控制方合并财务报表中的账面价 值的份额作为长期股权投资的初始投资成本。长期股权投资初始投资成本与支付的现金、转让的非现金资产以及所承担债务 账面价值之间的差额，调整资本公积；资本公积不足冲减的，调整留存收益。以发行权益性证券作为合并对价的，在合并日 按照被合并方所有者权益在最终控制方合并财务报表中的账面价值的份额作为长期股权投资的初始投资成本,按照发行股份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的，在合并日按照应享有被合并方所有者权益在最终控制方合并财务报表中的账面价值的份额作为长期股权投资的初始投资 成本，长期股权投资初始投资成本与达到合并前的长期股权投资账面价值加上合并日进一步取得股份新支付对价的账面价值 之和的差额，调整资本公积；资本公积不足冲减的，调整留存收益。合并日之前持有的股权投资因采用权益法核算或作为以 公允价值计量且其变动计入其他综合收益的金融资产而确认的其他综合收益，暂不进行会计处理。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括购买方付出的资产、发生或承担的负债、发行的权益性证券的公允价值之和。通过多次交易分步取得被购买方的股权，最 终形成非同一控制下的企业合并的，应分别是否属于“一揽子交易”进行处理：属于“一揽子交易”的，将各项交易作为一 项取得控制权的交易进行会计处理。不属于“一揽子交易”的，按照原持有被购买方的股权投资账面价值加上新增投资成本 之和，作为改按成本法核算的长期股权投资的初始投资成本。原持有的股权采用权益法核算的，相关其他综合收益暂不进行 会计处理。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照本集团实际支付的现金购买价款、本集团发行的权益性证券的公允价值、投资合同或协议约定的价值、非货币性资产交换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费用、税金及其他必要支出也计入投资成本。对于因追加投资能够对被投资单位实施重大影响或实施共同控制但不构成控制 的，长期股权投资成本为按照《企业会计准则第</w:t>
      </w:r>
      <w:r>
        <w:rPr>
          <w:color w:val="000000"/>
          <w:spacing w:val="0"/>
          <w:w w:val="100"/>
          <w:position w:val="0"/>
          <w:sz w:val="16"/>
          <w:szCs w:val="16"/>
        </w:rPr>
        <w:t>22</w:t>
      </w:r>
      <w:r>
        <w:rPr>
          <w:color w:val="000000"/>
          <w:spacing w:val="0"/>
          <w:w w:val="100"/>
          <w:position w:val="0"/>
        </w:rPr>
        <w:t>号一一金融工具确认和计量》确定的原持有股权投资的公允价值加上新增 投资成本之和。</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30"/>
        <w:keepNext w:val="0"/>
        <w:keepLines w:val="0"/>
        <w:widowControl w:val="0"/>
        <w:numPr>
          <w:ilvl w:val="0"/>
          <w:numId w:val="13"/>
        </w:numPr>
        <w:shd w:val="clear" w:color="auto" w:fill="auto"/>
        <w:bidi w:val="0"/>
        <w:spacing w:before="0" w:after="0" w:line="312" w:lineRule="exact"/>
        <w:ind w:left="0" w:right="0" w:firstLine="0"/>
        <w:jc w:val="both"/>
      </w:pPr>
      <w:bookmarkStart w:id="797" w:name="bookmark797"/>
      <w:bookmarkEnd w:id="797"/>
      <w:r>
        <w:rPr>
          <w:color w:val="000000"/>
          <w:spacing w:val="0"/>
          <w:w w:val="100"/>
          <w:position w:val="0"/>
        </w:rPr>
        <w:t>成本法核算的长期股权投资</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30"/>
        <w:keepNext w:val="0"/>
        <w:keepLines w:val="0"/>
        <w:widowControl w:val="0"/>
        <w:numPr>
          <w:ilvl w:val="0"/>
          <w:numId w:val="13"/>
        </w:numPr>
        <w:shd w:val="clear" w:color="auto" w:fill="auto"/>
        <w:tabs>
          <w:tab w:pos="313" w:val="left"/>
        </w:tabs>
        <w:bidi w:val="0"/>
        <w:spacing w:before="0" w:after="0" w:line="313" w:lineRule="exact"/>
        <w:ind w:left="0" w:right="0" w:firstLine="0"/>
        <w:jc w:val="both"/>
      </w:pPr>
      <w:bookmarkStart w:id="798" w:name="bookmark798"/>
      <w:bookmarkEnd w:id="798"/>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采用权益法核算时，长期股权投资的初始投资成本大于投资时应享有被投资单位可辨认净资产公允价值份额的，不调整长期 股权投资的初始投资成本;初始投资成本小于投资时应享有被投资单位可辨认净资产公允价值份额的，其差额计入当期损益， 同时调整长期股权投资的成本。</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值为基础，对被投资单位的净利润进行调整后确认。被投资单位采用的会计政策及会计期间与本集团不一致的，按照本集团 的会计政策及会计期间对被投资单位的财务报表进行调整，并据以确认投资收益和其他综合收益。对于本集团与联营企业及 合营企业之间发生的交易，投出或出售的资产不构成业务的，未实现内部交易损益按照享有的比例计算归属于本集团的部分 予以抵销，在此基础上确认投资损益。但本集团与被投资单位发生的未实现内部交易损失，属于所转让资产减值损失的，不 予以抵销。本集团向合营企业或联营企业投出的资产构成业务的，投资方因此取得长期股权投资但未取得控制权的，以投出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集团向合营企业或联营企业出售的资产构成业务的，取得的对价与业务的账面价值之差，全额计入当期损益。本集团自联营 企业及合营企业购入的资产构成业务的，按《企业会计准则第</w:t>
      </w:r>
      <w:r>
        <w:rPr>
          <w:color w:val="000000"/>
          <w:spacing w:val="0"/>
          <w:w w:val="100"/>
          <w:position w:val="0"/>
          <w:sz w:val="16"/>
          <w:szCs w:val="16"/>
        </w:rPr>
        <w:t>20</w:t>
      </w:r>
      <w:r>
        <w:rPr>
          <w:color w:val="000000"/>
          <w:spacing w:val="0"/>
          <w:w w:val="100"/>
          <w:position w:val="0"/>
        </w:rPr>
        <w:t>号一一企业合并》的规定进行会计处理，全额确认与交易相 关的利得或损失。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记至零为限。此外，如本集团对被投资单位负有承担额外损失的义务，则按预计承担的义务确认预计负债，计入当期投资损 失。被投资单位以后期间实现净利润的，本集团在收益分享额弥补未确认的亏损分担额后，恢复确认收益分享额。</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对于本集团首次执行新会计准则之前已经持有的对联营企业和合营企业的长期股权投资，如存在与该投资相关的股权投资借 方差额，按原剩余期限直线摊销的金额计入当期损益。</w:t>
      </w:r>
    </w:p>
    <w:p>
      <w:pPr>
        <w:pStyle w:val="Style30"/>
        <w:keepNext w:val="0"/>
        <w:keepLines w:val="0"/>
        <w:widowControl w:val="0"/>
        <w:numPr>
          <w:ilvl w:val="0"/>
          <w:numId w:val="13"/>
        </w:numPr>
        <w:shd w:val="clear" w:color="auto" w:fill="auto"/>
        <w:tabs>
          <w:tab w:pos="313" w:val="left"/>
        </w:tabs>
        <w:bidi w:val="0"/>
        <w:spacing w:before="0" w:after="0" w:line="313" w:lineRule="exact"/>
        <w:ind w:left="0" w:right="0" w:firstLine="0"/>
        <w:jc w:val="both"/>
      </w:pPr>
      <w:bookmarkStart w:id="799" w:name="bookmark799"/>
      <w:bookmarkEnd w:id="799"/>
      <w:r>
        <w:rPr>
          <w:color w:val="000000"/>
          <w:spacing w:val="0"/>
          <w:w w:val="100"/>
          <w:position w:val="0"/>
        </w:rPr>
        <w:t>收购少数股权</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30"/>
        <w:keepNext w:val="0"/>
        <w:keepLines w:val="0"/>
        <w:widowControl w:val="0"/>
        <w:numPr>
          <w:ilvl w:val="0"/>
          <w:numId w:val="13"/>
        </w:numPr>
        <w:shd w:val="clear" w:color="auto" w:fill="auto"/>
        <w:tabs>
          <w:tab w:pos="313" w:val="left"/>
        </w:tabs>
        <w:bidi w:val="0"/>
        <w:spacing w:before="0" w:after="0" w:line="313" w:lineRule="exact"/>
        <w:ind w:left="0" w:right="0" w:firstLine="0"/>
        <w:jc w:val="both"/>
      </w:pPr>
      <w:bookmarkStart w:id="800" w:name="bookmark800"/>
      <w:bookmarkEnd w:id="800"/>
      <w:r>
        <w:rPr>
          <w:color w:val="000000"/>
          <w:spacing w:val="0"/>
          <w:w w:val="100"/>
          <w:position w:val="0"/>
        </w:rPr>
        <w:t>处置长期股权投资</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四、</w:t>
      </w:r>
      <w:r>
        <w:rPr>
          <w:color w:val="000000"/>
          <w:spacing w:val="0"/>
          <w:w w:val="100"/>
          <w:position w:val="0"/>
          <w:sz w:val="16"/>
          <w:szCs w:val="16"/>
        </w:rPr>
        <w:t>5</w:t>
      </w:r>
      <w:r>
        <w:rPr>
          <w:color w:val="000000"/>
          <w:spacing w:val="0"/>
          <w:w w:val="100"/>
          <w:position w:val="0"/>
        </w:rPr>
        <w:t>、“合并财务报表编制的方法”</w:t>
      </w:r>
      <w:r>
        <w:rPr>
          <w:color w:val="000000"/>
          <w:spacing w:val="0"/>
          <w:w w:val="100"/>
          <w:position w:val="0"/>
          <w:sz w:val="16"/>
          <w:szCs w:val="16"/>
        </w:rPr>
        <w:t>（2）</w:t>
      </w:r>
      <w:r>
        <w:rPr>
          <w:color w:val="000000"/>
          <w:spacing w:val="0"/>
          <w:w w:val="100"/>
          <w:position w:val="0"/>
        </w:rPr>
        <w:t>中所述的相关会计政策处理。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其他所有者权益变动按比例结转当期损益。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本集团因处置部分股权投资丧失了对被投资单位的控制的，在编制个别财务报表时，处置后的剩余股权能够对被投资单位实 施共同控制或施加重大影响的，改按权益法核算，并对该剩余股权视同自取得时即采用权益法核算进行调整；处置后的剩余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控制之日的公允价值与账面价值之间的差额计入当期损益。对于本集团取得对被投资单位的控制之前，因采用权益法核算或 金融工具确认和计量准则核算而确认的其他综合收益,在丧失对被投资单位控制时采用与被投资单位直接处置相关资产或负 债相同的基础进行会计处理，因采用权益法核算而确认的被投资单位净资产中除净损益、其他综合收益和利润分配以外的其 他所有者权益变动在丧失对被投资单位控制时结转入当期损益。其中，处置后的剩余股权采用权益法核算的，其他综合收益 </w:t>
      </w:r>
      <w:r>
        <w:rPr>
          <w:color w:val="000000"/>
          <w:spacing w:val="0"/>
          <w:w w:val="100"/>
          <w:position w:val="0"/>
        </w:rPr>
        <w:t>和其他所有者权益按比例结转；处置后的剩余股权改按金融工具确认和计量准则进行会计处理的，其他综合收益和其他所有 者权益全部结转。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本集团因处置部分股权投资丧失了对被投资单位的共同控制或重大影响的,处置后的剩余股权改按金融工具确认和计量准则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投资方除净损益、其他综合收益和利润分配以外的其他所有者权益变动而确认的所有者权益，在终止采用权益法时全部转入 当期投资收益。</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33"/>
        <w:keepNext/>
        <w:keepLines/>
        <w:widowControl w:val="0"/>
        <w:shd w:val="clear" w:color="auto" w:fill="auto"/>
        <w:tabs>
          <w:tab w:pos="461"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01"/>
      <w:bookmarkEnd w:id="802"/>
      <w:bookmarkEnd w:id="804"/>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投资性房地产计量模式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成本法计量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折旧或摊销方法</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的土地使用权、已出租的建筑物等。</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投资性房地产按成本进行初始计量。与投资性房地产有关的后续支出，如果与该资产有关的经济利益很可能流入且其成本能 可靠地计量，则计入投资性房地产成本。其他后续支出，在发生时计入当期损益。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本集团采用成本模式对投资性房地产进行后续计量，并按照与房屋建筑物或土地使用权一致的政策进行折旧或摊销。</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投资性房地产的减值测试方法和减值准备计提方法详见附注四、</w:t>
      </w:r>
      <w:r>
        <w:rPr>
          <w:color w:val="000000"/>
          <w:spacing w:val="0"/>
          <w:w w:val="100"/>
          <w:position w:val="0"/>
          <w:sz w:val="16"/>
          <w:szCs w:val="16"/>
        </w:rPr>
        <w:t xml:space="preserve">21 </w:t>
      </w:r>
      <w:r>
        <w:rPr>
          <w:color w:val="000000"/>
          <w:spacing w:val="0"/>
          <w:w w:val="100"/>
          <w:position w:val="0"/>
        </w:rPr>
        <w:t>“长期资产减值”。</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自用房地产或存货转换为投资性房地产或投资性房地产转换为自用房地产时，按转换前的账面价值作为转换后的入账价值。 投资性房地产的用途改变为自用时，自改变之日起，将该投资性房地产转换为固定资产或无形资产。自用房地产的用途改变 为赚取租金或资本增值时，自改变之日起，将固定资产或无形资产转换为投资性房地产。发生转换时，转换为采用成本模式 计量的投资性房地产的，以转换前的账面价值作为转换后的入账价值；转换为以公允价值模式计量的投资性房地产的，以转 换日的公允价值作为转换后的入账价值。</w:t>
      </w:r>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地产出售、转让、报废或毁损的处置收入扣除其账面价值和相关税费后计入当期损益。</w:t>
      </w:r>
    </w:p>
    <w:p>
      <w:pPr>
        <w:pStyle w:val="Style33"/>
        <w:keepNext/>
        <w:keepLines/>
        <w:widowControl w:val="0"/>
        <w:shd w:val="clear" w:color="auto" w:fill="auto"/>
        <w:tabs>
          <w:tab w:pos="461" w:val="left"/>
        </w:tabs>
        <w:bidi w:val="0"/>
        <w:spacing w:before="0" w:after="3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05"/>
      <w:bookmarkEnd w:id="806"/>
      <w:bookmarkEnd w:id="808"/>
    </w:p>
    <w:p>
      <w:pPr>
        <w:pStyle w:val="Style47"/>
        <w:keepNext/>
        <w:keepLines/>
        <w:widowControl w:val="0"/>
        <w:numPr>
          <w:ilvl w:val="0"/>
          <w:numId w:val="15"/>
        </w:numPr>
        <w:shd w:val="clear" w:color="auto" w:fill="auto"/>
        <w:bidi w:val="0"/>
        <w:spacing w:before="0" w:after="260" w:line="240" w:lineRule="auto"/>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确认条件</w:t>
      </w:r>
      <w:bookmarkEnd w:id="809"/>
      <w:bookmarkEnd w:id="810"/>
      <w:bookmarkEnd w:id="812"/>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其有关的经济利益很可能流入本集团，且其成本能够可靠地计量时才予以确认。固定资产按成本并考虑预计弃置费用因素的 影响进行初始计量。</w:t>
      </w:r>
    </w:p>
    <w:p>
      <w:pPr>
        <w:pStyle w:val="Style47"/>
        <w:keepNext/>
        <w:keepLines/>
        <w:widowControl w:val="0"/>
        <w:numPr>
          <w:ilvl w:val="0"/>
          <w:numId w:val="15"/>
        </w:numPr>
        <w:shd w:val="clear" w:color="auto" w:fill="auto"/>
        <w:bidi w:val="0"/>
        <w:spacing w:before="0" w:after="320" w:line="240" w:lineRule="auto"/>
        <w:ind w:left="0" w:right="0" w:firstLine="140"/>
        <w:jc w:val="left"/>
      </w:pPr>
      <w:bookmarkStart w:id="813" w:name="bookmark813"/>
      <w:bookmarkStart w:id="814" w:name="bookmark814"/>
      <w:bookmarkStart w:id="815" w:name="bookmark815"/>
      <w:bookmarkStart w:id="816" w:name="bookmark816"/>
      <w:bookmarkEnd w:id="815"/>
      <w:r>
        <w:rPr>
          <w:color w:val="000000"/>
          <w:spacing w:val="0"/>
          <w:w w:val="100"/>
          <w:position w:val="0"/>
        </w:rPr>
        <w:t>折旧方法</w:t>
      </w:r>
      <w:bookmarkEnd w:id="813"/>
      <w:bookmarkEnd w:id="814"/>
      <w:bookmarkEnd w:id="81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bl>
    <w:p>
      <w:pPr>
        <w:pStyle w:val="Style30"/>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固定资产从达到预定可使用状态的次月起，采用年限平均法在使用寿命内计提折旧。预计净残值是指假定固定资产预计使用 寿命已满并处于使用寿命终了时的预期状态，本集团目前从该项资产处置中获得的扣除预计处置费用后的金额。固定资产的 减值测试方法和减值准备计提方法详见附注四、</w:t>
      </w:r>
      <w:r>
        <w:rPr>
          <w:color w:val="000000"/>
          <w:spacing w:val="0"/>
          <w:w w:val="100"/>
          <w:position w:val="0"/>
          <w:sz w:val="16"/>
          <w:szCs w:val="16"/>
        </w:rPr>
        <w:t xml:space="preserve">21 </w:t>
      </w:r>
      <w:r>
        <w:rPr>
          <w:color w:val="000000"/>
          <w:spacing w:val="0"/>
          <w:w w:val="100"/>
          <w:position w:val="0"/>
        </w:rPr>
        <w:t>“长期资产减值”。</w:t>
      </w:r>
    </w:p>
    <w:p>
      <w:pPr>
        <w:pStyle w:val="Style47"/>
        <w:keepNext/>
        <w:keepLines/>
        <w:widowControl w:val="0"/>
        <w:shd w:val="clear" w:color="auto" w:fill="auto"/>
        <w:bidi w:val="0"/>
        <w:spacing w:before="0" w:after="28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7"/>
      <w:bookmarkEnd w:id="818"/>
      <w:bookmarkEnd w:id="820"/>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与固定资产有关的后续支出，如果与该固定资产有关的经济利益很可能流入且其成本能可靠地计量，则计入固定资产成本， 并终止确认被替换部分的账面价值。除此以外的其他后续支出，在发生时计入当期损益。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当固定资产处于处置状态或预期通过使用或处置不能产生经济利益时，终止确认该固定资产。固定资产出售、转让、报废或 毁损的处置收入扣除其账面价值和相关税费后的差额计入当期损益。</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本集团至少于年度终了对固定资产的使用寿命、预计净残值和折旧方法进行复核，如发生改变则作为会计估计变更处理。</w:t>
      </w:r>
    </w:p>
    <w:p>
      <w:pPr>
        <w:pStyle w:val="Style33"/>
        <w:keepNext/>
        <w:keepLines/>
        <w:widowControl w:val="0"/>
        <w:shd w:val="clear" w:color="auto" w:fill="auto"/>
        <w:tabs>
          <w:tab w:pos="460"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21"/>
      <w:bookmarkEnd w:id="822"/>
      <w:bookmarkEnd w:id="82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在建工程成本按实际工程支出确定，包括在建期间发生的各项工程支出以及其他相关费用等。在建工程在达到预定可使用状 态后结转为固定资产。</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在建工程的减值测试方法和减值准备计提方法详见附注四、</w:t>
      </w:r>
      <w:r>
        <w:rPr>
          <w:color w:val="000000"/>
          <w:spacing w:val="0"/>
          <w:w w:val="100"/>
          <w:position w:val="0"/>
          <w:sz w:val="16"/>
          <w:szCs w:val="16"/>
        </w:rPr>
        <w:t xml:space="preserve">21 </w:t>
      </w:r>
      <w:r>
        <w:rPr>
          <w:color w:val="000000"/>
          <w:spacing w:val="0"/>
          <w:w w:val="100"/>
          <w:position w:val="0"/>
        </w:rPr>
        <w:t>“长期资产减值”。</w:t>
      </w:r>
    </w:p>
    <w:p>
      <w:pPr>
        <w:pStyle w:val="Style33"/>
        <w:keepNext/>
        <w:keepLines/>
        <w:widowControl w:val="0"/>
        <w:shd w:val="clear" w:color="auto" w:fill="auto"/>
        <w:tabs>
          <w:tab w:pos="460" w:val="left"/>
        </w:tabs>
        <w:bidi w:val="0"/>
        <w:spacing w:before="0" w:after="2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25"/>
      <w:bookmarkEnd w:id="826"/>
      <w:bookmarkEnd w:id="828"/>
    </w:p>
    <w:p>
      <w:pPr>
        <w:pStyle w:val="Style30"/>
        <w:keepNext w:val="0"/>
        <w:keepLines w:val="0"/>
        <w:widowControl w:val="0"/>
        <w:shd w:val="clear" w:color="auto" w:fill="auto"/>
        <w:bidi w:val="0"/>
        <w:spacing w:before="0" w:after="0" w:line="301" w:lineRule="exact"/>
        <w:ind w:left="0" w:right="0" w:firstLine="0"/>
        <w:jc w:val="both"/>
      </w:pPr>
      <w:r>
        <w:rPr>
          <w:color w:val="000000"/>
          <w:spacing w:val="0"/>
          <w:w w:val="100"/>
          <w:position w:val="0"/>
        </w:rPr>
        <w:t>借款费用包括借款利息、折价或溢价的摊销、辅助费用以及因外币借款而发生的汇兑差额等。可直接归属于符合资本化条件 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时，停止资本化。其余借款费用在发生当期确认为费用。</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6"/>
          <w:szCs w:val="16"/>
        </w:rPr>
        <w:t>3</w:t>
      </w:r>
      <w:r>
        <w:rPr>
          <w:color w:val="000000"/>
          <w:spacing w:val="0"/>
          <w:w w:val="100"/>
          <w:position w:val="0"/>
        </w:rPr>
        <w:t>个月的，暂停借款费用的资本化， 直至资产的购建或生产活动重新开始。</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29"/>
      <w:bookmarkEnd w:id="830"/>
      <w:bookmarkEnd w:id="832"/>
    </w:p>
    <w:p>
      <w:pPr>
        <w:pStyle w:val="Style33"/>
        <w:keepNext/>
        <w:keepLines/>
        <w:widowControl w:val="0"/>
        <w:shd w:val="clear" w:color="auto" w:fill="auto"/>
        <w:tabs>
          <w:tab w:pos="483" w:val="left"/>
        </w:tabs>
        <w:bidi w:val="0"/>
        <w:spacing w:before="0" w:after="3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33"/>
      <w:bookmarkEnd w:id="834"/>
      <w:bookmarkEnd w:id="836"/>
    </w:p>
    <w:p>
      <w:pPr>
        <w:pStyle w:val="Style33"/>
        <w:keepNext/>
        <w:keepLines/>
        <w:widowControl w:val="0"/>
        <w:shd w:val="clear" w:color="auto" w:fill="auto"/>
        <w:tabs>
          <w:tab w:pos="483" w:val="left"/>
        </w:tabs>
        <w:bidi w:val="0"/>
        <w:spacing w:before="0" w:after="3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37"/>
      <w:bookmarkEnd w:id="838"/>
      <w:bookmarkEnd w:id="840"/>
    </w:p>
    <w:p>
      <w:pPr>
        <w:pStyle w:val="Style33"/>
        <w:keepNext/>
        <w:keepLines/>
        <w:widowControl w:val="0"/>
        <w:shd w:val="clear" w:color="auto" w:fill="auto"/>
        <w:tabs>
          <w:tab w:pos="483"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1"/>
      <w:bookmarkEnd w:id="842"/>
      <w:bookmarkEnd w:id="844"/>
    </w:p>
    <w:p>
      <w:pPr>
        <w:pStyle w:val="Style47"/>
        <w:keepNext/>
        <w:keepLines/>
        <w:widowControl w:val="0"/>
        <w:shd w:val="clear" w:color="auto" w:fill="auto"/>
        <w:bidi w:val="0"/>
        <w:spacing w:before="0" w:after="26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5"/>
      <w:bookmarkEnd w:id="846"/>
      <w:bookmarkEnd w:id="848"/>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无形资产是指本集团拥有或者控制的没有实物形态的可辨认非货币性资产。</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无形资产按成本进行初始计量。与无形资产有关的支出，如果相关的经济利益很可能流入本集团且其成本能可靠地计量，则 计入无形资产成本。除此以外的其他项目的支出，在发生时计入当期损益。</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取得的土地使用权通常作为无形资产核算。自行开发建造厂房等建筑物，相关的土地使用权支出和建筑物建造成本则分别作 为无形资产和固定资产核算。如为外购的房屋及建筑物，则将有关价款在土地使用权和建筑物之间进行分配，难以合理分配 的，全部作为固定资产处理。</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使用寿命有限的无形资产自可供使用时起，对其原值在其预计使用寿命内采用直线法分期平均摊销。使用寿命不确定的无形 资产不予摊销。</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其中，知识产权类无形资产项目的使用寿命及摊销方法如下：</w:t>
      </w:r>
    </w:p>
    <w:tbl>
      <w:tblPr>
        <w:tblOverlap w:val="never"/>
        <w:jc w:val="center"/>
        <w:tblLayout w:type="fixed"/>
      </w:tblPr>
      <w:tblGrid>
        <w:gridCol w:w="2558"/>
        <w:gridCol w:w="1704"/>
        <w:gridCol w:w="4968"/>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30"/>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47"/>
        <w:keepNext/>
        <w:keepLines/>
        <w:widowControl w:val="0"/>
        <w:shd w:val="clear" w:color="auto" w:fill="auto"/>
        <w:bidi w:val="0"/>
        <w:spacing w:before="0" w:after="26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9"/>
      <w:bookmarkEnd w:id="850"/>
      <w:bookmarkEnd w:id="852"/>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本集团内部研究开发项目的支出分为研究阶段支出与开发阶段支出。 研究阶段的支出，于发生时计入当期损益。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53" w:name="bookmark853"/>
      <w:bookmarkEnd w:id="853"/>
      <w:r>
        <w:rPr>
          <w:color w:val="000000"/>
          <w:spacing w:val="0"/>
          <w:w w:val="100"/>
          <w:position w:val="0"/>
        </w:rPr>
        <w:t>完成该无形资产以使其能够使用或出售在技术上具有可行性；</w:t>
      </w:r>
    </w:p>
    <w:p>
      <w:pPr>
        <w:pStyle w:val="Style30"/>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54" w:name="bookmark854"/>
      <w:bookmarkEnd w:id="854"/>
      <w:r>
        <w:rPr>
          <w:color w:val="000000"/>
          <w:spacing w:val="0"/>
          <w:w w:val="100"/>
          <w:position w:val="0"/>
        </w:rPr>
        <w:t>具有完成该无形资产并使用或出售的意图；</w:t>
      </w:r>
    </w:p>
    <w:p>
      <w:pPr>
        <w:pStyle w:val="Style30"/>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55" w:name="bookmark855"/>
      <w:bookmarkEnd w:id="855"/>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30"/>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56" w:name="bookmark856"/>
      <w:bookmarkEnd w:id="856"/>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57" w:name="bookmark857"/>
      <w:bookmarkEnd w:id="857"/>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无法区分研究阶段支出和开发阶段支出的，将发生的研发支出全部计入当期损益。 无形资产的减值测试方法及减值准备计提方法</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无形资产的减值测试方法和减值准备计提方法详见附注四、</w:t>
      </w:r>
      <w:r>
        <w:rPr>
          <w:color w:val="000000"/>
          <w:spacing w:val="0"/>
          <w:w w:val="100"/>
          <w:position w:val="0"/>
          <w:sz w:val="16"/>
          <w:szCs w:val="16"/>
        </w:rPr>
        <w:t xml:space="preserve">21 </w:t>
      </w:r>
      <w:r>
        <w:rPr>
          <w:color w:val="000000"/>
          <w:spacing w:val="0"/>
          <w:w w:val="100"/>
          <w:position w:val="0"/>
        </w:rPr>
        <w:t>“长期资产减值”。</w:t>
      </w:r>
    </w:p>
    <w:p>
      <w:pPr>
        <w:pStyle w:val="Style33"/>
        <w:keepNext/>
        <w:keepLines/>
        <w:widowControl w:val="0"/>
        <w:shd w:val="clear" w:color="auto" w:fill="auto"/>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3</w:t>
      </w:r>
      <w:bookmarkEnd w:id="86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58"/>
      <w:bookmarkEnd w:id="859"/>
      <w:bookmarkEnd w:id="861"/>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对于固定资产、在建工程、使用寿命有限的无形资产、以成本模式计量的投资性房地产及对子公司、合营企业、联营企业的 长期股权投资等非流动非金融资产，本集团于资产负债表日判断是否存在减值迹象。如存在减值迹象的，则估计其可收回金 </w:t>
      </w:r>
      <w:r>
        <w:rPr>
          <w:color w:val="000000"/>
          <w:spacing w:val="0"/>
          <w:w w:val="100"/>
          <w:position w:val="0"/>
        </w:rPr>
        <w:t>额，进行减值测试。商誉、使用寿命不确定的无形资产和尚未达到可使用状态的无形资产，无论是否存在减值迹象，每年均 进行减值测试。</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在财务报表中单独列示的商誉，在进行减值测试时，将商誉的账面价值分摊至预期从企业合并的协同效应中受益的资产组或 资产组组合。测试结果表明包含分摊的商誉的资产组或资产组组合的可收回金额低于其账面价值的，确认相应的减值损失。 减值损失金额先抵减分摊至该资产组或资产组组合的商誉的账面价值，再根据资产组或资产组组合中除商誉以外的其他各项 资产的账面价值所占比重，按比例抵减其他各项资产的账面价值。</w:t>
      </w:r>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57" w:val="left"/>
        </w:tabs>
        <w:bidi w:val="0"/>
        <w:spacing w:before="0" w:after="2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62"/>
      <w:bookmarkEnd w:id="863"/>
      <w:bookmarkEnd w:id="865"/>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长期待摊费用为已经发生但应由报告期和以后各期负担的分摊期限在一年以上的各项费用。本公司的长期待摊费用主要包括 装修费等。长期待摊费用在预计受益期间按直线法摊销。</w:t>
      </w:r>
    </w:p>
    <w:p>
      <w:pPr>
        <w:pStyle w:val="Style33"/>
        <w:keepNext/>
        <w:keepLines/>
        <w:widowControl w:val="0"/>
        <w:shd w:val="clear" w:color="auto" w:fill="auto"/>
        <w:tabs>
          <w:tab w:pos="457" w:val="left"/>
        </w:tabs>
        <w:bidi w:val="0"/>
        <w:spacing w:before="0" w:after="28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3</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66"/>
      <w:bookmarkEnd w:id="867"/>
      <w:bookmarkEnd w:id="869"/>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合同负债会计政策适用于</w:t>
      </w:r>
      <w:r>
        <w:rPr>
          <w:color w:val="000000"/>
          <w:spacing w:val="0"/>
          <w:w w:val="100"/>
          <w:position w:val="0"/>
          <w:sz w:val="16"/>
          <w:szCs w:val="16"/>
        </w:rPr>
        <w:t>2020</w:t>
      </w:r>
      <w:r>
        <w:rPr>
          <w:color w:val="000000"/>
          <w:spacing w:val="0"/>
          <w:w w:val="100"/>
          <w:position w:val="0"/>
        </w:rPr>
        <w:t>年度及以后。</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合同负债，是指本公司已收或应收客户对价而应向客户转让商品的义务。如果在本公司向客户转让商品之前，客户已经支付 了合同对价或本公司已经取得了无条件收款权，本公司在客户实际支付款项和到期应支付款项孰早时点，将该已收或应收款 项列示为合同负债。同一合同下的合同资产和合同负债以净额列示，不同合同下的合同资产和合同负债不予抵销。</w:t>
      </w:r>
    </w:p>
    <w:p>
      <w:pPr>
        <w:pStyle w:val="Style33"/>
        <w:keepNext/>
        <w:keepLines/>
        <w:widowControl w:val="0"/>
        <w:shd w:val="clear" w:color="auto" w:fill="auto"/>
        <w:tabs>
          <w:tab w:pos="457" w:val="left"/>
        </w:tabs>
        <w:bidi w:val="0"/>
        <w:spacing w:before="0" w:after="38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3</w:t>
      </w:r>
      <w:bookmarkEnd w:id="87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0"/>
      <w:bookmarkEnd w:id="871"/>
      <w:bookmarkEnd w:id="873"/>
    </w:p>
    <w:p>
      <w:pPr>
        <w:pStyle w:val="Style47"/>
        <w:keepNext/>
        <w:keepLines/>
        <w:widowControl w:val="0"/>
        <w:shd w:val="clear" w:color="auto" w:fill="auto"/>
        <w:tabs>
          <w:tab w:pos="467" w:val="left"/>
        </w:tabs>
        <w:bidi w:val="0"/>
        <w:spacing w:before="0" w:after="280" w:line="240" w:lineRule="auto"/>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4"/>
      <w:bookmarkEnd w:id="875"/>
      <w:bookmarkEnd w:id="877"/>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本集团职工薪酬主要包括短期职工薪酬、离职后福利、辞退福利。其中：</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短期薪酬主要包括工资、奖金、津贴和补贴、职工福利费、医疗保险费、生育保险费、工伤保险费、住房公积金、工会经费 和职工教育经费、非货币性福利等。本集团在职工为本集团提供服务的会计期间将实际发生的短期职工薪酬确认为负债，并 计入当期损益或相关资产成本。其中非货币性福利按公允价值计量。</w:t>
      </w:r>
    </w:p>
    <w:p>
      <w:pPr>
        <w:pStyle w:val="Style47"/>
        <w:keepNext/>
        <w:keepLines/>
        <w:widowControl w:val="0"/>
        <w:shd w:val="clear" w:color="auto" w:fill="auto"/>
        <w:tabs>
          <w:tab w:pos="467" w:val="left"/>
        </w:tabs>
        <w:bidi w:val="0"/>
        <w:spacing w:before="0" w:after="280" w:line="240" w:lineRule="auto"/>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8"/>
      <w:bookmarkEnd w:id="879"/>
      <w:bookmarkEnd w:id="881"/>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离职后福利主要包括基本养老保险、失业保险。离职后福利计划包括设定提存计划。采用设定提存计划的，相应的应缴存金 额于发生时计入相关资产成本或当期损益。</w:t>
      </w:r>
    </w:p>
    <w:p>
      <w:pPr>
        <w:pStyle w:val="Style47"/>
        <w:keepNext/>
        <w:keepLines/>
        <w:widowControl w:val="0"/>
        <w:shd w:val="clear" w:color="auto" w:fill="auto"/>
        <w:tabs>
          <w:tab w:pos="467" w:val="left"/>
        </w:tabs>
        <w:bidi w:val="0"/>
        <w:spacing w:before="0" w:after="280" w:line="240" w:lineRule="auto"/>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2"/>
      <w:bookmarkEnd w:id="883"/>
      <w:bookmarkEnd w:id="885"/>
    </w:p>
    <w:p>
      <w:pPr>
        <w:pStyle w:val="Style30"/>
        <w:keepNext w:val="0"/>
        <w:keepLines w:val="0"/>
        <w:widowControl w:val="0"/>
        <w:shd w:val="clear" w:color="auto" w:fill="auto"/>
        <w:bidi w:val="0"/>
        <w:spacing w:before="0" w:after="380" w:line="311" w:lineRule="exact"/>
        <w:ind w:left="0" w:right="0" w:firstLine="0"/>
        <w:jc w:val="both"/>
      </w:pPr>
      <w:r>
        <w:rPr>
          <w:color w:val="000000"/>
          <w:spacing w:val="0"/>
          <w:w w:val="100"/>
          <w:position w:val="0"/>
        </w:rPr>
        <w:t xml:space="preserve">在职工劳动合同到期之前解除与职工的劳动关系，或为鼓励职工自愿接受裁减而提出给予补偿的建议，在本集团不能单方面 </w:t>
      </w:r>
      <w:r>
        <w:rPr>
          <w:color w:val="000000"/>
          <w:spacing w:val="0"/>
          <w:w w:val="100"/>
          <w:position w:val="0"/>
        </w:rPr>
        <w:t>撤回因解除劳动关系计划或裁减建议所提供的辞退福利时，和本集团确认与涉及支付辞退福利的重组相关的成本两者孰早日, 确认辞退福利产生的职工薪酬负债，并计入当期损益。但辞退福利预期在年度报告期结束后十二个月不能完全支付的，按照 其他长期职工薪酬处理。</w:t>
      </w:r>
    </w:p>
    <w:p>
      <w:pPr>
        <w:pStyle w:val="Style47"/>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86"/>
      <w:bookmarkEnd w:id="887"/>
      <w:bookmarkEnd w:id="88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职工内部退休计划采用与上述辞退福利相同的原则处理。本集团将自职工停止提供服务日至正常退休日的期间拟支付的内退 人员工资和缴纳的社会保险费等，在符合预计负债确认条件时，计入当期损益（辞退福利）。</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本集团向职工提供的其他长期职工福利，符合设定提存计划的，按照设定提存计划进行会计处理，除此之外按照设定受益计 划进行会计处理。</w:t>
      </w:r>
    </w:p>
    <w:p>
      <w:pPr>
        <w:pStyle w:val="Style33"/>
        <w:keepNext/>
        <w:keepLines/>
        <w:widowControl w:val="0"/>
        <w:shd w:val="clear" w:color="auto" w:fill="auto"/>
        <w:tabs>
          <w:tab w:pos="479" w:val="left"/>
        </w:tabs>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890"/>
      <w:bookmarkEnd w:id="891"/>
      <w:bookmarkEnd w:id="893"/>
    </w:p>
    <w:p>
      <w:pPr>
        <w:pStyle w:val="Style33"/>
        <w:keepNext/>
        <w:keepLines/>
        <w:widowControl w:val="0"/>
        <w:shd w:val="clear" w:color="auto" w:fill="auto"/>
        <w:tabs>
          <w:tab w:pos="479"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894"/>
      <w:bookmarkEnd w:id="895"/>
      <w:bookmarkEnd w:id="89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当与或有事项相关的义务同时符合以下条件，确认为预计负债：</w:t>
      </w:r>
      <w:r>
        <w:rPr>
          <w:color w:val="000000"/>
          <w:spacing w:val="0"/>
          <w:w w:val="100"/>
          <w:position w:val="0"/>
          <w:sz w:val="16"/>
          <w:szCs w:val="16"/>
        </w:rPr>
        <w:t>（1）</w:t>
      </w:r>
      <w:r>
        <w:rPr>
          <w:color w:val="000000"/>
          <w:spacing w:val="0"/>
          <w:w w:val="100"/>
          <w:position w:val="0"/>
        </w:rPr>
        <w:t>该义务是本集团承担的现时义务；</w:t>
      </w:r>
      <w:r>
        <w:rPr>
          <w:color w:val="000000"/>
          <w:spacing w:val="0"/>
          <w:w w:val="100"/>
          <w:position w:val="0"/>
          <w:sz w:val="16"/>
          <w:szCs w:val="16"/>
        </w:rPr>
        <w:t>（2）</w:t>
      </w:r>
      <w:r>
        <w:rPr>
          <w:color w:val="000000"/>
          <w:spacing w:val="0"/>
          <w:w w:val="100"/>
          <w:position w:val="0"/>
        </w:rPr>
        <w:t>履行该义务很 可能导致经济利益流出；</w:t>
      </w:r>
      <w:r>
        <w:rPr>
          <w:color w:val="000000"/>
          <w:spacing w:val="0"/>
          <w:w w:val="100"/>
          <w:position w:val="0"/>
          <w:sz w:val="16"/>
          <w:szCs w:val="16"/>
        </w:rPr>
        <w:t>（3）</w:t>
      </w:r>
      <w:r>
        <w:rPr>
          <w:color w:val="000000"/>
          <w:spacing w:val="0"/>
          <w:w w:val="100"/>
          <w:position w:val="0"/>
        </w:rPr>
        <w:t>该义务的金额能够可靠地计量。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在资产负债表日，考虑与或有事项有关的风险、不确定性和货币时间价值等因素，按照履行相关现时义务所需支出的最佳估 计数对预计负债进行计量。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30"/>
        <w:keepNext w:val="0"/>
        <w:keepLines w:val="0"/>
        <w:widowControl w:val="0"/>
        <w:shd w:val="clear" w:color="auto" w:fill="auto"/>
        <w:tabs>
          <w:tab w:pos="441" w:val="left"/>
        </w:tabs>
        <w:bidi w:val="0"/>
        <w:spacing w:before="0" w:after="0" w:line="312" w:lineRule="exact"/>
        <w:ind w:left="0" w:right="0" w:firstLine="0"/>
        <w:jc w:val="left"/>
      </w:pPr>
      <w:bookmarkStart w:id="898" w:name="bookmark898"/>
      <w:r>
        <w:rPr>
          <w:color w:val="000000"/>
          <w:spacing w:val="0"/>
          <w:w w:val="100"/>
          <w:position w:val="0"/>
          <w:sz w:val="16"/>
          <w:szCs w:val="16"/>
        </w:rPr>
        <w:t>（</w:t>
      </w:r>
      <w:bookmarkEnd w:id="898"/>
      <w:r>
        <w:rPr>
          <w:color w:val="000000"/>
          <w:spacing w:val="0"/>
          <w:w w:val="100"/>
          <w:position w:val="0"/>
          <w:sz w:val="16"/>
          <w:szCs w:val="16"/>
        </w:rPr>
        <w:t>1）</w:t>
        <w:tab/>
      </w:r>
      <w:r>
        <w:rPr>
          <w:color w:val="000000"/>
          <w:spacing w:val="0"/>
          <w:w w:val="100"/>
          <w:position w:val="0"/>
        </w:rPr>
        <w:t>亏损合同</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亏损合同是履行合同义务不可避免会发生的成本超过预期经济利益的合同。待执行合同变成亏损合同，且该亏损合同产生的 义务满足上述预计负债的确认条件的，将合同预计损失超过合同标的资产已确认的减值损失（如有）的部分，确认为预计负 债。</w:t>
      </w:r>
    </w:p>
    <w:p>
      <w:pPr>
        <w:pStyle w:val="Style30"/>
        <w:keepNext w:val="0"/>
        <w:keepLines w:val="0"/>
        <w:widowControl w:val="0"/>
        <w:shd w:val="clear" w:color="auto" w:fill="auto"/>
        <w:tabs>
          <w:tab w:pos="441" w:val="left"/>
        </w:tabs>
        <w:bidi w:val="0"/>
        <w:spacing w:before="0" w:after="0" w:line="317" w:lineRule="exact"/>
        <w:ind w:left="0" w:right="0" w:firstLine="0"/>
        <w:jc w:val="left"/>
      </w:pPr>
      <w:bookmarkStart w:id="899" w:name="bookmark899"/>
      <w:r>
        <w:rPr>
          <w:color w:val="000000"/>
          <w:spacing w:val="0"/>
          <w:w w:val="100"/>
          <w:position w:val="0"/>
          <w:sz w:val="16"/>
          <w:szCs w:val="16"/>
        </w:rPr>
        <w:t>（</w:t>
      </w:r>
      <w:bookmarkEnd w:id="899"/>
      <w:r>
        <w:rPr>
          <w:color w:val="000000"/>
          <w:spacing w:val="0"/>
          <w:w w:val="100"/>
          <w:position w:val="0"/>
          <w:sz w:val="16"/>
          <w:szCs w:val="16"/>
        </w:rPr>
        <w:t>2）</w:t>
        <w:tab/>
      </w:r>
      <w:r>
        <w:rPr>
          <w:color w:val="000000"/>
          <w:spacing w:val="0"/>
          <w:w w:val="100"/>
          <w:position w:val="0"/>
        </w:rPr>
        <w:t>重组义务</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对于有详细、正式并且已经对外公告的重组计划，在满足前述预计负债的确认条件的情况下，按照与重组有关的直接支出确 定预计负债金额。</w:t>
      </w:r>
    </w:p>
    <w:p>
      <w:pPr>
        <w:pStyle w:val="Style33"/>
        <w:keepNext/>
        <w:keepLines/>
        <w:widowControl w:val="0"/>
        <w:shd w:val="clear" w:color="auto" w:fill="auto"/>
        <w:tabs>
          <w:tab w:pos="479"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00"/>
      <w:bookmarkEnd w:id="901"/>
      <w:bookmarkEnd w:id="903"/>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股份支付的会计处理方法</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股份支付是为了获取职工或其他方提供服务而授予权益工具或者承担以权益工具为基础确定的负债的交易。股份支付分为以 权益结算的股份支付和以现金结算的股份支付。</w:t>
      </w:r>
    </w:p>
    <w:p>
      <w:pPr>
        <w:pStyle w:val="Style30"/>
        <w:keepNext w:val="0"/>
        <w:keepLines w:val="0"/>
        <w:widowControl w:val="0"/>
        <w:numPr>
          <w:ilvl w:val="0"/>
          <w:numId w:val="19"/>
        </w:numPr>
        <w:shd w:val="clear" w:color="auto" w:fill="auto"/>
        <w:tabs>
          <w:tab w:pos="369" w:val="left"/>
        </w:tabs>
        <w:bidi w:val="0"/>
        <w:spacing w:before="0" w:after="0" w:line="312" w:lineRule="exact"/>
        <w:ind w:left="0" w:right="0" w:firstLine="0"/>
        <w:jc w:val="left"/>
      </w:pPr>
      <w:bookmarkStart w:id="904" w:name="bookmark904"/>
      <w:bookmarkEnd w:id="904"/>
      <w:r>
        <w:rPr>
          <w:color w:val="000000"/>
          <w:spacing w:val="0"/>
          <w:w w:val="100"/>
          <w:position w:val="0"/>
        </w:rPr>
        <w:t>以权益结算的股份支付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用以换取职工提供的服务的权益结算的股份支付，以授予职工权益工具在授予日的公允价值计量。该公允价值的金额在完成 等待期内的服务或达到规定业绩条件才可行权的情况下，在等待期内以对可行权权益工具数量的最佳估计为基础，按直线法 计算计入相关成本或费用/在授予后立即可行权时，在授予日计入相关成本或费用，相应增加资本公积。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在等待期内每个资产负债表日，本集团根据最新取得的可行权职工人数变动等后续信息做出最佳估计，修正预计可行权的权 益工具数量。上述估计的影响计入当期相关成本或费用，并相应调整资本公积。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用以换取其他方服务的权益结算的股份支付，如果其他方服务的公允价值能够可靠计量，按照其他方服务在取得日的公允价 值计量，如果其他方服务的公允价值不能可靠计量，但权益工具的公允价值能够可靠计量的，按照权益工具在服务取得日的 公允价值计量，计入相关成本或费用，相应增加股东权益。</w:t>
      </w:r>
    </w:p>
    <w:p>
      <w:pPr>
        <w:pStyle w:val="Style30"/>
        <w:keepNext w:val="0"/>
        <w:keepLines w:val="0"/>
        <w:widowControl w:val="0"/>
        <w:numPr>
          <w:ilvl w:val="0"/>
          <w:numId w:val="19"/>
        </w:numPr>
        <w:shd w:val="clear" w:color="auto" w:fill="auto"/>
        <w:tabs>
          <w:tab w:pos="369" w:val="left"/>
        </w:tabs>
        <w:bidi w:val="0"/>
        <w:spacing w:before="0" w:after="0" w:line="312" w:lineRule="exact"/>
        <w:ind w:left="0" w:right="0" w:firstLine="0"/>
        <w:jc w:val="left"/>
      </w:pPr>
      <w:bookmarkStart w:id="905" w:name="bookmark905"/>
      <w:bookmarkEnd w:id="905"/>
      <w:r>
        <w:rPr>
          <w:color w:val="000000"/>
          <w:spacing w:val="0"/>
          <w:w w:val="100"/>
          <w:position w:val="0"/>
        </w:rPr>
        <w:t>以现金结算的股份支付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以现金结算的股份支付,按照本集团承担的以股份或其他权益工具为基础确定的负债的公允价值计量。如授予后立即可行权， </w:t>
      </w:r>
      <w:r>
        <w:rPr>
          <w:color w:val="000000"/>
          <w:spacing w:val="0"/>
          <w:w w:val="100"/>
          <w:position w:val="0"/>
        </w:rPr>
        <w:t>在授予日计入相关成本或费用，相应增加负债；如须完成等待期内的服务或达到规定业绩条件以后才可行权，在等待期的每 个资产负债表日，以对可行权情况的最佳估计为基础，按照本集团承担负债的公允价值金额，将当期取得的服务计入成本或 费用，相应增加负债。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在相关负债结算前的每个资产负债表日以及结算日，对负债的公允价值重新计量，其变动计入当期损益。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修改、终止股份支付计划的相关会计处理</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本集团对股份支付计划进行修改时，若修改增加了所授予权益工具的公允价值，按照权益工具公允价值的增加相应确认取得 服务的增加。权益工具公允价值的增加是指修改前后的权益工具在修改日的公允价值之间的差额。若修改减少了股份支付公 允价值总额或采用了其他不利于职工的方式，则仍继续对取得的服务进行会计处理，视同该变更从未发生，除非本集团取消 了部分或全部已授予的权益工具。</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在等待期内，如果取消了授予的权益工具，本集团对取消所授予的权益性工具作为加速行权处理，将剩余等待期内应确认的 金额立即计入当期损益，同时确认资本公积。职工或其他方能够选择满足非可行权条件但在等待期内未满足的，本集团将其 作为授予权益工具的取消处理。</w:t>
      </w:r>
    </w:p>
    <w:p>
      <w:pPr>
        <w:pStyle w:val="Style33"/>
        <w:keepNext/>
        <w:keepLines/>
        <w:widowControl w:val="0"/>
        <w:shd w:val="clear" w:color="auto" w:fill="auto"/>
        <w:tabs>
          <w:tab w:pos="448" w:val="left"/>
        </w:tabs>
        <w:bidi w:val="0"/>
        <w:spacing w:before="0" w:after="38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06"/>
      <w:bookmarkEnd w:id="907"/>
      <w:bookmarkEnd w:id="909"/>
    </w:p>
    <w:p>
      <w:pPr>
        <w:pStyle w:val="Style33"/>
        <w:keepNext/>
        <w:keepLines/>
        <w:widowControl w:val="0"/>
        <w:shd w:val="clear" w:color="auto" w:fill="auto"/>
        <w:tabs>
          <w:tab w:pos="448" w:val="left"/>
        </w:tabs>
        <w:bidi w:val="0"/>
        <w:spacing w:before="0" w:after="2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10"/>
      <w:bookmarkEnd w:id="911"/>
      <w:bookmarkEnd w:id="913"/>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以下收入会计政策适用于</w:t>
      </w:r>
      <w:r>
        <w:rPr>
          <w:color w:val="000000"/>
          <w:spacing w:val="0"/>
          <w:w w:val="100"/>
          <w:position w:val="0"/>
          <w:sz w:val="16"/>
          <w:szCs w:val="16"/>
        </w:rPr>
        <w:t>2020</w:t>
      </w:r>
      <w:r>
        <w:rPr>
          <w:color w:val="000000"/>
          <w:spacing w:val="0"/>
          <w:w w:val="100"/>
          <w:position w:val="0"/>
        </w:rPr>
        <w:t>年度及以后：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本公司与客户之间的合同同时满足下列条件时，在客户取得相关商品控制权时确认收入：合同各方已批准该合同并承诺将履 行各自义务;合同明确了合同各方与所转让商品或提供劳务相关的权利和义务;合同有明确的与所转让商品相关的支付条款； 合同具有商业实质，即履行该合同将改变本公司未来现金流量的风险、时间分布或金额；本公司因向客户转让商品而有权取 得的对价很可能收回。</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在合同开始日，本公司识别合同中存在的各单项履约义务，并将交易价格按照各单项履约义务所承诺商品的单独售价的相对 比例分摊至各单项履约义务。在确定交易价格时考虑了可变对价、合同中存在的重大融资成分、非现金对价、应付客户对价 等因素的影响。</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对于合同中的每个单项履约义务，如果满足下列条件之一的，本公司在相关履约时段内按照履约进度将分摊至该单项履约义 务的交易价格确认为收入：客户在本公司履约的同时即取得并消耗本公司履约所带来的经济利益；客户能够控制本公司履约 过程中在建的商品；本公司履约过程中所产出的商品具有不可替代用途，且本公司在整个合同期间内有权就累计至今已完成 的履约部分收取款项。履约进度根据所转让商品的性质采用投入法或产出法确定，当履约进度不能合理确定时，本公司已经 发生的成本预计能够得到补偿的，按照已经发生的成本金额确认收入，直到履约进度能够合理确定为止。</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如果不满足上述条件之一，则本公司在客户取得相关商品控制权的时点将分摊至该单项履约义务的交易价格确认收入。在判 断客户是否已取得商品控制权时，本公司考虑下列迹象：企业就该商品享有现时收款权利，即客户就该商品负有现时付款义 务；企业已将该商品的法定所有权转移给客户，即客户已拥有该商品的法定所有权；企业已将该商品实物转移给客户，即客 户已实物占有该商品；企业已将该商品所有权上的主要风险和报酬转移给客户，即客户已取得该商品所有权上的主要风险和 报酬；客户已接受该商品；其他表明客户已取得商品控制权的迹象。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商品销售收入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本公司与客户之间的销售商品合同属于在某一时点履行履约义务。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公司系统集成类产品的销售包括为客户提供方案设计、设备安装、调试及系统试运行等配套服务，经验收合格后确认销售收 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其他一般销售商品收入，于发货经客户签收时确认收入。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提供劳务收入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本公司与客户之间的提供劳务收入合同属于在某一时段履行履约义务。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在提供劳务交易的结果能够可靠估计的情况下，于资产负债表日按照投入法确认提供的劳务收入。劳务交易的履约进度按照 </w:t>
      </w:r>
      <w:r>
        <w:rPr>
          <w:color w:val="000000"/>
          <w:spacing w:val="0"/>
          <w:w w:val="100"/>
          <w:position w:val="0"/>
        </w:rPr>
        <w:t>累计实际发生的合同成本占合同预计总成本的比例确定。</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如果提供劳务交易的结果不能够可靠估计，则按已经发生并预计能够得到补偿的劳务成本金额确认提供的劳务收入，并将已 发生的劳务成本作为当期费用。已经发生的劳务成本如预计不能得到补偿的，则不确认收入，已发生的劳务成本计入当期损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公司与其他企业签订的合同或协议包括销售商品和提供劳务时，如销售商品部分和提供劳务部分能够区分并单独计量的，将 销售商品部分和提供劳务部分分别处理；如销售商品部分和提供劳务部分不能够区分，或虽能区分但不能够单独计量的，将 该合同全部作为销售商品处理。</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建造合同收入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本公司与客户之间的建造合同收入合同属于在某一时段履行履约义务。</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在建造合同的结果能够可靠估计的情况下，于资产负债表日按照投入法确认合同收入和合同费用。合同履约进度按累计实际 发生的合同成本占合同预计总成本的比例确定。</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如建造合同的结果不能可靠地估计，但合同成本能够收回的，合同收入根据能够收回的实际合同成本予以确认，合同成本在 其发生的当期确认为合同费用；合同成本不可能收回的，在发生时立即确认为合同费用，不确认合同收入。使建造合同的结 果不能可靠估计的不确定因素不复存在的，按照投入法确定与建造合同有关的收入和费用。合同预计总成本超过合同总收入 的，将预计损失确认为当期费用。在建合同累计已发生的成本和累计已确认的毛利（亏损）与已结算的价款在资产负债表中以 抵销后的净额列示。在建合同累计已发生的成本和累计已确认的毛利（亏损）之和超过已结算价款的部分作为存货列示；在建 合同已结算的价款超过累计已发生的成本与累计已确认的毛利（亏损）之和的部分作为预收款项列示。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w:t>
      </w:r>
      <w:r>
        <w:rPr>
          <w:color w:val="000000"/>
          <w:spacing w:val="0"/>
          <w:w w:val="100"/>
          <w:position w:val="0"/>
          <w:sz w:val="16"/>
          <w:szCs w:val="16"/>
        </w:rPr>
        <w:t>BT</w:t>
      </w:r>
      <w:r>
        <w:rPr>
          <w:color w:val="000000"/>
          <w:spacing w:val="0"/>
          <w:w w:val="100"/>
          <w:position w:val="0"/>
        </w:rPr>
        <w:t>业务的按照《企业会计准则第</w:t>
      </w:r>
      <w:r>
        <w:rPr>
          <w:color w:val="000000"/>
          <w:spacing w:val="0"/>
          <w:w w:val="100"/>
          <w:position w:val="0"/>
          <w:sz w:val="16"/>
          <w:szCs w:val="16"/>
        </w:rPr>
        <w:t>14</w:t>
      </w:r>
      <w:r>
        <w:rPr>
          <w:color w:val="000000"/>
          <w:spacing w:val="0"/>
          <w:w w:val="100"/>
          <w:position w:val="0"/>
        </w:rPr>
        <w:t xml:space="preserve">号一一收入》确认相关的收入和成本，建造合同收入按应收取对价的公允价值计量， 同时确认长期应收款。长期应收款采用摊余成本计量并按期确认利息收入，实际利率在长期应收款存续期间内一般保持不变。 </w:t>
      </w:r>
      <w:r>
        <w:rPr>
          <w:color w:val="000000"/>
          <w:spacing w:val="0"/>
          <w:w w:val="100"/>
          <w:position w:val="0"/>
          <w:sz w:val="16"/>
          <w:szCs w:val="16"/>
        </w:rPr>
        <w:t>BT</w:t>
      </w:r>
      <w:r>
        <w:rPr>
          <w:color w:val="000000"/>
          <w:spacing w:val="0"/>
          <w:w w:val="100"/>
          <w:position w:val="0"/>
        </w:rPr>
        <w:t>项目涉及的长期应收款项未超过合同约定的收款时点的，暂不计提坏账准备。对超过长期应收款项对应合同约定的收款 时点尚未收回款项的坏账准备计提方法详见本附注四、</w:t>
      </w:r>
      <w:r>
        <w:rPr>
          <w:color w:val="000000"/>
          <w:spacing w:val="0"/>
          <w:w w:val="100"/>
          <w:position w:val="0"/>
          <w:sz w:val="16"/>
          <w:szCs w:val="16"/>
        </w:rPr>
        <w:t xml:space="preserve">10 </w:t>
      </w:r>
      <w:r>
        <w:rPr>
          <w:color w:val="000000"/>
          <w:spacing w:val="0"/>
          <w:w w:val="100"/>
          <w:position w:val="0"/>
        </w:rPr>
        <w:t>“金融资产减值”</w:t>
      </w:r>
      <w:r>
        <w:rPr>
          <w:color w:val="000000"/>
          <w:spacing w:val="0"/>
          <w:w w:val="100"/>
          <w:position w:val="0"/>
          <w:sz w:val="16"/>
          <w:szCs w:val="16"/>
        </w:rPr>
        <w:t>（5）</w:t>
      </w:r>
      <w:r>
        <w:rPr>
          <w:color w:val="000000"/>
          <w:spacing w:val="0"/>
          <w:w w:val="100"/>
          <w:position w:val="0"/>
        </w:rPr>
        <w:t>④所示。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使用费收入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根据有关合同或协议，按权责发生制确认收入。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利息收入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按照他人使用本集团货币资金的时间和实际利率计算确定。</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以下收入会计政策适用于</w:t>
      </w:r>
      <w:r>
        <w:rPr>
          <w:color w:val="000000"/>
          <w:spacing w:val="0"/>
          <w:w w:val="100"/>
          <w:position w:val="0"/>
          <w:sz w:val="16"/>
          <w:szCs w:val="16"/>
        </w:rPr>
        <w:t>2019</w:t>
      </w:r>
      <w:r>
        <w:rPr>
          <w:color w:val="000000"/>
          <w:spacing w:val="0"/>
          <w:w w:val="100"/>
          <w:position w:val="0"/>
        </w:rPr>
        <w:t>年度：</w:t>
      </w:r>
    </w:p>
    <w:p>
      <w:pPr>
        <w:pStyle w:val="Style30"/>
        <w:keepNext w:val="0"/>
        <w:keepLines w:val="0"/>
        <w:widowControl w:val="0"/>
        <w:shd w:val="clear" w:color="auto" w:fill="auto"/>
        <w:tabs>
          <w:tab w:pos="739" w:val="left"/>
        </w:tabs>
        <w:bidi w:val="0"/>
        <w:spacing w:before="0" w:after="0" w:line="311" w:lineRule="exact"/>
        <w:ind w:left="0" w:right="0" w:firstLine="0"/>
        <w:jc w:val="both"/>
      </w:pPr>
      <w:bookmarkStart w:id="914" w:name="bookmark914"/>
      <w:r>
        <w:rPr>
          <w:color w:val="000000"/>
          <w:spacing w:val="0"/>
          <w:w w:val="100"/>
          <w:position w:val="0"/>
          <w:sz w:val="16"/>
          <w:szCs w:val="16"/>
        </w:rPr>
        <w:t>（</w:t>
      </w:r>
      <w:bookmarkEnd w:id="914"/>
      <w:r>
        <w:rPr>
          <w:color w:val="000000"/>
          <w:spacing w:val="0"/>
          <w:w w:val="100"/>
          <w:position w:val="0"/>
          <w:sz w:val="16"/>
          <w:szCs w:val="16"/>
        </w:rPr>
        <w:t>1）</w:t>
        <w:tab/>
      </w:r>
      <w:r>
        <w:rPr>
          <w:color w:val="000000"/>
          <w:spacing w:val="0"/>
          <w:w w:val="100"/>
          <w:position w:val="0"/>
        </w:rPr>
        <w:t>商品销售收入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在已将商品所有权上的主要风险和报酬转移给买方，既没有保留通常与所有权相联系的继续管理权，也没有对已售商品实施 有效控制，收入的金额能够可靠地计量，相关的经济利益很可能流入企业，相关的已发生或将发生的成本能够可靠地计量时， 确认商品销售收入的实现。</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本公司按照销售商品收入确认方法，制定如下具体收入确认方法：</w:t>
      </w:r>
    </w:p>
    <w:p>
      <w:pPr>
        <w:pStyle w:val="Style30"/>
        <w:keepNext w:val="0"/>
        <w:keepLines w:val="0"/>
        <w:widowControl w:val="0"/>
        <w:numPr>
          <w:ilvl w:val="0"/>
          <w:numId w:val="21"/>
        </w:numPr>
        <w:shd w:val="clear" w:color="auto" w:fill="auto"/>
        <w:tabs>
          <w:tab w:pos="347" w:val="left"/>
        </w:tabs>
        <w:bidi w:val="0"/>
        <w:spacing w:before="0" w:after="0" w:line="311" w:lineRule="exact"/>
        <w:ind w:left="0" w:right="0" w:firstLine="0"/>
        <w:jc w:val="both"/>
      </w:pPr>
      <w:bookmarkStart w:id="915" w:name="bookmark915"/>
      <w:bookmarkEnd w:id="915"/>
      <w:r>
        <w:rPr>
          <w:color w:val="000000"/>
          <w:spacing w:val="0"/>
          <w:w w:val="100"/>
          <w:position w:val="0"/>
        </w:rPr>
        <w:t>系统集成销售收入确认原则：公司系统集成类产品的销售包括为客户提供方案设计、设备安装、调试及系统试运行等配套 服务，经验收合格后确认销售收入。</w:t>
      </w:r>
    </w:p>
    <w:p>
      <w:pPr>
        <w:pStyle w:val="Style30"/>
        <w:keepNext w:val="0"/>
        <w:keepLines w:val="0"/>
        <w:widowControl w:val="0"/>
        <w:numPr>
          <w:ilvl w:val="0"/>
          <w:numId w:val="21"/>
        </w:numPr>
        <w:shd w:val="clear" w:color="auto" w:fill="auto"/>
        <w:tabs>
          <w:tab w:pos="347" w:val="left"/>
        </w:tabs>
        <w:bidi w:val="0"/>
        <w:spacing w:before="0" w:after="0" w:line="311" w:lineRule="exact"/>
        <w:ind w:left="0" w:right="0" w:firstLine="0"/>
        <w:jc w:val="both"/>
      </w:pPr>
      <w:bookmarkStart w:id="916" w:name="bookmark916"/>
      <w:bookmarkEnd w:id="916"/>
      <w:r>
        <w:rPr>
          <w:color w:val="000000"/>
          <w:spacing w:val="0"/>
          <w:w w:val="100"/>
          <w:position w:val="0"/>
        </w:rPr>
        <w:t>其他一般销售商品收入，于发货经客户签收时确认收入。</w:t>
      </w:r>
    </w:p>
    <w:p>
      <w:pPr>
        <w:pStyle w:val="Style30"/>
        <w:keepNext w:val="0"/>
        <w:keepLines w:val="0"/>
        <w:widowControl w:val="0"/>
        <w:shd w:val="clear" w:color="auto" w:fill="auto"/>
        <w:tabs>
          <w:tab w:pos="739" w:val="left"/>
        </w:tabs>
        <w:bidi w:val="0"/>
        <w:spacing w:before="0" w:after="0" w:line="311" w:lineRule="exact"/>
        <w:ind w:left="0" w:right="0" w:firstLine="0"/>
        <w:jc w:val="both"/>
      </w:pPr>
      <w:bookmarkStart w:id="917" w:name="bookmark917"/>
      <w:r>
        <w:rPr>
          <w:color w:val="000000"/>
          <w:spacing w:val="0"/>
          <w:w w:val="100"/>
          <w:position w:val="0"/>
          <w:sz w:val="16"/>
          <w:szCs w:val="16"/>
        </w:rPr>
        <w:t>（</w:t>
      </w:r>
      <w:bookmarkEnd w:id="917"/>
      <w:r>
        <w:rPr>
          <w:color w:val="000000"/>
          <w:spacing w:val="0"/>
          <w:w w:val="100"/>
          <w:position w:val="0"/>
          <w:sz w:val="16"/>
          <w:szCs w:val="16"/>
        </w:rPr>
        <w:t>2）</w:t>
        <w:tab/>
      </w:r>
      <w:r>
        <w:rPr>
          <w:color w:val="000000"/>
          <w:spacing w:val="0"/>
          <w:w w:val="100"/>
          <w:position w:val="0"/>
        </w:rPr>
        <w:t>提供劳务收入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在提供劳务交易的结果能够可靠估计的情况下，于资产负债表日按照完工百分比法确认提供的劳务收入。劳务交易的完工进 度按照累计实际发生的合同成本占合同预计总成本的比例确定。</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提供劳务交易的结果能够可靠估计是指同时满足：①收入的金额能够可靠地计量；②相关的经济利益很可能流入企业；③交 易的完工程度能够可靠地确定；④交易中已发生和将发生的成本能够可靠地计量。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如果提供劳务交易的结果不能够可靠估计，则按已经发生并预计能够得到补偿的劳务成本金额确认提供的劳务收入，并将已 发生的劳务成本作为当期费用。已经发生的劳务成本如预计不能得到补偿的，则不确认收入，已发生的劳务成本计入当期损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本集团与其他企业签订的合同或协议包括销售商品和提供劳务时，如销售商品部分和提供劳务部分能够区分并单独计量的，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w:t>
      </w:r>
      <w:r>
        <w:rPr>
          <w:color w:val="000000"/>
          <w:spacing w:val="0"/>
          <w:w w:val="100"/>
          <w:position w:val="0"/>
        </w:rPr>
        <w:t>将该合同全部作为销售商品处理。</w:t>
      </w:r>
    </w:p>
    <w:p>
      <w:pPr>
        <w:pStyle w:val="Style30"/>
        <w:keepNext w:val="0"/>
        <w:keepLines w:val="0"/>
        <w:widowControl w:val="0"/>
        <w:shd w:val="clear" w:color="auto" w:fill="auto"/>
        <w:tabs>
          <w:tab w:pos="739" w:val="left"/>
        </w:tabs>
        <w:bidi w:val="0"/>
        <w:spacing w:before="0" w:after="0" w:line="313" w:lineRule="exact"/>
        <w:ind w:left="0" w:right="0" w:firstLine="0"/>
        <w:jc w:val="both"/>
      </w:pPr>
      <w:bookmarkStart w:id="918" w:name="bookmark918"/>
      <w:r>
        <w:rPr>
          <w:color w:val="000000"/>
          <w:spacing w:val="0"/>
          <w:w w:val="100"/>
          <w:position w:val="0"/>
          <w:sz w:val="16"/>
          <w:szCs w:val="16"/>
        </w:rPr>
        <w:t>（</w:t>
      </w:r>
      <w:bookmarkEnd w:id="918"/>
      <w:r>
        <w:rPr>
          <w:color w:val="000000"/>
          <w:spacing w:val="0"/>
          <w:w w:val="100"/>
          <w:position w:val="0"/>
          <w:sz w:val="16"/>
          <w:szCs w:val="16"/>
        </w:rPr>
        <w:t>3）</w:t>
        <w:tab/>
      </w:r>
      <w:r>
        <w:rPr>
          <w:color w:val="000000"/>
          <w:spacing w:val="0"/>
          <w:w w:val="100"/>
          <w:position w:val="0"/>
        </w:rPr>
        <w:t>建造合同收入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在建造合同的结果能够可靠估计的情况下，于资产负债表日按照完工百分比法确认合同收入和合同费用。合同完工进度按累 计实际发生的合同成本占合同预计总成本的比例确定。</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建造合同的结果能够可靠估计是指同时满足：①合同总收入能够可靠地计量；②与合同相关的经济利益很可能流入企业；③ 实际发生的合同成本能够清楚地区分和可靠地计量；④合同完工进度和为完成合同尚需发生的成本能够可靠地确定。</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如建造合同的结果不能可靠地估计，但合同成本能够收回的，合同收入根据能够收回的实际合同成本予以确认，合同成本在 其发生的当期确认为合同费用；合同成本不可能收回的，在发生时立即确认为合同费用，不确认合同收入。使建造合同的结 果不能可靠估计的不确定因素不复存在的，按照完工百分比法确定与建造合同有关的收入和费用。</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合同预计总成本超过合同总收入的，将预计损失确认为当期费用。</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在建合同累计已发生的成本和累计已确认的毛利（亏损）与已结算的价款在资产负债表中以抵销后的净额列示。在建合同累计 已发生的成本和累计已确认的毛利（亏损）之和超过已结算价款的部分作为存货列示;在建合同已结算的价款超过累计已发生 的成本与累计已确认的毛利（亏损）之和的部分作为预收款项列示。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color w:val="000000"/>
          <w:spacing w:val="0"/>
          <w:w w:val="100"/>
          <w:position w:val="0"/>
          <w:sz w:val="16"/>
          <w:szCs w:val="16"/>
        </w:rPr>
        <w:t>BT</w:t>
      </w:r>
      <w:r>
        <w:rPr>
          <w:color w:val="000000"/>
          <w:spacing w:val="0"/>
          <w:w w:val="100"/>
          <w:position w:val="0"/>
        </w:rPr>
        <w:t>业务的按照《企业会计准</w:t>
      </w:r>
      <w:r>
        <w:rPr>
          <w:color w:val="000000"/>
          <w:spacing w:val="0"/>
          <w:w w:val="100"/>
          <w:position w:val="0"/>
          <w:sz w:val="16"/>
          <w:szCs w:val="16"/>
        </w:rPr>
        <w:t>15</w:t>
      </w:r>
      <w:r>
        <w:rPr>
          <w:color w:val="000000"/>
          <w:spacing w:val="0"/>
          <w:w w:val="100"/>
          <w:position w:val="0"/>
        </w:rPr>
        <w:t xml:space="preserve">号一一建造合同》确认相关的收入和成本，建造合同收入按应收取对价的公允价值计量， 同时确认长期应收款。长期应收款采用摊余成本计量并按期确认利息收入，实际利率在长期应收款存续期间内一般保持不变。 </w:t>
      </w:r>
      <w:r>
        <w:rPr>
          <w:color w:val="000000"/>
          <w:spacing w:val="0"/>
          <w:w w:val="100"/>
          <w:position w:val="0"/>
          <w:sz w:val="16"/>
          <w:szCs w:val="16"/>
        </w:rPr>
        <w:t>BT</w:t>
      </w:r>
      <w:r>
        <w:rPr>
          <w:color w:val="000000"/>
          <w:spacing w:val="0"/>
          <w:w w:val="100"/>
          <w:position w:val="0"/>
        </w:rPr>
        <w:t>项目涉及的长期应收款项未超过合同约定的收款时点的，暂不计提坏账准备。对超过长期应收款项对应合同约定的收款 时点尚未收回款项的坏账准备计提方法详见本附注四、</w:t>
      </w:r>
      <w:r>
        <w:rPr>
          <w:color w:val="000000"/>
          <w:spacing w:val="0"/>
          <w:w w:val="100"/>
          <w:position w:val="0"/>
          <w:sz w:val="16"/>
          <w:szCs w:val="16"/>
        </w:rPr>
        <w:t xml:space="preserve">10 </w:t>
      </w:r>
      <w:r>
        <w:rPr>
          <w:color w:val="000000"/>
          <w:spacing w:val="0"/>
          <w:w w:val="100"/>
          <w:position w:val="0"/>
        </w:rPr>
        <w:t>“金融资产减值”</w:t>
      </w:r>
      <w:r>
        <w:rPr>
          <w:color w:val="000000"/>
          <w:spacing w:val="0"/>
          <w:w w:val="100"/>
          <w:position w:val="0"/>
          <w:sz w:val="16"/>
          <w:szCs w:val="16"/>
        </w:rPr>
        <w:t>（5）</w:t>
      </w:r>
      <w:r>
        <w:rPr>
          <w:color w:val="000000"/>
          <w:spacing w:val="0"/>
          <w:w w:val="100"/>
          <w:position w:val="0"/>
        </w:rPr>
        <w:t>④所示。</w:t>
      </w:r>
    </w:p>
    <w:p>
      <w:pPr>
        <w:pStyle w:val="Style30"/>
        <w:keepNext w:val="0"/>
        <w:keepLines w:val="0"/>
        <w:widowControl w:val="0"/>
        <w:shd w:val="clear" w:color="auto" w:fill="auto"/>
        <w:tabs>
          <w:tab w:pos="739" w:val="left"/>
        </w:tabs>
        <w:bidi w:val="0"/>
        <w:spacing w:before="0" w:after="0" w:line="313" w:lineRule="exact"/>
        <w:ind w:left="0" w:right="0" w:firstLine="0"/>
        <w:jc w:val="both"/>
      </w:pPr>
      <w:bookmarkStart w:id="919" w:name="bookmark919"/>
      <w:r>
        <w:rPr>
          <w:color w:val="000000"/>
          <w:spacing w:val="0"/>
          <w:w w:val="100"/>
          <w:position w:val="0"/>
          <w:sz w:val="16"/>
          <w:szCs w:val="16"/>
        </w:rPr>
        <w:t>（</w:t>
      </w:r>
      <w:bookmarkEnd w:id="919"/>
      <w:r>
        <w:rPr>
          <w:color w:val="000000"/>
          <w:spacing w:val="0"/>
          <w:w w:val="100"/>
          <w:position w:val="0"/>
          <w:sz w:val="16"/>
          <w:szCs w:val="16"/>
        </w:rPr>
        <w:t>4）</w:t>
        <w:tab/>
      </w:r>
      <w:r>
        <w:rPr>
          <w:color w:val="000000"/>
          <w:spacing w:val="0"/>
          <w:w w:val="100"/>
          <w:position w:val="0"/>
        </w:rPr>
        <w:t>使用费收入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根据有关合同或协议，按权责发生制确认收入。</w:t>
      </w:r>
    </w:p>
    <w:p>
      <w:pPr>
        <w:pStyle w:val="Style30"/>
        <w:keepNext w:val="0"/>
        <w:keepLines w:val="0"/>
        <w:widowControl w:val="0"/>
        <w:shd w:val="clear" w:color="auto" w:fill="auto"/>
        <w:tabs>
          <w:tab w:pos="739" w:val="left"/>
        </w:tabs>
        <w:bidi w:val="0"/>
        <w:spacing w:before="0" w:after="0" w:line="313" w:lineRule="exact"/>
        <w:ind w:left="0" w:right="0" w:firstLine="0"/>
        <w:jc w:val="both"/>
      </w:pPr>
      <w:bookmarkStart w:id="920" w:name="bookmark920"/>
      <w:r>
        <w:rPr>
          <w:color w:val="000000"/>
          <w:spacing w:val="0"/>
          <w:w w:val="100"/>
          <w:position w:val="0"/>
          <w:sz w:val="16"/>
          <w:szCs w:val="16"/>
        </w:rPr>
        <w:t>（</w:t>
      </w:r>
      <w:bookmarkEnd w:id="920"/>
      <w:r>
        <w:rPr>
          <w:color w:val="000000"/>
          <w:spacing w:val="0"/>
          <w:w w:val="100"/>
          <w:position w:val="0"/>
          <w:sz w:val="16"/>
          <w:szCs w:val="16"/>
        </w:rPr>
        <w:t>5）</w:t>
        <w:tab/>
      </w:r>
      <w:r>
        <w:rPr>
          <w:color w:val="000000"/>
          <w:spacing w:val="0"/>
          <w:w w:val="100"/>
          <w:position w:val="0"/>
        </w:rPr>
        <w:t>利息收入</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按照他人使用本集团货币资金的时间和实际利率计算确定。</w:t>
      </w:r>
    </w:p>
    <w:p>
      <w:pPr>
        <w:pStyle w:val="Style30"/>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bidi w:val="0"/>
        <w:spacing w:before="0" w:after="26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4</w:t>
      </w:r>
      <w:bookmarkEnd w:id="92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21"/>
      <w:bookmarkEnd w:id="922"/>
      <w:bookmarkEnd w:id="92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政府补助是指本集团从政府无偿取得货币性资产和非货币性资产，不包括政府以投资者身份并享有相应所有者权益而投入的 资本。政府补助分为与资产相关的政府补助和与收益相关的政府补助。本集团将所取得的用于购建或以其他方式形成长期资 产的政府补助界定为与资产相关的政府补助;其余政府补助界定为与收益相关的政府补助。若政府文件未明确规定补助对象, 则采用以下方式将补助款划分为与收益相关的政府补助和与资产相关的政府补助：</w:t>
      </w:r>
      <w:r>
        <w:rPr>
          <w:color w:val="000000"/>
          <w:spacing w:val="0"/>
          <w:w w:val="100"/>
          <w:position w:val="0"/>
          <w:sz w:val="16"/>
          <w:szCs w:val="16"/>
        </w:rPr>
        <w:t>（1）</w:t>
      </w:r>
      <w:r>
        <w:rPr>
          <w:color w:val="000000"/>
          <w:spacing w:val="0"/>
          <w:w w:val="100"/>
          <w:position w:val="0"/>
        </w:rPr>
        <w:t>政府文件明确了补助所针对的特定 项目的，根据该特定项目的预算中将形成资产的支出金额和计入费用的支出金额的相对比例进行划分，对该划分比例需在每 个资产负债表日进行复核，必要时进行变更；</w:t>
      </w:r>
      <w:r>
        <w:rPr>
          <w:color w:val="000000"/>
          <w:spacing w:val="0"/>
          <w:w w:val="100"/>
          <w:position w:val="0"/>
          <w:sz w:val="16"/>
          <w:szCs w:val="16"/>
        </w:rPr>
        <w:t>（2）</w:t>
      </w:r>
      <w:r>
        <w:rPr>
          <w:color w:val="000000"/>
          <w:spacing w:val="0"/>
          <w:w w:val="100"/>
          <w:position w:val="0"/>
        </w:rPr>
        <w:t>政府文件中对用途仅作一般性表述，没有指明特定项目的，作为与收益 相关的政府补助。政府补助为货币性资产的，按照收到或应收的金额计量。政府补助为非货币性资产的，按照公允价值计量； 公允价值不能够可靠取得的，按照名义金额计量。按照名义金额计量的政府补助，直接计入当期损益。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本集团对于政府补助通常在实际收到时，按照实收金额予以确认和计量。但对于期末有确凿证据表明能够符合财政扶持政策 规定的相关条件预计能够收到财政扶持资金,按照应收的金额计量。按照应收金额计量的政府补助应同时符合以下条件</w:t>
      </w:r>
      <w:r>
        <w:rPr>
          <w:color w:val="000000"/>
          <w:spacing w:val="0"/>
          <w:w w:val="100"/>
          <w:position w:val="0"/>
          <w:sz w:val="16"/>
          <w:szCs w:val="16"/>
        </w:rPr>
        <w:t xml:space="preserve">：（1） </w:t>
      </w:r>
      <w:r>
        <w:rPr>
          <w:color w:val="000000"/>
          <w:spacing w:val="0"/>
          <w:w w:val="100"/>
          <w:position w:val="0"/>
        </w:rPr>
        <w:t>应收补助款的金额已经过有权政府部门发文确认，或者可根据正式发布的财政资金管理办法的有关规定自行合理测算，且预 计其金额不存在重大不确定性；</w:t>
      </w:r>
      <w:r>
        <w:rPr>
          <w:color w:val="000000"/>
          <w:spacing w:val="0"/>
          <w:w w:val="100"/>
          <w:position w:val="0"/>
          <w:sz w:val="16"/>
          <w:szCs w:val="16"/>
        </w:rPr>
        <w:t>（2）</w:t>
      </w:r>
      <w:r>
        <w:rPr>
          <w:color w:val="000000"/>
          <w:spacing w:val="0"/>
          <w:w w:val="100"/>
          <w:position w:val="0"/>
        </w:rPr>
        <w:t>所依据的是当地财政部门正式发布并按照《政府信息公开条例》的规定予以主动公开 的财政扶持项目及其财政资金管理办法，且该管理办法应当是普惠性的（任何符合规定条件的企业均可申请），而不是专门 针对特定企业制定的；</w:t>
      </w:r>
      <w:r>
        <w:rPr>
          <w:color w:val="000000"/>
          <w:spacing w:val="0"/>
          <w:w w:val="100"/>
          <w:position w:val="0"/>
          <w:sz w:val="16"/>
          <w:szCs w:val="16"/>
        </w:rPr>
        <w:t>（3）</w:t>
      </w:r>
      <w:r>
        <w:rPr>
          <w:color w:val="000000"/>
          <w:spacing w:val="0"/>
          <w:w w:val="100"/>
          <w:position w:val="0"/>
        </w:rPr>
        <w:t>相关的补助款批文中已明确承诺了拨付期限，且该款项的拨付是有相应财政预算作为保障的， 因而可以合理保证其可在规定期限内收到；</w:t>
      </w:r>
      <w:r>
        <w:rPr>
          <w:color w:val="000000"/>
          <w:spacing w:val="0"/>
          <w:w w:val="100"/>
          <w:position w:val="0"/>
          <w:sz w:val="16"/>
          <w:szCs w:val="16"/>
        </w:rPr>
        <w:t>（4）</w:t>
      </w:r>
      <w:r>
        <w:rPr>
          <w:color w:val="000000"/>
          <w:spacing w:val="0"/>
          <w:w w:val="100"/>
          <w:position w:val="0"/>
        </w:rPr>
        <w:t>根据本集团和该补助事项的具体情况，应满足的其他相关条件（如有）。 与资产相关的政府补助，确认为递延收益，并在相关资产的使用寿命内按照合理、系统的方法分期计入当期损益。与收益相 关的政府补助，用于补偿以后期间的相关成本费用或损失的，确认为递延收益，并在确认相关成本费用或损失的期间计入当 期损益；用于补偿已经发生的相关成本费用或损失的，直接计入当期损益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同时包含与资产相关部分和与收益相关部分的政府补助，区分不同部分分别进行会计处理；难以区分的，将其整体归类为与 </w:t>
      </w:r>
      <w:r>
        <w:rPr>
          <w:color w:val="000000"/>
          <w:spacing w:val="0"/>
          <w:w w:val="100"/>
          <w:position w:val="0"/>
        </w:rPr>
        <w:t>收益相关的政府补助。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与本集团日常活动相关的政府补助，按照经济业务的实质，计入其他收益或冲减相关成本费用；与日常活动无关的政府补助， 计入营业外收支。</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已确认的政府补助需要退回时，存在相关递延收益余额的，冲减相关递延收益账面余额，超出部分计入当期损益；属于其他 情况的，直接计入当期损益。</w:t>
      </w:r>
    </w:p>
    <w:p>
      <w:pPr>
        <w:pStyle w:val="Style33"/>
        <w:keepNext/>
        <w:keepLines/>
        <w:widowControl w:val="0"/>
        <w:shd w:val="clear" w:color="auto" w:fill="auto"/>
        <w:bidi w:val="0"/>
        <w:spacing w:before="0" w:after="26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4</w:t>
      </w:r>
      <w:bookmarkEnd w:id="92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5"/>
      <w:bookmarkEnd w:id="926"/>
      <w:bookmarkEnd w:id="928"/>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当期所得税</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资产负债表日，对于当期和以前期间形成的当期所得税负债（或资产），以按照税法规定计算的预期应交纳（或返还）的所 得税金额计量。计算当期所得税费用所依据的应纳税所得额系根据有关税法规定对本报告期税前会计利润作相应调整后计算 得出。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递延所得税资产及递延所得税负债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的项目的账面价值与计税基础之间的差额产生的暂时性差异，采用资产负债表债务法确认递延所得税资产及递延所得税负债。 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企业投资相关的应纳税暂时性差异，如果本集团能够控制暂时性差异转回的时间，而且该暂时性差异在可预见的未来很可能 不会转回，也不予确认有关的递延所得税负债。除上述例外情况，本集团确认其他所有应纳税暂时性差异产生的递延所得税 负债。</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额，不予确认有关的递延所得税资产。除上述例外情况，本集团以很可能取得用来抵扣可抵扣暂时性差异的应纳税所得额为 限，确认其他可抵扣暂时性差异产生的递延所得税资产。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于资产负债表日，对递延所得税资产的账面价值进行复核，如果未来很可能无法获得足够的应纳税所得额用以抵扣递延所得 税资产的利益，则减记递延所得税资产的账面价值。在很可能获得足够的应纳税所得额时，减记的金额予以转回。 所得税费用</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所得税的抵销</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当拥有以净额结算的法定权利，且意图以净额结算或取得资产、清偿负债同时进行时，本集团当期所得税资产及当期所得税 负债以抵销后的净额列报。</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的期间内，涉及的纳税主体意图以净额结算当期所得税资产和负债或是同时取得资产、清偿负债时，本集团递延所得税资产 及递延所得税负债以抵销后的净额列报。</w:t>
      </w:r>
    </w:p>
    <w:p>
      <w:pPr>
        <w:pStyle w:val="Style33"/>
        <w:keepNext/>
        <w:keepLines/>
        <w:widowControl w:val="0"/>
        <w:shd w:val="clear" w:color="auto" w:fill="auto"/>
        <w:tabs>
          <w:tab w:pos="467" w:val="left"/>
        </w:tabs>
        <w:bidi w:val="0"/>
        <w:spacing w:before="0" w:after="38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4</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29"/>
      <w:bookmarkEnd w:id="930"/>
      <w:bookmarkEnd w:id="932"/>
    </w:p>
    <w:p>
      <w:pPr>
        <w:pStyle w:val="Style47"/>
        <w:keepNext/>
        <w:keepLines/>
        <w:widowControl w:val="0"/>
        <w:numPr>
          <w:ilvl w:val="0"/>
          <w:numId w:val="23"/>
        </w:numPr>
        <w:shd w:val="clear" w:color="auto" w:fill="auto"/>
        <w:tabs>
          <w:tab w:pos="476" w:val="left"/>
        </w:tabs>
        <w:bidi w:val="0"/>
        <w:spacing w:before="0" w:after="280" w:line="240" w:lineRule="auto"/>
        <w:ind w:left="0" w:right="0" w:firstLine="0"/>
        <w:jc w:val="both"/>
      </w:pPr>
      <w:bookmarkStart w:id="933" w:name="bookmark933"/>
      <w:bookmarkStart w:id="934" w:name="bookmark934"/>
      <w:bookmarkStart w:id="935" w:name="bookmark935"/>
      <w:bookmarkStart w:id="936" w:name="bookmark936"/>
      <w:bookmarkEnd w:id="935"/>
      <w:r>
        <w:rPr>
          <w:color w:val="000000"/>
          <w:spacing w:val="0"/>
          <w:w w:val="100"/>
          <w:position w:val="0"/>
        </w:rPr>
        <w:t>经营租赁的会计处理方法</w:t>
      </w:r>
      <w:bookmarkEnd w:id="933"/>
      <w:bookmarkEnd w:id="934"/>
      <w:bookmarkEnd w:id="936"/>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融资租赁为实质上转移了与资产所有权有关的全部风险和报酬的租赁，其所有权最终可能转移，也可能不转移。融资租赁以 外的其他租赁为经营租赁。</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本集团作为承租人记录经营租赁业务</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经营租赁的租金支出在租赁期内的各个期间按直线法计入相关资产成本或当期损益。初始直接费用计入当期损益。或有租金 于实际发生时计入当期损益。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本集团作为出租人记录经营租赁业务</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47"/>
        <w:keepNext/>
        <w:keepLines/>
        <w:widowControl w:val="0"/>
        <w:numPr>
          <w:ilvl w:val="0"/>
          <w:numId w:val="23"/>
        </w:numPr>
        <w:shd w:val="clear" w:color="auto" w:fill="auto"/>
        <w:tabs>
          <w:tab w:pos="476" w:val="left"/>
        </w:tabs>
        <w:bidi w:val="0"/>
        <w:spacing w:before="0" w:after="280" w:line="240" w:lineRule="auto"/>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融资租赁的会计处理方法</w:t>
      </w:r>
      <w:bookmarkEnd w:id="937"/>
      <w:bookmarkEnd w:id="938"/>
      <w:bookmarkEnd w:id="940"/>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本集团作为承租人记录融资租赁业务</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于租赁期开始日，将租赁开始日租赁资产的公允价值与最低租赁付款额现值两者中较低者作为租入资产的入账价值，将最低 租赁付款额作为长期应付款的入账价值，其差额作为未确认融资费用。此外，在租赁谈判和签订租赁合同过程中发生的，可 归属于租赁项目的初始直接费用也计入租入资产价值。最低租赁付款额扣除未确认融资费用后的余额分别长期负债和一年内 到期的长期负债列示。</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未确认融资费用在租赁期内采用实际利率法计算确认当期的融资费用。或有租金于实际发生时计入当期损益。 本集团作为出租人记录融资租赁业务</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于租赁期开始日，将租赁开始日最低租赁收款额与初始直接费用之和作为应收融资租赁款的入账价值，同时记录未担保余值; 将最低租赁收款额、初始直接费用及未担保余值之和与其现值之和的差额确认为未实现融资收益。应收融资租赁款扣除未实 现融资收益后的余额分别长期债权和一年内到期的长期债权列示。</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未实现融资收益在租赁期内采用实际利率法计算确认当期的融资收入。或有租金于实际发生时计入当期损益。</w:t>
      </w:r>
    </w:p>
    <w:p>
      <w:pPr>
        <w:pStyle w:val="Style33"/>
        <w:keepNext/>
        <w:keepLines/>
        <w:widowControl w:val="0"/>
        <w:shd w:val="clear" w:color="auto" w:fill="auto"/>
        <w:tabs>
          <w:tab w:pos="467" w:val="left"/>
        </w:tabs>
        <w:bidi w:val="0"/>
        <w:spacing w:before="0" w:after="28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41"/>
      <w:bookmarkEnd w:id="942"/>
      <w:bookmarkEnd w:id="944"/>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重大会计判断和估计</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本集团在运用会计政策过程中，由于经营活动内在的不确定性，需要对无法准确计量的报表项目的账面价值进行判断、估 计和假设。这些判断、估计和假设是基于本集团管理层过去的历史经验，并在考虑其他相关因素的基础上做出的。这些判断、 估计和假设会影响收入、费用、资产和负债的报告金额以及资产负债表日或有负债的披露。然而，这些估计的不确定性所导 致的实际结果可能与本集团管理层当前的估计存在差异，进而造成对未来受影响的资产或负债的账面金额进行重大调整。 本集团对前述判断、估计和假设在持续经营的基础上进行定期复核，会计估计的变更仅影响变更当期的，其影响数在变更当 期予以确认；既影响变更当期又影响未来期间的，其影响数在变更当期和未来期间予以确认。</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于资产负债表日，本集团需对财务报表项目金额进行判断、估计和假设的重要领域如下：</w:t>
      </w:r>
    </w:p>
    <w:p>
      <w:pPr>
        <w:pStyle w:val="Style30"/>
        <w:keepNext w:val="0"/>
        <w:keepLines w:val="0"/>
        <w:widowControl w:val="0"/>
        <w:shd w:val="clear" w:color="auto" w:fill="auto"/>
        <w:tabs>
          <w:tab w:leader="hyphen" w:pos="1061" w:val="left"/>
        </w:tabs>
        <w:bidi w:val="0"/>
        <w:spacing w:before="0" w:after="0" w:line="313" w:lineRule="exact"/>
        <w:ind w:left="0" w:right="0" w:firstLine="0"/>
        <w:jc w:val="both"/>
      </w:pPr>
      <w:r>
        <w:rPr>
          <w:color w:val="000000"/>
          <w:spacing w:val="0"/>
          <w:w w:val="100"/>
          <w:position w:val="0"/>
        </w:rPr>
        <w:t>收入确认</w:t>
        <w:tab/>
        <w:t>建造合同</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在建造合同结果可以可靠估计时，本集团采用投入法在资产负债表日确认合同收入。合同的履约进度是依照本附注四、</w:t>
      </w:r>
      <w:r>
        <w:rPr>
          <w:color w:val="000000"/>
          <w:spacing w:val="0"/>
          <w:w w:val="100"/>
          <w:position w:val="0"/>
          <w:sz w:val="16"/>
          <w:szCs w:val="16"/>
        </w:rPr>
        <w:t>27</w:t>
      </w:r>
      <w:r>
        <w:rPr>
          <w:color w:val="000000"/>
          <w:spacing w:val="0"/>
          <w:w w:val="100"/>
          <w:position w:val="0"/>
        </w:rPr>
        <w:t>、 “收入”所述方法进行确认的，在执行各该建造合同的各会计年度内累积计算。</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在确定合同履约进度、已发生的合同成本、预计合同总收入和总成本，以及合同可回收性时，需要作出重大判断。项目管理 层主要依靠过去的经验和工作作出判断。预计合同总收入和总成本，以及合同执行结果的估计变更都可能对变更当期或以后 期间的营业收入、营业成本，以及期间损益产生影响，且可能构成重大影响。</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租赁的分类 </w:t>
      </w:r>
      <w:r>
        <w:rPr>
          <w:color w:val="000000"/>
          <w:spacing w:val="0"/>
          <w:w w:val="100"/>
          <w:position w:val="0"/>
        </w:rPr>
        <w:t>本集团根据《企业会计准则第</w:t>
      </w:r>
      <w:r>
        <w:rPr>
          <w:color w:val="000000"/>
          <w:spacing w:val="0"/>
          <w:w w:val="100"/>
          <w:position w:val="0"/>
          <w:sz w:val="16"/>
          <w:szCs w:val="16"/>
        </w:rPr>
        <w:t>21</w:t>
      </w:r>
      <w:r>
        <w:rPr>
          <w:color w:val="000000"/>
          <w:spacing w:val="0"/>
          <w:w w:val="100"/>
          <w:position w:val="0"/>
        </w:rPr>
        <w:t>号一一租赁》的规定，将租赁归类为经营租赁和融资租赁，在进行归类时，管理层需要对是 否已将与租出资产所有权有关的全部风险和报酬实质上转移给承租人，或者本集团是否已经实质上承担与租入资产所有权有 关的全部风险和报酬，作出分析和判断。</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本集团采用预期信用损失模型对金融工具的减值进行评估，应用预期信用损失模型需要做出重大判断和估计，需考虑所有合 理且有依据的信息，包括前瞻性信息。在做出该等判断和估计时，本集团根据历史数据结合经济政策、宏观经济指标、行业 风险、外部市场环境、技术环境、客户情况的变化等因素推断债务人信用风险的预期变动。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存货跌价准备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变的期间影响存货的账面价值及存货跌价准备的计提或转回。</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金融工具公允价值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对不存在活跃交易市场的金融工具，本集团通过各种估值方法确定其公允价值。这些估值方法包括贴现现金流模型分析等。 估值时本集团需对未来现金流量、信用风险、市场波动率和相关性等方面进行估计，并选择适当的折现率。这些相关假设具 有不确定性，其变化会对金融工具的公允价值产生影响。权益工具投资或合同有公开报价的，本集团不将成本作为其公允价 值的最佳估计。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长期资产减值准备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本集团于资产负债表日对除金融资产之外的非流动资产判断是否存在可能发生减值的迹象。对使用寿命不确定的无形资产， 除每年进行的减值测试外，当其存在减值迹象时，也进行减值测试。其他除金融资产之外的非流动资产，当存在迹象表明其 账面金额不可收回时，进行减值测试。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当资产或资产组的账面价值高于可收回金额，即公允价值减去处置费用后的净额和预计未来现金流量的现值中的较高者，表 明发生了减值。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公允价值减去处置费用后的净额，参考公平交易中类似资产的销售协议价格或可观察到的市场价格，减去可直接归属于该资 产处置的增量成本确定。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在预计未来现金流量现值时，需要对该资产（或资产组）的产量、售价、相关经营成本以及计算现值时使用的折现率等作出 重大判断。本集团在估计可收回金额时会采用所有能够获得的相关资料，包括根据合理和可支持的假设所作出有关产量、售 价和相关经营成本的预测。</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本集团至少每年测试商誉是否发生减值。这要求对分配了商誉的资产组或者资产组组合的未来现金流量的现值进行预计。对 未来现金流量的现值进行预计时，本集团需要预计未来资产组或者资产组组合产生的现金流量，同时选择恰当的折现率确定 未来现金流量的现值。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折旧和摊销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本集团对投资性房地产、固定资产和无形资产在考虑其残值后，在使用寿命内按直线法计提折旧和摊销。本集团定期复核使 用寿命，以决定将计入每个报告期的折旧和摊销费用数额。使用寿命是本集团根据对同类资产的以往经验并结合预期的技术 更新而确定的。如果以前的估计发生重大变化，则会在未来期间对折旧和摊销费用进行调整。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开发支出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确定资本化的金额时，本集团管理层需要作出有关资产的预计未来现金流量、适用的折现率以及预计受益期间的假设。</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日本集团自行开发的计算机软件著作权无形资产在资产负债表中的余额为人民币</w:t>
      </w:r>
      <w:r>
        <w:rPr>
          <w:color w:val="000000"/>
          <w:spacing w:val="0"/>
          <w:w w:val="100"/>
          <w:position w:val="0"/>
          <w:sz w:val="16"/>
          <w:szCs w:val="16"/>
        </w:rPr>
        <w:t xml:space="preserve">108,358, </w:t>
      </w:r>
      <w:r>
        <w:rPr>
          <w:color w:val="000000"/>
          <w:spacing w:val="0"/>
          <w:w w:val="100"/>
          <w:position w:val="0"/>
          <w:sz w:val="16"/>
          <w:szCs w:val="16"/>
        </w:rPr>
        <w:t>662.4</w:t>
      </w:r>
      <w:r>
        <w:rPr>
          <w:color w:val="000000"/>
          <w:spacing w:val="0"/>
          <w:w w:val="100"/>
          <w:position w:val="0"/>
          <w:sz w:val="16"/>
          <w:szCs w:val="16"/>
        </w:rPr>
        <w:t>7</w:t>
      </w:r>
      <w:r>
        <w:rPr>
          <w:color w:val="000000"/>
          <w:spacing w:val="0"/>
          <w:w w:val="100"/>
          <w:position w:val="0"/>
        </w:rPr>
        <w:t>元。本集团管 理层认为该业务的前景和目前的发展良好，市场对以该无形资产生产的产品的反应也证实了管理层之前对这一项目预期收入 的估计。但是日益增加的竞争也使得管理层重新考虑对市场份额和有关产品的预计毛利等方面的假设。经过全面的检视后， 本集团管理层认为即使在产品回报率出现下调的情况下，仍可以全额收回计算机软件著作权无形资产账面价值。本集团将继 续密切检视有关情况，一旦有迹象表明需要调整相关会计估计的假设，本集团将在有关迹象发生的期间作出调整。</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递延所得税资产</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在很有可能有足够的应纳税利润来抵扣亏损的限度内，本集团就所有未利用的税务亏损确认递延所得税资产。这需要本集团 </w:t>
      </w:r>
      <w:r>
        <w:rPr>
          <w:color w:val="000000"/>
          <w:spacing w:val="0"/>
          <w:w w:val="100"/>
          <w:position w:val="0"/>
        </w:rPr>
        <w:t>管理层运用大量的判断来估计未来应纳税利润发生的时间和金额，结合纳税筹划策略，以决定应确认的递延所得税资产的金 额。</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本集团根据合约条款、现有知识及历史经验，对产品质量保证、预计合同亏损、延迟交货违约金等估计并计提相应准备。在 该等或有事项已经形成一项现时义务，且履行该等现时义务很可能导致经济利益流出本集团的情况下，本集团对或有事项按 履行相关现时义务所需支出的最佳估计数确认为预计负债。预计负债的确认和计量在很大程度上依赖于管理层的判断。在进 行判断过程中本集团需评估该等或有事项相关的风险、不确定性及货币时间价值等因素。</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其中，本集团会就出售、维修及改造所售商品向客户提供的售后质量维修承诺预计负债。预计负债时已考虑本集团近期的维 修经验数据，但近期的维修经验可能无法反映将来的维修情况。这项准备的任何增加或减少，均可能影响未来年度的损益。 公允价值计量</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本集团的某些资产和负债在财务报表中按公允价值计量。本集团的董事会已成立估价委员会（该估价委员会由本集团的首席 财务官领导），以便为公允价值计量确定适当的估值技术和输入值。在对某项资产或负债的公允价值作出估计时，本集团采 用可获得的可观察市场数据。如果无法获得第一层次输入值，本集团会聘用第三方有资质的评估师来执行估价。估价委员会 与有资质的外部估价师紧密合作，以确定适当的估值技术和相关模型的输入值。首席财务官每季度向本集团董事会呈报估价 委员会的发现，以说明导致相关资产和负债的公允价值发生波动的原因。在确定各类资产和负债的公允价值的过程中所采用 的估值技术和输入值的相关信息在附注十中披露。</w:t>
      </w:r>
    </w:p>
    <w:p>
      <w:pPr>
        <w:pStyle w:val="Style33"/>
        <w:keepNext/>
        <w:keepLines/>
        <w:widowControl w:val="0"/>
        <w:shd w:val="clear" w:color="auto" w:fill="auto"/>
        <w:bidi w:val="0"/>
        <w:spacing w:before="0" w:after="38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4</w:t>
      </w:r>
      <w:bookmarkEnd w:id="94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45"/>
      <w:bookmarkEnd w:id="946"/>
      <w:bookmarkEnd w:id="948"/>
    </w:p>
    <w:p>
      <w:pPr>
        <w:pStyle w:val="Style47"/>
        <w:keepNext/>
        <w:keepLines/>
        <w:widowControl w:val="0"/>
        <w:shd w:val="clear" w:color="auto" w:fill="auto"/>
        <w:bidi w:val="0"/>
        <w:spacing w:before="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9"/>
      <w:bookmarkEnd w:id="950"/>
      <w:bookmarkEnd w:id="952"/>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年董事会第三次会议决议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2020-027</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会计政策变更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①执行新收入准则导致的会计政策变更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5</w:t>
      </w:r>
      <w:r>
        <w:rPr>
          <w:color w:val="000000"/>
          <w:spacing w:val="0"/>
          <w:w w:val="100"/>
          <w:position w:val="0"/>
        </w:rPr>
        <w:t>日发布了《企业会计准则第</w:t>
      </w:r>
      <w:r>
        <w:rPr>
          <w:color w:val="000000"/>
          <w:spacing w:val="0"/>
          <w:w w:val="100"/>
          <w:position w:val="0"/>
          <w:sz w:val="16"/>
          <w:szCs w:val="16"/>
        </w:rPr>
        <w:t>14</w:t>
      </w:r>
      <w:r>
        <w:rPr>
          <w:color w:val="000000"/>
          <w:spacing w:val="0"/>
          <w:w w:val="100"/>
          <w:position w:val="0"/>
        </w:rPr>
        <w:t>号一一收入</w:t>
      </w:r>
      <w:r>
        <w:rPr>
          <w:color w:val="000000"/>
          <w:spacing w:val="0"/>
          <w:w w:val="100"/>
          <w:position w:val="0"/>
          <w:sz w:val="16"/>
          <w:szCs w:val="16"/>
        </w:rPr>
        <w:t>（2017</w:t>
      </w:r>
      <w:r>
        <w:rPr>
          <w:color w:val="000000"/>
          <w:spacing w:val="0"/>
          <w:w w:val="100"/>
          <w:position w:val="0"/>
        </w:rPr>
        <w:t>年修订）》（财会〔</w:t>
      </w:r>
      <w:r>
        <w:rPr>
          <w:color w:val="000000"/>
          <w:spacing w:val="0"/>
          <w:w w:val="100"/>
          <w:position w:val="0"/>
          <w:sz w:val="16"/>
          <w:szCs w:val="16"/>
        </w:rPr>
        <w:t>2017</w:t>
      </w:r>
      <w:r>
        <w:rPr>
          <w:color w:val="000000"/>
          <w:spacing w:val="0"/>
          <w:w w:val="100"/>
          <w:position w:val="0"/>
        </w:rPr>
        <w:t xml:space="preserve">〕 </w:t>
      </w:r>
      <w:r>
        <w:rPr>
          <w:color w:val="000000"/>
          <w:spacing w:val="0"/>
          <w:w w:val="100"/>
          <w:position w:val="0"/>
          <w:sz w:val="16"/>
          <w:szCs w:val="16"/>
        </w:rPr>
        <w:t>22</w:t>
      </w:r>
      <w:r>
        <w:rPr>
          <w:color w:val="000000"/>
          <w:spacing w:val="0"/>
          <w:w w:val="100"/>
          <w:position w:val="0"/>
        </w:rPr>
        <w:t>号）（以下简称“新收入 准则”</w:t>
      </w:r>
      <w:r>
        <w:rPr>
          <w:color w:val="000000"/>
          <w:spacing w:val="0"/>
          <w:w w:val="100"/>
          <w:position w:val="0"/>
          <w:sz w:val="16"/>
          <w:szCs w:val="16"/>
        </w:rPr>
        <w:t>）</w:t>
      </w:r>
      <w:r>
        <w:rPr>
          <w:color w:val="000000"/>
          <w:spacing w:val="0"/>
          <w:w w:val="100"/>
          <w:position w:val="0"/>
        </w:rPr>
        <w:t>。本公司于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日起开始执行前述新收入准则。</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新收入准则为规范与客户之间的合同产生的收入建立了新的收入确认模型。为执行新收入准则，本公司重新评估主要合同收 入的确认和计量、核算和列报等方面。根据新收入准则的规定，选择仅对在</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日尚未完成的合同的累积影响数进行 调整。首次执行的累积影响金额调整首次执行当期期初（即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日）的留存收益及财务报表其他相关项目金额，对可 比期间信息不予调整。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执行新收入准则的主要变化和影响如下：</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――本公司将因转让商品而预先收取客户的合同对价从“预收账款”项目变更为“合同负债”项目列报。</w:t>
      </w:r>
    </w:p>
    <w:p>
      <w:pPr>
        <w:pStyle w:val="Style30"/>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――本公司将已完工未结算工程项目款项重分类列报为合同资产;本公司将未到收款期的应收质保金重分类为合同资产或其 他非流动资产列报；合同资产和应收账款的变动相应影响递延所得税资产及留存收益。</w:t>
      </w:r>
    </w:p>
    <w:p>
      <w:pPr>
        <w:pStyle w:val="Style30"/>
        <w:keepNext w:val="0"/>
        <w:keepLines w:val="0"/>
        <w:widowControl w:val="0"/>
        <w:shd w:val="clear" w:color="auto" w:fill="auto"/>
        <w:bidi w:val="0"/>
        <w:spacing w:before="0" w:after="60" w:line="312" w:lineRule="exact"/>
        <w:ind w:left="0" w:right="0" w:firstLine="0"/>
        <w:jc w:val="both"/>
      </w:pPr>
      <w:r>
        <w:rPr>
          <w:color w:val="000000"/>
          <w:spacing w:val="0"/>
          <w:w w:val="100"/>
          <w:position w:val="0"/>
        </w:rPr>
        <w:t>①对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日财务报表的影响</w:t>
      </w:r>
    </w:p>
    <w:tbl>
      <w:tblPr>
        <w:tblOverlap w:val="never"/>
        <w:jc w:val="center"/>
        <w:tblLayout w:type="fixed"/>
      </w:tblPr>
      <w:tblGrid>
        <w:gridCol w:w="2102"/>
        <w:gridCol w:w="1843"/>
        <w:gridCol w:w="1699"/>
        <w:gridCol w:w="1843"/>
        <w:gridCol w:w="1742"/>
      </w:tblGrid>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日（变更后）金额</w:t>
            </w:r>
          </w:p>
        </w:tc>
      </w:tr>
      <w:tr>
        <w:trPr>
          <w:trHeight w:val="3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r>
    </w:tbl>
    <w:p>
      <w:pPr>
        <w:widowControl w:val="0"/>
        <w:spacing w:line="1" w:lineRule="exact"/>
      </w:pPr>
      <w:r>
        <w:br w:type="page"/>
      </w:r>
    </w:p>
    <w:tbl>
      <w:tblPr>
        <w:tblOverlap w:val="never"/>
        <w:jc w:val="center"/>
        <w:tblLayout w:type="fixed"/>
      </w:tblPr>
      <w:tblGrid>
        <w:gridCol w:w="2102"/>
        <w:gridCol w:w="1843"/>
        <w:gridCol w:w="1699"/>
        <w:gridCol w:w="1843"/>
        <w:gridCol w:w="1742"/>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1,466, 422, </w:t>
            </w:r>
            <w:r>
              <w:rPr>
                <w:color w:val="000000"/>
                <w:spacing w:val="0"/>
                <w:w w:val="100"/>
                <w:position w:val="0"/>
                <w:sz w:val="16"/>
                <w:szCs w:val="16"/>
              </w:rPr>
              <w:t xml:space="preserve">666.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1,460, </w:t>
            </w:r>
            <w:r>
              <w:rPr>
                <w:color w:val="000000"/>
                <w:spacing w:val="0"/>
                <w:w w:val="100"/>
                <w:position w:val="0"/>
                <w:sz w:val="16"/>
                <w:szCs w:val="16"/>
              </w:rPr>
              <w:t xml:space="preserve">993,497.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1,415,743,767.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1,410,314, </w:t>
            </w:r>
            <w:r>
              <w:rPr>
                <w:color w:val="000000"/>
                <w:spacing w:val="0"/>
                <w:w w:val="100"/>
                <w:position w:val="0"/>
                <w:sz w:val="16"/>
                <w:szCs w:val="16"/>
              </w:rPr>
              <w:t xml:space="preserve">597. </w:t>
            </w:r>
            <w:r>
              <w:rPr>
                <w:color w:val="000000"/>
                <w:spacing w:val="0"/>
                <w:w w:val="100"/>
                <w:position w:val="0"/>
                <w:sz w:val="16"/>
                <w:szCs w:val="16"/>
              </w:rPr>
              <w:t>86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1,761,337, </w:t>
            </w:r>
            <w:r>
              <w:rPr>
                <w:color w:val="000000"/>
                <w:spacing w:val="0"/>
                <w:w w:val="100"/>
                <w:position w:val="0"/>
                <w:sz w:val="16"/>
                <w:szCs w:val="16"/>
              </w:rPr>
              <w:t xml:space="preserve">689.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1,708, 940, </w:t>
            </w:r>
            <w:r>
              <w:rPr>
                <w:color w:val="000000"/>
                <w:spacing w:val="0"/>
                <w:w w:val="100"/>
                <w:position w:val="0"/>
                <w:sz w:val="16"/>
                <w:szCs w:val="16"/>
              </w:rPr>
              <w:t xml:space="preserve">242.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190, 636, </w:t>
            </w:r>
            <w:r>
              <w:rPr>
                <w:color w:val="000000"/>
                <w:spacing w:val="0"/>
                <w:w w:val="100"/>
                <w:position w:val="0"/>
                <w:sz w:val="16"/>
                <w:szCs w:val="16"/>
              </w:rPr>
              <w:t xml:space="preserve">682.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138,239,235.83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1,586, </w:t>
            </w:r>
            <w:r>
              <w:rPr>
                <w:color w:val="000000"/>
                <w:spacing w:val="0"/>
                <w:w w:val="100"/>
                <w:position w:val="0"/>
                <w:sz w:val="16"/>
                <w:szCs w:val="16"/>
              </w:rPr>
              <w:t>925,322.90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1,586, </w:t>
            </w:r>
            <w:r>
              <w:rPr>
                <w:color w:val="000000"/>
                <w:spacing w:val="0"/>
                <w:w w:val="100"/>
                <w:position w:val="0"/>
                <w:sz w:val="16"/>
                <w:szCs w:val="16"/>
              </w:rPr>
              <w:t>925,322.90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67,686,285.57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65,815,880.83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70,911,145.31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69, 040, </w:t>
            </w:r>
            <w:r>
              <w:rPr>
                <w:color w:val="000000"/>
                <w:spacing w:val="0"/>
                <w:w w:val="100"/>
                <w:position w:val="0"/>
                <w:sz w:val="16"/>
                <w:szCs w:val="16"/>
              </w:rPr>
              <w:t>740.57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169, 476, </w:t>
            </w:r>
            <w:r>
              <w:rPr>
                <w:color w:val="000000"/>
                <w:spacing w:val="0"/>
                <w:w w:val="100"/>
                <w:position w:val="0"/>
                <w:sz w:val="16"/>
                <w:szCs w:val="16"/>
              </w:rPr>
              <w:t xml:space="preserve">750.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147, 275, </w:t>
            </w:r>
            <w:r>
              <w:rPr>
                <w:color w:val="000000"/>
                <w:spacing w:val="0"/>
                <w:w w:val="100"/>
                <w:position w:val="0"/>
                <w:sz w:val="16"/>
                <w:szCs w:val="16"/>
              </w:rPr>
              <w:t xml:space="preserve">504.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169, 476, </w:t>
            </w:r>
            <w:r>
              <w:rPr>
                <w:color w:val="000000"/>
                <w:spacing w:val="0"/>
                <w:w w:val="100"/>
                <w:position w:val="0"/>
                <w:sz w:val="16"/>
                <w:szCs w:val="16"/>
              </w:rPr>
              <w:t xml:space="preserve">750.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147, 275, </w:t>
            </w:r>
            <w:r>
              <w:rPr>
                <w:color w:val="000000"/>
                <w:spacing w:val="0"/>
                <w:w w:val="100"/>
                <w:position w:val="0"/>
                <w:sz w:val="16"/>
                <w:szCs w:val="16"/>
              </w:rPr>
              <w:t xml:space="preserve">504. </w:t>
            </w:r>
            <w:r>
              <w:rPr>
                <w:color w:val="000000"/>
                <w:spacing w:val="0"/>
                <w:w w:val="100"/>
                <w:position w:val="0"/>
                <w:sz w:val="16"/>
                <w:szCs w:val="16"/>
              </w:rPr>
              <w:t>68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910, 171, </w:t>
            </w:r>
            <w:r>
              <w:rPr>
                <w:color w:val="000000"/>
                <w:spacing w:val="0"/>
                <w:w w:val="100"/>
                <w:position w:val="0"/>
                <w:sz w:val="16"/>
                <w:szCs w:val="16"/>
              </w:rPr>
              <w:t xml:space="preserve">101.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1,045,359, </w:t>
            </w:r>
            <w:r>
              <w:rPr>
                <w:color w:val="000000"/>
                <w:spacing w:val="0"/>
                <w:w w:val="100"/>
                <w:position w:val="0"/>
                <w:sz w:val="16"/>
                <w:szCs w:val="16"/>
              </w:rPr>
              <w:t xml:space="preserve">439.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893,724,317.25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1,028,912,654. </w:t>
            </w:r>
            <w:r>
              <w:rPr>
                <w:color w:val="000000"/>
                <w:spacing w:val="0"/>
                <w:w w:val="100"/>
                <w:position w:val="0"/>
                <w:sz w:val="16"/>
                <w:szCs w:val="16"/>
              </w:rPr>
              <w:t>72</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138, 804, </w:t>
            </w:r>
            <w:r>
              <w:rPr>
                <w:color w:val="000000"/>
                <w:spacing w:val="0"/>
                <w:w w:val="100"/>
                <w:position w:val="0"/>
                <w:sz w:val="16"/>
                <w:szCs w:val="16"/>
              </w:rPr>
              <w:t xml:space="preserve">173.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138, 804, </w:t>
            </w:r>
            <w:r>
              <w:rPr>
                <w:color w:val="000000"/>
                <w:spacing w:val="0"/>
                <w:w w:val="100"/>
                <w:position w:val="0"/>
                <w:sz w:val="16"/>
                <w:szCs w:val="16"/>
              </w:rPr>
              <w:t xml:space="preserve">173.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136, 976, </w:t>
            </w:r>
            <w:r>
              <w:rPr>
                <w:color w:val="000000"/>
                <w:spacing w:val="0"/>
                <w:w w:val="100"/>
                <w:position w:val="0"/>
                <w:sz w:val="16"/>
                <w:szCs w:val="16"/>
              </w:rPr>
              <w:t xml:space="preserve">753. </w:t>
            </w:r>
            <w:r>
              <w:rPr>
                <w:color w:val="000000"/>
                <w:spacing w:val="0"/>
                <w:w w:val="100"/>
                <w:position w:val="0"/>
                <w:sz w:val="16"/>
                <w:szCs w:val="16"/>
              </w:rPr>
              <w:t>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136, 976, </w:t>
            </w:r>
            <w:r>
              <w:rPr>
                <w:color w:val="000000"/>
                <w:spacing w:val="0"/>
                <w:w w:val="100"/>
                <w:position w:val="0"/>
                <w:sz w:val="16"/>
                <w:szCs w:val="16"/>
              </w:rPr>
              <w:t xml:space="preserve">753. </w:t>
            </w:r>
            <w:r>
              <w:rPr>
                <w:color w:val="000000"/>
                <w:spacing w:val="0"/>
                <w:w w:val="100"/>
                <w:position w:val="0"/>
                <w:sz w:val="16"/>
                <w:szCs w:val="16"/>
              </w:rPr>
              <w:t>44</w:t>
            </w:r>
          </w:p>
        </w:tc>
      </w:tr>
    </w:tbl>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②对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/2020</w:t>
      </w:r>
      <w:r>
        <w:rPr>
          <w:color w:val="000000"/>
          <w:spacing w:val="0"/>
          <w:w w:val="100"/>
          <w:position w:val="0"/>
        </w:rPr>
        <w:t>年度的影响</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采用变更后会计政策编制的</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日合并及公司资产负债表各项目、</w:t>
      </w:r>
      <w:r>
        <w:rPr>
          <w:color w:val="000000"/>
          <w:spacing w:val="0"/>
          <w:w w:val="100"/>
          <w:position w:val="0"/>
          <w:sz w:val="16"/>
          <w:szCs w:val="16"/>
        </w:rPr>
        <w:t>2020</w:t>
      </w:r>
      <w:r>
        <w:rPr>
          <w:color w:val="000000"/>
          <w:spacing w:val="0"/>
          <w:w w:val="100"/>
          <w:position w:val="0"/>
        </w:rPr>
        <w:t>年度合并及公司利润表各项目，与假定采</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用变更前会计政策编制的这些报表项目相比，受影响项目对比情况如下：</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对</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日资产负债表的影响</w:t>
      </w:r>
    </w:p>
    <w:p>
      <w:pPr>
        <w:widowControl w:val="0"/>
        <w:spacing w:after="39" w:line="1" w:lineRule="exact"/>
      </w:pPr>
    </w:p>
    <w:p>
      <w:pPr>
        <w:widowControl w:val="0"/>
        <w:spacing w:line="1" w:lineRule="exact"/>
      </w:pPr>
    </w:p>
    <w:tbl>
      <w:tblPr>
        <w:tblOverlap w:val="never"/>
        <w:jc w:val="center"/>
        <w:tblLayout w:type="fixed"/>
      </w:tblPr>
      <w:tblGrid>
        <w:gridCol w:w="2539"/>
        <w:gridCol w:w="1872"/>
        <w:gridCol w:w="1699"/>
        <w:gridCol w:w="1555"/>
        <w:gridCol w:w="1570"/>
      </w:tblGrid>
      <w:tr>
        <w:trPr>
          <w:trHeight w:val="658"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新收入准则下金额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原收入准则下金额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1,635,029, </w:t>
            </w:r>
            <w:r>
              <w:rPr>
                <w:color w:val="000000"/>
                <w:spacing w:val="0"/>
                <w:w w:val="100"/>
                <w:position w:val="0"/>
                <w:sz w:val="16"/>
                <w:szCs w:val="16"/>
              </w:rPr>
              <w:t xml:space="preserve">402.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1,636,598, </w:t>
            </w:r>
            <w:r>
              <w:rPr>
                <w:color w:val="000000"/>
                <w:spacing w:val="0"/>
                <w:w w:val="100"/>
                <w:position w:val="0"/>
                <w:sz w:val="16"/>
                <w:szCs w:val="16"/>
              </w:rPr>
              <w:t xml:space="preserve">278.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1,723, </w:t>
            </w:r>
            <w:r>
              <w:rPr>
                <w:color w:val="000000"/>
                <w:spacing w:val="0"/>
                <w:w w:val="100"/>
                <w:position w:val="0"/>
                <w:sz w:val="16"/>
                <w:szCs w:val="16"/>
              </w:rPr>
              <w:t>069,612.76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1,710, 827, </w:t>
            </w:r>
            <w:r>
              <w:rPr>
                <w:color w:val="000000"/>
                <w:spacing w:val="0"/>
                <w:w w:val="100"/>
                <w:position w:val="0"/>
                <w:sz w:val="16"/>
                <w:szCs w:val="16"/>
              </w:rPr>
              <w:t xml:space="preserve">672. </w:t>
            </w:r>
            <w:r>
              <w:rPr>
                <w:color w:val="000000"/>
                <w:spacing w:val="0"/>
                <w:w w:val="100"/>
                <w:position w:val="0"/>
                <w:sz w:val="16"/>
                <w:szCs w:val="16"/>
              </w:rPr>
              <w:t>57</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1,713,059, </w:t>
            </w:r>
            <w:r>
              <w:rPr>
                <w:color w:val="000000"/>
                <w:spacing w:val="0"/>
                <w:w w:val="100"/>
                <w:position w:val="0"/>
                <w:sz w:val="16"/>
                <w:szCs w:val="16"/>
              </w:rPr>
              <w:t xml:space="preserve">673.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1,707, 490, </w:t>
            </w:r>
            <w:r>
              <w:rPr>
                <w:color w:val="000000"/>
                <w:spacing w:val="0"/>
                <w:w w:val="100"/>
                <w:position w:val="0"/>
                <w:sz w:val="16"/>
                <w:szCs w:val="16"/>
              </w:rPr>
              <w:t xml:space="preserve">204.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116, 629, </w:t>
            </w:r>
            <w:r>
              <w:rPr>
                <w:color w:val="000000"/>
                <w:spacing w:val="0"/>
                <w:w w:val="100"/>
                <w:position w:val="0"/>
                <w:sz w:val="16"/>
                <w:szCs w:val="16"/>
              </w:rPr>
              <w:t xml:space="preserve">925.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83,872,762.56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1,830, 605, </w:t>
            </w:r>
            <w:r>
              <w:rPr>
                <w:color w:val="000000"/>
                <w:spacing w:val="0"/>
                <w:w w:val="100"/>
                <w:position w:val="0"/>
                <w:sz w:val="16"/>
                <w:szCs w:val="16"/>
              </w:rPr>
              <w:t xml:space="preserve">398.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1,793,259,386. </w:t>
            </w:r>
            <w:r>
              <w:rPr>
                <w:color w:val="000000"/>
                <w:spacing w:val="0"/>
                <w:w w:val="100"/>
                <w:position w:val="0"/>
                <w:sz w:val="16"/>
                <w:szCs w:val="16"/>
              </w:rPr>
              <w:t>93</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158,575, </w:t>
            </w:r>
            <w:r>
              <w:rPr>
                <w:color w:val="000000"/>
                <w:spacing w:val="0"/>
                <w:w w:val="100"/>
                <w:position w:val="0"/>
                <w:sz w:val="16"/>
                <w:szCs w:val="16"/>
              </w:rPr>
              <w:t xml:space="preserve">139.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158, 575, </w:t>
            </w:r>
            <w:r>
              <w:rPr>
                <w:color w:val="000000"/>
                <w:spacing w:val="0"/>
                <w:w w:val="100"/>
                <w:position w:val="0"/>
                <w:sz w:val="16"/>
                <w:szCs w:val="16"/>
              </w:rPr>
              <w:t xml:space="preserve">139.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91,470, </w:t>
            </w:r>
            <w:r>
              <w:rPr>
                <w:color w:val="000000"/>
                <w:spacing w:val="0"/>
                <w:w w:val="100"/>
                <w:position w:val="0"/>
                <w:sz w:val="16"/>
                <w:szCs w:val="16"/>
              </w:rPr>
              <w:t xml:space="preserve">081.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91,470, </w:t>
            </w:r>
            <w:r>
              <w:rPr>
                <w:color w:val="000000"/>
                <w:spacing w:val="0"/>
                <w:w w:val="100"/>
                <w:position w:val="0"/>
                <w:sz w:val="16"/>
                <w:szCs w:val="16"/>
              </w:rPr>
              <w:t xml:space="preserve">081. </w:t>
            </w:r>
            <w:r>
              <w:rPr>
                <w:color w:val="000000"/>
                <w:spacing w:val="0"/>
                <w:w w:val="100"/>
                <w:position w:val="0"/>
                <w:sz w:val="16"/>
                <w:szCs w:val="16"/>
              </w:rPr>
              <w:t>05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71,217,529.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62,547,513.28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67,939, </w:t>
            </w:r>
            <w:r>
              <w:rPr>
                <w:color w:val="000000"/>
                <w:spacing w:val="0"/>
                <w:w w:val="100"/>
                <w:position w:val="0"/>
                <w:sz w:val="16"/>
                <w:szCs w:val="16"/>
              </w:rPr>
              <w:t xml:space="preserve">886.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61, 194, </w:t>
            </w:r>
            <w:r>
              <w:rPr>
                <w:color w:val="000000"/>
                <w:spacing w:val="0"/>
                <w:w w:val="100"/>
                <w:position w:val="0"/>
                <w:sz w:val="16"/>
                <w:szCs w:val="16"/>
              </w:rPr>
              <w:t xml:space="preserve">400. </w:t>
            </w:r>
            <w:r>
              <w:rPr>
                <w:color w:val="000000"/>
                <w:spacing w:val="0"/>
                <w:w w:val="100"/>
                <w:position w:val="0"/>
                <w:sz w:val="16"/>
                <w:szCs w:val="16"/>
              </w:rPr>
              <w:t>10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58,258,592.44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113,594. </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258,592.44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113,594.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1,010, </w:t>
            </w:r>
            <w:r>
              <w:rPr>
                <w:color w:val="000000"/>
                <w:spacing w:val="0"/>
                <w:w w:val="100"/>
                <w:position w:val="0"/>
                <w:sz w:val="16"/>
                <w:szCs w:val="16"/>
              </w:rPr>
              <w:t>820,615.73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1, 193, 906, </w:t>
            </w:r>
            <w:r>
              <w:rPr>
                <w:color w:val="000000"/>
                <w:spacing w:val="0"/>
                <w:w w:val="100"/>
                <w:position w:val="0"/>
                <w:sz w:val="16"/>
                <w:szCs w:val="16"/>
              </w:rPr>
              <w:t>741.48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1,027,536,593.31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1, 199,717, </w:t>
            </w:r>
            <w:r>
              <w:rPr>
                <w:color w:val="000000"/>
                <w:spacing w:val="0"/>
                <w:w w:val="100"/>
                <w:position w:val="0"/>
                <w:sz w:val="16"/>
                <w:szCs w:val="16"/>
              </w:rPr>
              <w:t xml:space="preserve">051. </w:t>
            </w:r>
            <w:r>
              <w:rPr>
                <w:color w:val="000000"/>
                <w:spacing w:val="0"/>
                <w:w w:val="100"/>
                <w:position w:val="0"/>
                <w:sz w:val="16"/>
                <w:szCs w:val="16"/>
              </w:rPr>
              <w:t>98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157,495,393.37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157,495,393.37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 </w:t>
            </w:r>
            <w:r>
              <w:rPr>
                <w:color w:val="000000"/>
                <w:spacing w:val="0"/>
                <w:w w:val="100"/>
                <w:position w:val="0"/>
                <w:sz w:val="16"/>
                <w:szCs w:val="16"/>
              </w:rPr>
              <w:t>352,724.21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 </w:t>
            </w:r>
            <w:r>
              <w:rPr>
                <w:color w:val="000000"/>
                <w:spacing w:val="0"/>
                <w:w w:val="100"/>
                <w:position w:val="0"/>
                <w:sz w:val="16"/>
                <w:szCs w:val="16"/>
              </w:rPr>
              <w:t>352,724.21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对</w:t>
      </w:r>
      <w:r>
        <w:rPr>
          <w:color w:val="000000"/>
          <w:spacing w:val="0"/>
          <w:w w:val="100"/>
          <w:position w:val="0"/>
          <w:sz w:val="16"/>
          <w:szCs w:val="16"/>
        </w:rPr>
        <w:t>2020</w:t>
      </w:r>
      <w:r>
        <w:rPr>
          <w:color w:val="000000"/>
          <w:spacing w:val="0"/>
          <w:w w:val="100"/>
          <w:position w:val="0"/>
        </w:rPr>
        <w:t>年度利润表的影响</w:t>
      </w:r>
    </w:p>
    <w:p>
      <w:pPr>
        <w:widowControl w:val="0"/>
        <w:spacing w:after="39" w:line="1" w:lineRule="exact"/>
      </w:pPr>
    </w:p>
    <w:p>
      <w:pPr>
        <w:widowControl w:val="0"/>
        <w:spacing w:line="1" w:lineRule="exact"/>
      </w:pPr>
    </w:p>
    <w:tbl>
      <w:tblPr>
        <w:tblOverlap w:val="never"/>
        <w:jc w:val="center"/>
        <w:tblLayout w:type="fixed"/>
      </w:tblPr>
      <w:tblGrid>
        <w:gridCol w:w="2525"/>
        <w:gridCol w:w="1843"/>
        <w:gridCol w:w="1560"/>
        <w:gridCol w:w="1843"/>
        <w:gridCol w:w="1426"/>
      </w:tblGrid>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年度新收入准则下金额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年度原收入准则下金额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公司报表</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11,860,353.62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25,539, </w:t>
            </w:r>
            <w:r>
              <w:rPr>
                <w:color w:val="000000"/>
                <w:spacing w:val="0"/>
                <w:w w:val="100"/>
                <w:position w:val="0"/>
                <w:sz w:val="16"/>
                <w:szCs w:val="16"/>
              </w:rPr>
              <w:t>149.53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-13, 429,295.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11,224, </w:t>
            </w:r>
            <w:r>
              <w:rPr>
                <w:color w:val="000000"/>
                <w:spacing w:val="0"/>
                <w:w w:val="100"/>
                <w:position w:val="0"/>
                <w:sz w:val="16"/>
                <w:szCs w:val="16"/>
              </w:rPr>
              <w:t>825.65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284, </w:t>
            </w:r>
            <w:r>
              <w:rPr>
                <w:color w:val="000000"/>
                <w:spacing w:val="0"/>
                <w:w w:val="100"/>
                <w:position w:val="0"/>
                <w:sz w:val="16"/>
                <w:szCs w:val="16"/>
              </w:rPr>
              <w:t xml:space="preserve">434.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-1,836,013.43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-3,445,024.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22,959,780.25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27,335,820.46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23,000,350.57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25,464, </w:t>
            </w:r>
            <w:r>
              <w:rPr>
                <w:color w:val="000000"/>
                <w:spacing w:val="0"/>
                <w:w w:val="100"/>
                <w:position w:val="0"/>
                <w:sz w:val="16"/>
                <w:szCs w:val="16"/>
              </w:rPr>
              <w:t>073.89</w:t>
            </w:r>
          </w:p>
        </w:tc>
      </w:tr>
    </w:tbl>
    <w:p>
      <w:pPr>
        <w:widowControl w:val="0"/>
        <w:spacing w:after="319" w:line="1" w:lineRule="exact"/>
      </w:pPr>
    </w:p>
    <w:p>
      <w:pPr>
        <w:pStyle w:val="Style47"/>
        <w:keepNext/>
        <w:keepLines/>
        <w:widowControl w:val="0"/>
        <w:numPr>
          <w:ilvl w:val="0"/>
          <w:numId w:val="25"/>
        </w:numPr>
        <w:shd w:val="clear" w:color="auto" w:fill="auto"/>
        <w:tabs>
          <w:tab w:pos="493" w:val="left"/>
        </w:tabs>
        <w:bidi w:val="0"/>
        <w:spacing w:before="0" w:line="240" w:lineRule="auto"/>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重要会计估计变更</w:t>
      </w:r>
      <w:bookmarkEnd w:id="953"/>
      <w:bookmarkEnd w:id="954"/>
      <w:bookmarkEnd w:id="95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25"/>
        </w:numPr>
        <w:shd w:val="clear" w:color="auto" w:fill="auto"/>
        <w:tabs>
          <w:tab w:pos="493" w:val="left"/>
        </w:tabs>
        <w:bidi w:val="0"/>
        <w:spacing w:before="0" w:line="240" w:lineRule="auto"/>
        <w:ind w:left="0" w:right="0" w:firstLine="0"/>
        <w:jc w:val="left"/>
      </w:pPr>
      <w:bookmarkStart w:id="957" w:name="bookmark957"/>
      <w:bookmarkStart w:id="958" w:name="bookmark958"/>
      <w:bookmarkStart w:id="959" w:name="bookmark959"/>
      <w:bookmarkStart w:id="960" w:name="bookmark960"/>
      <w:bookmarkEnd w:id="95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57"/>
      <w:bookmarkEnd w:id="958"/>
      <w:bookmarkEnd w:id="96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634,221,957.43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634,221,957.43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1,466,422,666.61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1,415,743,767.11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-50,678,899.50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156,087,890.85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156,087,890.85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347,522,885.45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347,522,885.45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1,761,337,689.38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190,636,682.42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-1,570,701,006.96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1,586,925,322.90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1,586,925,322.90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2,458,420.63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2,458,420.63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4,368,611,510.35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4,334,156,926.79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-34,454,583.56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634,035,259.83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634,035,259.83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207,548,167.24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207,548,167.24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39,893,577.98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39,893,577.98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198,384,279.86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198,384,279.86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24,750,961.58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24,750,961.58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3,940,032.27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3,940,032.27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67,686,285.57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70,911,145.31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3,224,859.74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63,074,268.25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76,029,786.84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12,955,518.59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2,103,905,354.99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2,120,085,733.32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16,180,378.33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6,472,516,865.34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6,454,242,660.11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61,522,868.51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61,522,868.51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959,854,076.80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959,854,076.80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19,283,950.69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19,283,950.69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136,463,148.18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136,463,148.18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153,475,082.59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153,475,082.59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3,134,725,877.01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3,134,725,877.01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5,974,423.25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5,974,423.25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7,634,423.25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7,634,423.25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3,142,360,300.26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3,142,360,300.26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1,586,429,599.92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1,586,429,599.92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138,804,173.96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136,976,753.44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910,171,101.96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893,724,317.25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-16,446,784.71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3,291,194,843.44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3,272,920,638.21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38,961,721.64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38,961,721.64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3,330,156,565.08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3,311,882,359.85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-18,274,205.23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6,472,516,865.34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6,454,242,660.11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-18,274,205.23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572,074,384.57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572,074,384.57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1,460,993,497.36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1,410,314,597.86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-50,678,899.50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153,744,161.34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153,744,161.34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546,187,446.07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546,187,446.07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1,708,940,242.79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138,239,235.83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-1,570,701,006.96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1,586,925,322.90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1,586,925,322.90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323,168.07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323,168.07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4,442,822,900.20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4,408,368,316.64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-34,454,583.56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46,230,898.25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46,230,898.25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943,482,772.33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943,482,772.33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110,128,224.08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110,128,224.08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518,871,721.12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518,871,721.12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39,449,541.28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39,449,541.28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101,228,139.73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101,228,139.73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22,788,569.42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22,788,569.42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1,251,256.91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65,815,880.83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69,040,740.57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3,224,859.74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63,074,268.25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76,029,786.84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12,955,518.59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2,195,096,911.18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2,211,277,289.51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16,180,378.33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6,637,919,811.38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6,619,645,606.15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61,722,868.51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61,722,868.51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1,004,464,222.13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1,004,464,222.13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147,275,504.68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-147,275,504.68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147,275,504.68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147,275,504.68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12,500,593.12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12,500,593.12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131,184,144.74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131,184,144.74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214,255,897.20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214,255,897.20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3,205,853,230.38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3,205,853,230.38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4,144,458.93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4,144,458.93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5,644,458.93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5,644,458.93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3,211,497,689.31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3,211,497,689.31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1,586,468,541.08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1,586,468,541.08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138,804,173.96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136,976,753.44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1,045,359,439.43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1,028,912,654.72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-16,446,784.71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3,426,422,122.07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3,408,147,916.84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6,637,919,811.38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6,619,645,606.15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-18,274,205.23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7"/>
        <w:keepNext/>
        <w:keepLines/>
        <w:widowControl w:val="0"/>
        <w:shd w:val="clear" w:color="auto" w:fill="auto"/>
        <w:tabs>
          <w:tab w:pos="493" w:val="left"/>
        </w:tabs>
        <w:bidi w:val="0"/>
        <w:spacing w:before="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shd w:val="clear" w:color="auto" w:fill="FFFFFF"/>
        </w:rPr>
        <w:t>（</w:t>
      </w:r>
      <w:bookmarkEnd w:id="96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61"/>
      <w:bookmarkEnd w:id="962"/>
      <w:bookmarkEnd w:id="96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详见第五节</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重要会计政策变更。</w:t>
      </w:r>
    </w:p>
    <w:p>
      <w:pPr>
        <w:pStyle w:val="Style33"/>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65"/>
      <w:bookmarkEnd w:id="966"/>
      <w:bookmarkEnd w:id="967"/>
    </w:p>
    <w:p>
      <w:pPr>
        <w:pStyle w:val="Style28"/>
        <w:keepNext/>
        <w:keepLines/>
        <w:widowControl w:val="0"/>
        <w:shd w:val="clear" w:color="auto" w:fill="auto"/>
        <w:bidi w:val="0"/>
        <w:spacing w:before="0" w:after="3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六</w:t>
      </w:r>
      <w:bookmarkEnd w:id="970"/>
      <w:r>
        <w:rPr>
          <w:color w:val="000000"/>
          <w:spacing w:val="0"/>
          <w:w w:val="100"/>
          <w:position w:val="0"/>
        </w:rPr>
        <w:t>、税项</w:t>
      </w:r>
      <w:bookmarkEnd w:id="968"/>
      <w:bookmarkEnd w:id="969"/>
      <w:bookmarkEnd w:id="971"/>
    </w:p>
    <w:p>
      <w:pPr>
        <w:pStyle w:val="Style33"/>
        <w:keepNext/>
        <w:keepLines/>
        <w:widowControl w:val="0"/>
        <w:shd w:val="clear" w:color="auto" w:fill="auto"/>
        <w:bidi w:val="0"/>
        <w:spacing w:before="0" w:after="30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color w:val="000000"/>
          <w:spacing w:val="0"/>
          <w:w w:val="100"/>
          <w:position w:val="0"/>
        </w:rPr>
        <w:t>、主要税种及税率</w:t>
      </w:r>
      <w:bookmarkEnd w:id="972"/>
      <w:bookmarkEnd w:id="973"/>
      <w:bookmarkEnd w:id="9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应税收入按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的税率计算销项税，并按扣除当 期允许抵扣的进项税额后的差额计缴增</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值税。详见注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本集团存在适用不同税率的企业所得税 纳税主体，详见注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按房产原值</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计缴和按租金收 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其他分子公司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color w:val="000000"/>
          <w:spacing w:val="0"/>
          <w:w w:val="100"/>
          <w:position w:val="0"/>
        </w:rPr>
        <w:t>、税收优惠</w:t>
      </w:r>
      <w:bookmarkEnd w:id="976"/>
      <w:bookmarkEnd w:id="977"/>
      <w:bookmarkEnd w:id="97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w:t>
      </w:r>
      <w:r>
        <w:rPr>
          <w:color w:val="000000"/>
          <w:spacing w:val="0"/>
          <w:w w:val="100"/>
          <w:position w:val="0"/>
        </w:rPr>
        <w:t>日经浙江省科学技术厅、浙江省财政局、国家税务总局浙江省税务局认证，取得编号为</w:t>
      </w:r>
      <w:r>
        <w:rPr>
          <w:color w:val="000000"/>
          <w:spacing w:val="0"/>
          <w:w w:val="100"/>
          <w:position w:val="0"/>
          <w:sz w:val="16"/>
          <w:szCs w:val="16"/>
        </w:rPr>
        <w:t xml:space="preserve">GR202033004659 </w:t>
      </w:r>
      <w:r>
        <w:rPr>
          <w:color w:val="000000"/>
          <w:spacing w:val="0"/>
          <w:w w:val="100"/>
          <w:position w:val="0"/>
        </w:rPr>
        <w:t>的《高新技术企业证书》，高新技术企业证书有效期为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的企业所得税税率。</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子公司浙江银江智慧交通集团有限公司于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w:t>
      </w:r>
      <w:r>
        <w:rPr>
          <w:color w:val="000000"/>
          <w:spacing w:val="0"/>
          <w:w w:val="100"/>
          <w:position w:val="0"/>
        </w:rPr>
        <w:t>日经浙江省科学技术厅、浙江省财政局、国家税务总局浙江省税务局 认证，取得编号为</w:t>
      </w:r>
      <w:r>
        <w:rPr>
          <w:color w:val="000000"/>
          <w:spacing w:val="0"/>
          <w:w w:val="100"/>
          <w:position w:val="0"/>
          <w:sz w:val="16"/>
          <w:szCs w:val="16"/>
        </w:rPr>
        <w:t>GR202033001046</w:t>
      </w:r>
      <w:r>
        <w:rPr>
          <w:color w:val="000000"/>
          <w:spacing w:val="0"/>
          <w:w w:val="100"/>
          <w:position w:val="0"/>
        </w:rPr>
        <w:t>的《高新技术企业证书》，高新技术企业证书有效期为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 税税率。</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子公司浙江银江交通技术有限公司于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w:t>
      </w:r>
      <w:r>
        <w:rPr>
          <w:color w:val="000000"/>
          <w:spacing w:val="0"/>
          <w:w w:val="100"/>
          <w:position w:val="0"/>
        </w:rPr>
        <w:t>日经浙江省科学技术厅、浙江省财政局、国家税务总局浙江省税务局认证， 取得编号为</w:t>
      </w:r>
      <w:r>
        <w:rPr>
          <w:color w:val="000000"/>
          <w:spacing w:val="0"/>
          <w:w w:val="100"/>
          <w:position w:val="0"/>
          <w:sz w:val="16"/>
          <w:szCs w:val="16"/>
        </w:rPr>
        <w:t>GR202033006769</w:t>
      </w:r>
      <w:r>
        <w:rPr>
          <w:color w:val="000000"/>
          <w:spacing w:val="0"/>
          <w:w w:val="100"/>
          <w:position w:val="0"/>
        </w:rPr>
        <w:t>的《高新技术企业证书》</w:t>
      </w:r>
      <w:r>
        <w:rPr>
          <w:color w:val="000000"/>
          <w:spacing w:val="0"/>
          <w:w w:val="100"/>
          <w:position w:val="0"/>
          <w:sz w:val="16"/>
          <w:szCs w:val="16"/>
        </w:rPr>
        <w:t>，</w:t>
      </w:r>
      <w:r>
        <w:rPr>
          <w:color w:val="000000"/>
          <w:spacing w:val="0"/>
          <w:w w:val="100"/>
          <w:position w:val="0"/>
        </w:rPr>
        <w:t>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的企业所得税税率。</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子公司健康宝互联网技术有限公司于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日经浙江省科学技术厅、浙江省财政局、国家税务总局浙江省税务局认证， 取得编号为</w:t>
      </w:r>
      <w:r>
        <w:rPr>
          <w:color w:val="000000"/>
          <w:spacing w:val="0"/>
          <w:w w:val="100"/>
          <w:position w:val="0"/>
          <w:sz w:val="16"/>
          <w:szCs w:val="16"/>
        </w:rPr>
        <w:t>GR201833001816</w:t>
      </w:r>
      <w:r>
        <w:rPr>
          <w:color w:val="000000"/>
          <w:spacing w:val="0"/>
          <w:w w:val="100"/>
          <w:position w:val="0"/>
        </w:rPr>
        <w:t>的《高新技术企业证书》，高新技术企业证书有效期为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的企业所得税税率。 子公司江西银江智慧城市信息技术有限公司于年</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4</w:t>
      </w:r>
      <w:r>
        <w:rPr>
          <w:color w:val="000000"/>
          <w:spacing w:val="0"/>
          <w:w w:val="100"/>
          <w:position w:val="0"/>
        </w:rPr>
        <w:t>日经江西省科学技术厅、江西省财政厅、国家税务总局江西省 税务局认证，取得编号为</w:t>
      </w:r>
      <w:r>
        <w:rPr>
          <w:color w:val="000000"/>
          <w:spacing w:val="0"/>
          <w:w w:val="100"/>
          <w:position w:val="0"/>
          <w:sz w:val="16"/>
          <w:szCs w:val="16"/>
        </w:rPr>
        <w:t>GR201836001310</w:t>
      </w:r>
      <w:r>
        <w:rPr>
          <w:color w:val="000000"/>
          <w:spacing w:val="0"/>
          <w:w w:val="100"/>
          <w:position w:val="0"/>
        </w:rPr>
        <w:t>的《高新技术企业证书》，高新技术企业证书有效期为</w:t>
      </w:r>
      <w:r>
        <w:rPr>
          <w:color w:val="000000"/>
          <w:spacing w:val="0"/>
          <w:w w:val="100"/>
          <w:position w:val="0"/>
          <w:sz w:val="16"/>
          <w:szCs w:val="16"/>
        </w:rPr>
        <w:t>3</w:t>
      </w:r>
      <w:r>
        <w:rPr>
          <w:color w:val="000000"/>
          <w:spacing w:val="0"/>
          <w:w w:val="100"/>
          <w:position w:val="0"/>
        </w:rPr>
        <w:t>年，有效期限内适用</w:t>
      </w:r>
      <w:r>
        <w:rPr>
          <w:color w:val="000000"/>
          <w:spacing w:val="0"/>
          <w:w w:val="100"/>
          <w:position w:val="0"/>
          <w:sz w:val="16"/>
          <w:szCs w:val="16"/>
        </w:rPr>
        <w:t xml:space="preserve">15% </w:t>
      </w:r>
      <w:r>
        <w:rPr>
          <w:color w:val="000000"/>
          <w:spacing w:val="0"/>
          <w:w w:val="100"/>
          <w:position w:val="0"/>
        </w:rPr>
        <w:t>的企业所得税税率。</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子公司杭州银江智慧城市技术集团有限公司于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日经浙江省科学技术厅、浙江省财政厅、国家税务总局浙江省税 务局认证，取得编号为</w:t>
      </w:r>
      <w:r>
        <w:rPr>
          <w:color w:val="000000"/>
          <w:spacing w:val="0"/>
          <w:w w:val="100"/>
          <w:position w:val="0"/>
          <w:sz w:val="16"/>
          <w:szCs w:val="16"/>
        </w:rPr>
        <w:t>GR201933002955</w:t>
      </w:r>
      <w:r>
        <w:rPr>
          <w:color w:val="000000"/>
          <w:spacing w:val="0"/>
          <w:w w:val="100"/>
          <w:position w:val="0"/>
        </w:rPr>
        <w:t>的《高新技术企业证书》，高新技术企业证书有效期为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 所得税税率。</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子公司浙江银江研究院有限公司于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日经浙江省科学技术厅、浙江省财政厅、国家税务总局浙江省税务局认证， 取得编号为</w:t>
      </w:r>
      <w:r>
        <w:rPr>
          <w:color w:val="000000"/>
          <w:spacing w:val="0"/>
          <w:w w:val="100"/>
          <w:position w:val="0"/>
          <w:sz w:val="16"/>
          <w:szCs w:val="16"/>
        </w:rPr>
        <w:t>GR201833003050</w:t>
      </w:r>
      <w:r>
        <w:rPr>
          <w:color w:val="000000"/>
          <w:spacing w:val="0"/>
          <w:w w:val="100"/>
          <w:position w:val="0"/>
        </w:rPr>
        <w:t>的《高新技术企业证书》</w:t>
      </w:r>
      <w:r>
        <w:rPr>
          <w:color w:val="000000"/>
          <w:spacing w:val="0"/>
          <w:w w:val="100"/>
          <w:position w:val="0"/>
          <w:sz w:val="16"/>
          <w:szCs w:val="16"/>
        </w:rPr>
        <w:t>，</w:t>
      </w:r>
      <w:r>
        <w:rPr>
          <w:color w:val="000000"/>
          <w:spacing w:val="0"/>
          <w:w w:val="100"/>
          <w:position w:val="0"/>
        </w:rPr>
        <w:t>高新技术企业证书有效期为</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的企业所得税税率。</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子企业沈阳智享大健康信息科技有限公司于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22</w:t>
      </w:r>
      <w:r>
        <w:rPr>
          <w:color w:val="000000"/>
          <w:spacing w:val="0"/>
          <w:w w:val="100"/>
          <w:position w:val="0"/>
        </w:rPr>
        <w:t xml:space="preserve">日经辽宁省科学技术厅、辽宁省财政局、国家税务总局辽宁省税务 </w:t>
      </w:r>
      <w:r>
        <w:rPr>
          <w:color w:val="000000"/>
          <w:spacing w:val="0"/>
          <w:w w:val="100"/>
          <w:position w:val="0"/>
        </w:rPr>
        <w:t>局认证，取得编号为</w:t>
      </w:r>
      <w:r>
        <w:rPr>
          <w:color w:val="000000"/>
          <w:spacing w:val="0"/>
          <w:w w:val="100"/>
          <w:position w:val="0"/>
          <w:sz w:val="16"/>
          <w:szCs w:val="16"/>
        </w:rPr>
        <w:t>GR201921000072</w:t>
      </w:r>
      <w:r>
        <w:rPr>
          <w:color w:val="000000"/>
          <w:spacing w:val="0"/>
          <w:w w:val="100"/>
          <w:position w:val="0"/>
        </w:rPr>
        <w:t>号《高新技术企业证书》，高新技术企业证书有效期</w:t>
      </w:r>
      <w:r>
        <w:rPr>
          <w:color w:val="000000"/>
          <w:spacing w:val="0"/>
          <w:w w:val="100"/>
          <w:position w:val="0"/>
          <w:sz w:val="16"/>
          <w:szCs w:val="16"/>
        </w:rPr>
        <w:t>3</w:t>
      </w:r>
      <w:r>
        <w:rPr>
          <w:color w:val="000000"/>
          <w:spacing w:val="0"/>
          <w:w w:val="100"/>
          <w:position w:val="0"/>
        </w:rPr>
        <w:t>年，有效期内适用</w:t>
      </w:r>
      <w:r>
        <w:rPr>
          <w:color w:val="000000"/>
          <w:spacing w:val="0"/>
          <w:w w:val="100"/>
          <w:position w:val="0"/>
          <w:sz w:val="16"/>
          <w:szCs w:val="16"/>
        </w:rPr>
        <w:t>15%</w:t>
      </w:r>
      <w:r>
        <w:rPr>
          <w:color w:val="000000"/>
          <w:spacing w:val="0"/>
          <w:w w:val="100"/>
          <w:position w:val="0"/>
        </w:rPr>
        <w:t>的企业所得 税税率。</w:t>
      </w:r>
    </w:p>
    <w:p>
      <w:pPr>
        <w:pStyle w:val="Style30"/>
        <w:keepNext w:val="0"/>
        <w:keepLines w:val="0"/>
        <w:widowControl w:val="0"/>
        <w:shd w:val="clear" w:color="auto" w:fill="auto"/>
        <w:tabs>
          <w:tab w:pos="5662" w:val="left"/>
        </w:tabs>
        <w:bidi w:val="0"/>
        <w:spacing w:before="0" w:after="0" w:line="318" w:lineRule="exact"/>
        <w:ind w:left="0" w:right="0" w:firstLine="0"/>
        <w:jc w:val="both"/>
      </w:pPr>
      <w:r>
        <w:rPr>
          <w:color w:val="000000"/>
          <w:spacing w:val="0"/>
          <w:w w:val="100"/>
          <w:position w:val="0"/>
        </w:rPr>
        <w:t>根据《关于实施小微企业普惠性税收减免政策的通知》（财税〔</w:t>
      </w:r>
      <w:r>
        <w:rPr>
          <w:color w:val="000000"/>
          <w:spacing w:val="0"/>
          <w:w w:val="100"/>
          <w:position w:val="0"/>
          <w:sz w:val="16"/>
          <w:szCs w:val="16"/>
        </w:rPr>
        <w:t>2019</w:t>
      </w:r>
      <w:r>
        <w:rPr>
          <w:color w:val="000000"/>
          <w:spacing w:val="0"/>
          <w:w w:val="100"/>
          <w:position w:val="0"/>
        </w:rPr>
        <w:t>〕</w:t>
        <w:tab/>
      </w:r>
      <w:r>
        <w:rPr>
          <w:color w:val="000000"/>
          <w:spacing w:val="0"/>
          <w:w w:val="100"/>
          <w:position w:val="0"/>
          <w:sz w:val="16"/>
          <w:szCs w:val="16"/>
        </w:rPr>
        <w:t>13</w:t>
      </w:r>
      <w:r>
        <w:rPr>
          <w:color w:val="000000"/>
          <w:spacing w:val="0"/>
          <w:w w:val="100"/>
          <w:position w:val="0"/>
        </w:rPr>
        <w:t>号）之规定：</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对月销售额</w:t>
      </w:r>
      <w:r>
        <w:rPr>
          <w:color w:val="000000"/>
          <w:spacing w:val="0"/>
          <w:w w:val="100"/>
          <w:position w:val="0"/>
          <w:sz w:val="16"/>
          <w:szCs w:val="16"/>
        </w:rPr>
        <w:t>10</w:t>
      </w:r>
      <w:r>
        <w:rPr>
          <w:color w:val="000000"/>
          <w:spacing w:val="0"/>
          <w:w w:val="100"/>
          <w:position w:val="0"/>
        </w:rPr>
        <w:t>万元以下（含本数）的增值税小规模纳税人，免征增值税；对小型微利企业年应纳税所得额不超过</w:t>
      </w:r>
      <w:r>
        <w:rPr>
          <w:color w:val="000000"/>
          <w:spacing w:val="0"/>
          <w:w w:val="100"/>
          <w:position w:val="0"/>
          <w:sz w:val="16"/>
          <w:szCs w:val="16"/>
        </w:rPr>
        <w:t>100</w:t>
      </w:r>
      <w:r>
        <w:rPr>
          <w:color w:val="000000"/>
          <w:spacing w:val="0"/>
          <w:w w:val="100"/>
          <w:position w:val="0"/>
        </w:rPr>
        <w:t>万 元的部分，减按</w:t>
      </w:r>
      <w:r>
        <w:rPr>
          <w:color w:val="000000"/>
          <w:spacing w:val="0"/>
          <w:w w:val="100"/>
          <w:position w:val="0"/>
          <w:sz w:val="16"/>
          <w:szCs w:val="16"/>
        </w:rPr>
        <w:t>25%</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的税率缴纳企业所得税；对年应纳税所得额超过</w:t>
      </w:r>
      <w:r>
        <w:rPr>
          <w:color w:val="000000"/>
          <w:spacing w:val="0"/>
          <w:w w:val="100"/>
          <w:position w:val="0"/>
          <w:sz w:val="16"/>
          <w:szCs w:val="16"/>
        </w:rPr>
        <w:t>100</w:t>
      </w:r>
      <w:r>
        <w:rPr>
          <w:color w:val="000000"/>
          <w:spacing w:val="0"/>
          <w:w w:val="100"/>
          <w:position w:val="0"/>
        </w:rPr>
        <w:t>万元但不超过</w:t>
      </w:r>
      <w:r>
        <w:rPr>
          <w:color w:val="000000"/>
          <w:spacing w:val="0"/>
          <w:w w:val="100"/>
          <w:position w:val="0"/>
          <w:sz w:val="16"/>
          <w:szCs w:val="16"/>
        </w:rPr>
        <w:t>300</w:t>
      </w:r>
      <w:r>
        <w:rPr>
          <w:color w:val="000000"/>
          <w:spacing w:val="0"/>
          <w:w w:val="100"/>
          <w:position w:val="0"/>
        </w:rPr>
        <w:t>万 元的部分，减按</w:t>
      </w:r>
      <w:r>
        <w:rPr>
          <w:color w:val="000000"/>
          <w:spacing w:val="0"/>
          <w:w w:val="100"/>
          <w:position w:val="0"/>
          <w:sz w:val="16"/>
          <w:szCs w:val="16"/>
        </w:rPr>
        <w:t>50%</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w:t>
      </w:r>
    </w:p>
    <w:p>
      <w:pPr>
        <w:pStyle w:val="Style30"/>
        <w:keepNext w:val="0"/>
        <w:keepLines w:val="0"/>
        <w:widowControl w:val="0"/>
        <w:shd w:val="clear" w:color="auto" w:fill="auto"/>
        <w:bidi w:val="0"/>
        <w:spacing w:before="0" w:after="380" w:line="318" w:lineRule="exact"/>
        <w:ind w:left="0" w:right="0" w:firstLine="0"/>
        <w:jc w:val="both"/>
      </w:pPr>
      <w:r>
        <w:rPr>
          <w:color w:val="000000"/>
          <w:spacing w:val="0"/>
          <w:w w:val="100"/>
          <w:position w:val="0"/>
        </w:rPr>
        <w:t>本期收到的与企业日常经营活动相关的其他税收优惠及批文详见本附注六、</w:t>
      </w:r>
      <w:r>
        <w:rPr>
          <w:color w:val="000000"/>
          <w:spacing w:val="0"/>
          <w:w w:val="100"/>
          <w:position w:val="0"/>
          <w:sz w:val="16"/>
          <w:szCs w:val="16"/>
        </w:rPr>
        <w:t>45</w:t>
      </w:r>
      <w:r>
        <w:rPr>
          <w:color w:val="000000"/>
          <w:spacing w:val="0"/>
          <w:w w:val="100"/>
          <w:position w:val="0"/>
        </w:rPr>
        <w:t>。</w:t>
      </w:r>
    </w:p>
    <w:p>
      <w:pPr>
        <w:pStyle w:val="Style33"/>
        <w:keepNext/>
        <w:keepLines/>
        <w:widowControl w:val="0"/>
        <w:shd w:val="clear" w:color="auto" w:fill="auto"/>
        <w:bidi w:val="0"/>
        <w:spacing w:before="0" w:after="24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color w:val="000000"/>
          <w:spacing w:val="0"/>
          <w:w w:val="100"/>
          <w:position w:val="0"/>
        </w:rPr>
        <w:t>、其他</w:t>
      </w:r>
      <w:bookmarkEnd w:id="980"/>
      <w:bookmarkEnd w:id="981"/>
      <w:bookmarkEnd w:id="983"/>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日前公司及其分子公司（一般纳税人）产品销售收入根据销售额的</w:t>
      </w:r>
      <w:r>
        <w:rPr>
          <w:color w:val="000000"/>
          <w:spacing w:val="0"/>
          <w:w w:val="100"/>
          <w:position w:val="0"/>
          <w:sz w:val="16"/>
          <w:szCs w:val="16"/>
        </w:rPr>
        <w:t>16%</w:t>
      </w:r>
      <w:r>
        <w:rPr>
          <w:color w:val="000000"/>
          <w:spacing w:val="0"/>
          <w:w w:val="100"/>
          <w:position w:val="0"/>
        </w:rPr>
        <w:t xml:space="preserve">计算销项税额，建筑业收入根据销售额的 </w:t>
      </w:r>
      <w:r>
        <w:rPr>
          <w:color w:val="000000"/>
          <w:spacing w:val="0"/>
          <w:w w:val="100"/>
          <w:position w:val="0"/>
          <w:sz w:val="16"/>
          <w:szCs w:val="16"/>
        </w:rPr>
        <w:t>10%</w:t>
      </w:r>
      <w:r>
        <w:rPr>
          <w:color w:val="000000"/>
          <w:spacing w:val="0"/>
          <w:w w:val="100"/>
          <w:position w:val="0"/>
        </w:rPr>
        <w:t>计算销项税额；</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日起公司及其分子公司产品销售收入根据销售额的</w:t>
      </w:r>
      <w:r>
        <w:rPr>
          <w:color w:val="000000"/>
          <w:spacing w:val="0"/>
          <w:w w:val="100"/>
          <w:position w:val="0"/>
          <w:sz w:val="16"/>
          <w:szCs w:val="16"/>
        </w:rPr>
        <w:t>13%</w:t>
      </w:r>
      <w:r>
        <w:rPr>
          <w:color w:val="000000"/>
          <w:spacing w:val="0"/>
          <w:w w:val="100"/>
          <w:position w:val="0"/>
        </w:rPr>
        <w:t>计算销项税额，建筑业收入根据销售额 的</w:t>
      </w:r>
      <w:r>
        <w:rPr>
          <w:color w:val="000000"/>
          <w:spacing w:val="0"/>
          <w:w w:val="100"/>
          <w:position w:val="0"/>
          <w:sz w:val="16"/>
          <w:szCs w:val="16"/>
        </w:rPr>
        <w:t>9%</w:t>
      </w:r>
      <w:r>
        <w:rPr>
          <w:color w:val="000000"/>
          <w:spacing w:val="0"/>
          <w:w w:val="100"/>
          <w:position w:val="0"/>
        </w:rPr>
        <w:t>计算销项税额，租赁收入按照租赁收入的</w:t>
      </w:r>
      <w:r>
        <w:rPr>
          <w:color w:val="000000"/>
          <w:spacing w:val="0"/>
          <w:w w:val="100"/>
          <w:position w:val="0"/>
          <w:sz w:val="16"/>
          <w:szCs w:val="16"/>
        </w:rPr>
        <w:t>9%</w:t>
      </w:r>
      <w:r>
        <w:rPr>
          <w:color w:val="000000"/>
          <w:spacing w:val="0"/>
          <w:w w:val="100"/>
          <w:position w:val="0"/>
        </w:rPr>
        <w:t>计算销项税额，技术服务收入根据销售额的</w:t>
      </w:r>
      <w:r>
        <w:rPr>
          <w:color w:val="000000"/>
          <w:spacing w:val="0"/>
          <w:w w:val="100"/>
          <w:position w:val="0"/>
          <w:sz w:val="16"/>
          <w:szCs w:val="16"/>
        </w:rPr>
        <w:t>6%</w:t>
      </w:r>
      <w:r>
        <w:rPr>
          <w:color w:val="000000"/>
          <w:spacing w:val="0"/>
          <w:w w:val="100"/>
          <w:position w:val="0"/>
        </w:rPr>
        <w:t>计算销项税额，再按规定扣除 进项税额后缴纳。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 xml:space="preserve">月前建筑业收入、租赁收入按照简易办法征收，建筑业收入即按照扣除分包收入后的销售额按照 </w:t>
      </w:r>
      <w:r>
        <w:rPr>
          <w:color w:val="000000"/>
          <w:spacing w:val="0"/>
          <w:w w:val="100"/>
          <w:position w:val="0"/>
          <w:sz w:val="16"/>
          <w:szCs w:val="16"/>
        </w:rPr>
        <w:t>3%</w:t>
      </w:r>
      <w:r>
        <w:rPr>
          <w:color w:val="000000"/>
          <w:spacing w:val="0"/>
          <w:w w:val="100"/>
          <w:position w:val="0"/>
        </w:rPr>
        <w:t>税率计算缴纳增值税，租赁收入按照租赁收入的</w:t>
      </w:r>
      <w:r>
        <w:rPr>
          <w:color w:val="000000"/>
          <w:spacing w:val="0"/>
          <w:w w:val="100"/>
          <w:position w:val="0"/>
          <w:sz w:val="16"/>
          <w:szCs w:val="16"/>
        </w:rPr>
        <w:t>5%</w:t>
      </w:r>
      <w:r>
        <w:rPr>
          <w:color w:val="000000"/>
          <w:spacing w:val="0"/>
          <w:w w:val="100"/>
          <w:position w:val="0"/>
        </w:rPr>
        <w:t>计算销项税额。</w:t>
      </w:r>
    </w:p>
    <w:p>
      <w:pPr>
        <w:pStyle w:val="Style28"/>
        <w:keepNext/>
        <w:keepLines/>
        <w:widowControl w:val="0"/>
        <w:shd w:val="clear" w:color="auto" w:fill="auto"/>
        <w:bidi w:val="0"/>
        <w:spacing w:before="0" w:after="380" w:line="240" w:lineRule="auto"/>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七</w:t>
      </w:r>
      <w:bookmarkEnd w:id="986"/>
      <w:r>
        <w:rPr>
          <w:color w:val="000000"/>
          <w:spacing w:val="0"/>
          <w:w w:val="100"/>
          <w:position w:val="0"/>
        </w:rPr>
        <w:t>、合并财务报表项目注释</w:t>
      </w:r>
      <w:bookmarkEnd w:id="984"/>
      <w:bookmarkEnd w:id="985"/>
      <w:bookmarkEnd w:id="987"/>
    </w:p>
    <w:p>
      <w:pPr>
        <w:pStyle w:val="Style33"/>
        <w:keepNext/>
        <w:keepLines/>
        <w:widowControl w:val="0"/>
        <w:shd w:val="clear" w:color="auto" w:fill="auto"/>
        <w:bidi w:val="0"/>
        <w:spacing w:before="0" w:after="38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color w:val="000000"/>
          <w:spacing w:val="0"/>
          <w:w w:val="100"/>
          <w:position w:val="0"/>
        </w:rPr>
        <w:t>、货币资金</w:t>
      </w:r>
      <w:bookmarkEnd w:id="988"/>
      <w:bookmarkEnd w:id="989"/>
      <w:bookmarkEnd w:id="9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633,648,444.98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592,703,752.27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65,873,364.18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41,478,260.32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699,721,404.35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634,221,957.43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82,217.28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88,987.38</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其中因抵押、质押或冻结等对使用有限制的货币资金明细如下:</w:t>
      </w:r>
    </w:p>
    <w:tbl>
      <w:tblPr>
        <w:tblOverlap w:val="never"/>
        <w:jc w:val="center"/>
        <w:tblLayout w:type="fixed"/>
      </w:tblPr>
      <w:tblGrid>
        <w:gridCol w:w="3082"/>
        <w:gridCol w:w="3134"/>
        <w:gridCol w:w="3019"/>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576"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上年年末余额</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已质押定期银行存款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31,744, </w:t>
            </w:r>
            <w:r>
              <w:rPr>
                <w:color w:val="000000"/>
                <w:spacing w:val="0"/>
                <w:w w:val="100"/>
                <w:position w:val="0"/>
                <w:sz w:val="16"/>
                <w:szCs w:val="16"/>
              </w:rPr>
              <w:t>095.00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152,024.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18, 654, </w:t>
            </w:r>
            <w:r>
              <w:rPr>
                <w:color w:val="000000"/>
                <w:spacing w:val="0"/>
                <w:w w:val="100"/>
                <w:position w:val="0"/>
                <w:sz w:val="16"/>
                <w:szCs w:val="16"/>
              </w:rPr>
              <w:t xml:space="preserve">728. </w:t>
            </w:r>
            <w:r>
              <w:rPr>
                <w:color w:val="000000"/>
                <w:spacing w:val="0"/>
                <w:w w:val="100"/>
                <w:position w:val="0"/>
                <w:sz w:val="16"/>
                <w:szCs w:val="16"/>
              </w:rPr>
              <w:t>44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24,761,514.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14,253,869.90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2,958,711.48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3,529,710.22</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542"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65,872,250.50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73,182,403.56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注:其他货币资金除上述受限资金</w:t>
      </w:r>
      <w:r>
        <w:rPr>
          <w:color w:val="000000"/>
          <w:spacing w:val="0"/>
          <w:w w:val="100"/>
          <w:position w:val="0"/>
          <w:sz w:val="16"/>
          <w:szCs w:val="16"/>
        </w:rPr>
        <w:t xml:space="preserve">65,872,250.5 </w:t>
      </w:r>
      <w:r>
        <w:rPr>
          <w:color w:val="000000"/>
          <w:spacing w:val="0"/>
          <w:w w:val="100"/>
          <w:position w:val="0"/>
          <w:sz w:val="16"/>
          <w:szCs w:val="16"/>
        </w:rPr>
        <w:t>0</w:t>
      </w:r>
      <w:r>
        <w:rPr>
          <w:color w:val="000000"/>
          <w:spacing w:val="0"/>
          <w:w w:val="100"/>
          <w:position w:val="0"/>
        </w:rPr>
        <w:t>元，剩余金额</w:t>
      </w:r>
      <w:r>
        <w:rPr>
          <w:color w:val="000000"/>
          <w:spacing w:val="0"/>
          <w:w w:val="100"/>
          <w:position w:val="0"/>
          <w:sz w:val="16"/>
          <w:szCs w:val="16"/>
        </w:rPr>
        <w:t>1,113.68</w:t>
      </w:r>
      <w:r>
        <w:rPr>
          <w:color w:val="000000"/>
          <w:spacing w:val="0"/>
          <w:w w:val="100"/>
          <w:position w:val="0"/>
        </w:rPr>
        <w:t>元为证券账户存出投资款余额。</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color w:val="000000"/>
          <w:spacing w:val="0"/>
          <w:w w:val="100"/>
          <w:position w:val="0"/>
        </w:rPr>
        <w:t>、交易性金融资产</w:t>
      </w:r>
      <w:bookmarkEnd w:id="992"/>
      <w:bookmarkEnd w:id="993"/>
      <w:bookmarkEnd w:id="99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tabs>
          <w:tab w:pos="378" w:val="left"/>
        </w:tabs>
        <w:bidi w:val="0"/>
        <w:spacing w:before="0" w:after="3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color w:val="000000"/>
          <w:spacing w:val="0"/>
          <w:w w:val="100"/>
          <w:position w:val="0"/>
        </w:rPr>
        <w:t>、</w:t>
        <w:tab/>
        <w:t>衍生金融资产</w:t>
      </w:r>
      <w:bookmarkEnd w:id="996"/>
      <w:bookmarkEnd w:id="997"/>
      <w:bookmarkEnd w:id="99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4</w:t>
      </w:r>
      <w:bookmarkEnd w:id="1002"/>
      <w:r>
        <w:rPr>
          <w:color w:val="000000"/>
          <w:spacing w:val="0"/>
          <w:w w:val="100"/>
          <w:position w:val="0"/>
        </w:rPr>
        <w:t>、</w:t>
        <w:tab/>
        <w:t>应收票据</w:t>
      </w:r>
      <w:bookmarkEnd w:id="1000"/>
      <w:bookmarkEnd w:id="1001"/>
      <w:bookmarkEnd w:id="1003"/>
    </w:p>
    <w:p>
      <w:pPr>
        <w:pStyle w:val="Style47"/>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4"/>
      <w:bookmarkEnd w:id="1005"/>
      <w:bookmarkEnd w:id="100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20,117,345.10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19,111,477.84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20,117,3</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1,005,86</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20,117,3</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1,005,86</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20,117,3</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1,005,86</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按单项计提坏账准备：期末无单项计提坏账准备的应收票据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20,117,345.10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20,117,345.10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组合中，按预期信用损失计提坏账准备的应收票据</w:t>
      </w:r>
    </w:p>
    <w:tbl>
      <w:tblPr>
        <w:tblOverlap w:val="never"/>
        <w:jc w:val="center"/>
        <w:tblLayout w:type="fixed"/>
      </w:tblPr>
      <w:tblGrid>
        <w:gridCol w:w="3014"/>
        <w:gridCol w:w="2266"/>
        <w:gridCol w:w="1987"/>
        <w:gridCol w:w="1853"/>
      </w:tblGrid>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117,345.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1,005, </w:t>
            </w:r>
            <w:r>
              <w:rPr>
                <w:color w:val="000000"/>
                <w:spacing w:val="0"/>
                <w:w w:val="100"/>
                <w:position w:val="0"/>
                <w:sz w:val="16"/>
                <w:szCs w:val="16"/>
              </w:rPr>
              <w:t xml:space="preserve">867.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bl>
    <w:p>
      <w:pPr>
        <w:widowControl w:val="0"/>
        <w:spacing w:after="319" w:line="1" w:lineRule="exact"/>
      </w:pPr>
    </w:p>
    <w:p>
      <w:pPr>
        <w:pStyle w:val="Style47"/>
        <w:keepNext/>
        <w:keepLines/>
        <w:widowControl w:val="0"/>
        <w:numPr>
          <w:ilvl w:val="0"/>
          <w:numId w:val="27"/>
        </w:numPr>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本期计提、收回或转回的坏账准备情况</w:t>
      </w:r>
      <w:bookmarkEnd w:id="1008"/>
      <w:bookmarkEnd w:id="1009"/>
      <w:bookmarkEnd w:id="101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1,005,867.26</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27"/>
        </w:numPr>
        <w:shd w:val="clear" w:color="auto" w:fill="auto"/>
        <w:tabs>
          <w:tab w:pos="493" w:val="left"/>
        </w:tabs>
        <w:bidi w:val="0"/>
        <w:spacing w:before="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期末公司已质押的应收票据</w:t>
      </w:r>
      <w:bookmarkEnd w:id="1012"/>
      <w:bookmarkEnd w:id="1013"/>
      <w:bookmarkEnd w:id="101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27"/>
        </w:numPr>
        <w:shd w:val="clear" w:color="auto" w:fill="auto"/>
        <w:tabs>
          <w:tab w:pos="493"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期末公司已背书或贴现且在资产负债表日尚未到期的应收票据</w:t>
      </w:r>
      <w:bookmarkEnd w:id="1016"/>
      <w:bookmarkEnd w:id="1017"/>
      <w:bookmarkEnd w:id="1019"/>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8,363,287.28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8,363,287.28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27"/>
        </w:numPr>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期末公司因出票人未履约而将其转应收账款的票据</w:t>
      </w:r>
      <w:bookmarkEnd w:id="1020"/>
      <w:bookmarkEnd w:id="1021"/>
      <w:bookmarkEnd w:id="1023"/>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24"/>
      <w:bookmarkEnd w:id="1025"/>
      <w:bookmarkEnd w:id="102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5</w:t>
      </w:r>
      <w:bookmarkEnd w:id="1030"/>
      <w:r>
        <w:rPr>
          <w:color w:val="000000"/>
          <w:spacing w:val="0"/>
          <w:w w:val="100"/>
          <w:position w:val="0"/>
        </w:rPr>
        <w:t>、应收账款</w:t>
      </w:r>
      <w:bookmarkEnd w:id="1028"/>
      <w:bookmarkEnd w:id="1029"/>
      <w:bookmarkEnd w:id="1031"/>
    </w:p>
    <w:p>
      <w:pPr>
        <w:pStyle w:val="Style47"/>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32"/>
      <w:bookmarkEnd w:id="1033"/>
      <w:bookmarkEnd w:id="103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1,926,70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1,635,029</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1,705,522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289,778,3</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1,415,743,7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1,926,70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1,635,029</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1,705,522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289,778,3</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1,415,743,7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1,926,70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291,674,</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1,635,029</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1,705,522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289,778,3</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1,415,743,7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1,926,703,938.37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291,674,535.72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1,926,703,938.37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291,674,535.72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1,033,277,852.69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450,677,880.16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257,822,858.32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184,925,347.20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31,937,873.58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42,038,532.61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110,948,941.01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1,926,703,938.37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6"/>
      <w:bookmarkEnd w:id="1037"/>
      <w:bookmarkEnd w:id="103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289,778,357.16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1,896,178.56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291,674,535.72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289,778,357.16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1,896,178.56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291,674,535.72</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40"/>
      <w:bookmarkEnd w:id="1041"/>
      <w:bookmarkEnd w:id="104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本期无实际核销的应收账款</w:t>
      </w:r>
    </w:p>
    <w:p>
      <w:pPr>
        <w:pStyle w:val="Style47"/>
        <w:keepNext/>
        <w:keepLines/>
        <w:widowControl w:val="0"/>
        <w:shd w:val="clear" w:color="auto" w:fill="auto"/>
        <w:tabs>
          <w:tab w:pos="493" w:val="left"/>
        </w:tabs>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44"/>
      <w:bookmarkEnd w:id="1045"/>
      <w:bookmarkEnd w:id="104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40,570,849.77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2,028,542.49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37,996,911.51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2,608,594.63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31,720,516.42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1,874,705.56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29,527,948.55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1,476,397.43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275,666,226.25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7"/>
        <w:keepNext/>
        <w:keepLines/>
        <w:widowControl w:val="0"/>
        <w:shd w:val="clear" w:color="auto" w:fill="auto"/>
        <w:tabs>
          <w:tab w:pos="493" w:val="left"/>
        </w:tabs>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48"/>
      <w:bookmarkEnd w:id="1049"/>
      <w:bookmarkEnd w:id="105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无因金融资产转移而终止确认的应收账款</w:t>
      </w:r>
    </w:p>
    <w:p>
      <w:pPr>
        <w:pStyle w:val="Style47"/>
        <w:keepNext/>
        <w:keepLines/>
        <w:widowControl w:val="0"/>
        <w:shd w:val="clear" w:color="auto" w:fill="auto"/>
        <w:tabs>
          <w:tab w:pos="493" w:val="left"/>
        </w:tabs>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52"/>
      <w:bookmarkEnd w:id="1053"/>
      <w:bookmarkEnd w:id="105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无转移应收账款且继续涉入形成的资产、负债金额</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6</w:t>
      </w:r>
      <w:bookmarkEnd w:id="1058"/>
      <w:r>
        <w:rPr>
          <w:color w:val="000000"/>
          <w:spacing w:val="0"/>
          <w:w w:val="100"/>
          <w:position w:val="0"/>
        </w:rPr>
        <w:t>、应收款项融资</w:t>
      </w:r>
      <w:bookmarkEnd w:id="1056"/>
      <w:bookmarkEnd w:id="1057"/>
      <w:bookmarkEnd w:id="105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7</w:t>
      </w:r>
      <w:bookmarkEnd w:id="1062"/>
      <w:r>
        <w:rPr>
          <w:color w:val="000000"/>
          <w:spacing w:val="0"/>
          <w:w w:val="100"/>
          <w:position w:val="0"/>
        </w:rPr>
        <w:t>、预付款项</w:t>
      </w:r>
      <w:bookmarkEnd w:id="1060"/>
      <w:bookmarkEnd w:id="1061"/>
      <w:bookmarkEnd w:id="1063"/>
    </w:p>
    <w:p>
      <w:pPr>
        <w:pStyle w:val="Style47"/>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4"/>
      <w:bookmarkEnd w:id="1065"/>
      <w:bookmarkEnd w:id="1067"/>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131,998,307.63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138,758,608.29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6,273,722.87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11,314,810.64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405,481.70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3,493,125.15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502,072.80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2,521,346.77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139,179,585.00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156,087,890.85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7"/>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8"/>
      <w:bookmarkEnd w:id="1069"/>
      <w:bookmarkEnd w:id="107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本集团按预付对象归集的期末余额前五名预付账款汇总金额为</w:t>
      </w:r>
      <w:r>
        <w:rPr>
          <w:color w:val="000000"/>
          <w:spacing w:val="0"/>
          <w:w w:val="100"/>
          <w:position w:val="0"/>
          <w:sz w:val="16"/>
          <w:szCs w:val="16"/>
        </w:rPr>
        <w:t xml:space="preserve">32, 658, </w:t>
      </w:r>
      <w:r>
        <w:rPr>
          <w:color w:val="000000"/>
          <w:spacing w:val="0"/>
          <w:w w:val="100"/>
          <w:position w:val="0"/>
          <w:sz w:val="16"/>
          <w:szCs w:val="16"/>
        </w:rPr>
        <w:t xml:space="preserve">019. </w:t>
      </w:r>
      <w:r>
        <w:rPr>
          <w:color w:val="000000"/>
          <w:spacing w:val="0"/>
          <w:w w:val="100"/>
          <w:position w:val="0"/>
          <w:sz w:val="16"/>
          <w:szCs w:val="16"/>
        </w:rPr>
        <w:t>67</w:t>
      </w:r>
      <w:r>
        <w:rPr>
          <w:color w:val="000000"/>
          <w:spacing w:val="0"/>
          <w:w w:val="100"/>
          <w:position w:val="0"/>
        </w:rPr>
        <w:t>元，占预付账款期末余额合计数的比例为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23.46%</w:t>
      </w:r>
      <w:r>
        <w:rPr>
          <w:color w:val="000000"/>
          <w:spacing w:val="0"/>
          <w:w w:val="100"/>
          <w:position w:val="0"/>
        </w:rPr>
        <w:t>。</w:t>
      </w:r>
    </w:p>
    <w:p>
      <w:pPr>
        <w:pStyle w:val="Style33"/>
        <w:keepNext/>
        <w:keepLines/>
        <w:widowControl w:val="0"/>
        <w:shd w:val="clear" w:color="auto" w:fill="auto"/>
        <w:bidi w:val="0"/>
        <w:spacing w:before="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8</w:t>
      </w:r>
      <w:bookmarkEnd w:id="1074"/>
      <w:r>
        <w:rPr>
          <w:color w:val="000000"/>
          <w:spacing w:val="0"/>
          <w:w w:val="100"/>
          <w:position w:val="0"/>
        </w:rPr>
        <w:t>、其他应收款</w:t>
      </w:r>
      <w:bookmarkEnd w:id="1072"/>
      <w:bookmarkEnd w:id="1073"/>
      <w:bookmarkEnd w:id="10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160,485,328.69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347,249,056.28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160,485,328.69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347,522,885.45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76"/>
      <w:bookmarkEnd w:id="1077"/>
      <w:bookmarkEnd w:id="1079"/>
    </w:p>
    <w:p>
      <w:pPr>
        <w:pStyle w:val="Style65"/>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color w:val="000000"/>
          <w:spacing w:val="0"/>
          <w:w w:val="100"/>
          <w:position w:val="0"/>
        </w:rPr>
        <w:t>）应收利息分类</w:t>
      </w:r>
      <w:bookmarkEnd w:id="1080"/>
      <w:bookmarkEnd w:id="1081"/>
      <w:bookmarkEnd w:id="108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273,829.17</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color w:val="000000"/>
          <w:spacing w:val="0"/>
          <w:w w:val="100"/>
          <w:position w:val="0"/>
        </w:rPr>
        <w:t>）重要逾期利息</w:t>
      </w:r>
      <w:bookmarkEnd w:id="1084"/>
      <w:bookmarkEnd w:id="1085"/>
      <w:bookmarkEnd w:id="108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color w:val="000000"/>
          <w:spacing w:val="0"/>
          <w:w w:val="100"/>
          <w:position w:val="0"/>
        </w:rPr>
        <w:t>）坏账准备计提情况</w:t>
      </w:r>
      <w:bookmarkEnd w:id="1088"/>
      <w:bookmarkEnd w:id="1089"/>
      <w:bookmarkEnd w:id="109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92"/>
      <w:bookmarkEnd w:id="1093"/>
      <w:bookmarkEnd w:id="1095"/>
    </w:p>
    <w:p>
      <w:pPr>
        <w:pStyle w:val="Style65"/>
        <w:keepNext/>
        <w:keepLines/>
        <w:widowControl w:val="0"/>
        <w:shd w:val="clear" w:color="auto" w:fill="auto"/>
        <w:tabs>
          <w:tab w:pos="382" w:val="left"/>
        </w:tabs>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w:t>
        <w:tab/>
        <w:t>应收股利分类</w:t>
      </w:r>
      <w:bookmarkEnd w:id="1096"/>
      <w:bookmarkEnd w:id="1097"/>
      <w:bookmarkEnd w:id="109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0"/>
      <w:bookmarkEnd w:id="1101"/>
      <w:bookmarkEnd w:id="110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w:t>
        <w:tab/>
        <w:t>坏账准备计提情况</w:t>
      </w:r>
      <w:bookmarkEnd w:id="1104"/>
      <w:bookmarkEnd w:id="1105"/>
      <w:bookmarkEnd w:id="110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7"/>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08"/>
      <w:bookmarkEnd w:id="1109"/>
      <w:bookmarkEnd w:id="1111"/>
    </w:p>
    <w:p>
      <w:pPr>
        <w:pStyle w:val="Style65"/>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color w:val="000000"/>
          <w:spacing w:val="0"/>
          <w:w w:val="100"/>
          <w:position w:val="0"/>
        </w:rPr>
        <w:t>）其他应收款按款项性质分类情况</w:t>
      </w:r>
      <w:bookmarkEnd w:id="1112"/>
      <w:bookmarkEnd w:id="1113"/>
      <w:bookmarkEnd w:id="111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78,611,443.55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63,573,783.05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130,266,864.09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132,057,146.59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37,285,847.72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19,294,953.48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5,495,038.07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3,710,038.07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3,476,891.82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3,452,894.85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210,852,689.00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487,932,571.44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665,737,991.23</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color w:val="000000"/>
          <w:spacing w:val="0"/>
          <w:w w:val="100"/>
          <w:position w:val="0"/>
        </w:rPr>
        <w:t>）坏账准备计提情况</w:t>
      </w:r>
      <w:bookmarkEnd w:id="1116"/>
      <w:bookmarkEnd w:id="1117"/>
      <w:bookmarkEnd w:id="1119"/>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85,406,349.52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318,488,934.95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8,958,307.80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8,958,307.80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94,364,657.32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327,447,242.75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70,807,735.29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36,472,772.54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286,923,645.61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93,728,418.00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20,415,288.03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15,552,402.15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57,760,727.82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487,932,571.44</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）本期计提、收回或转回的坏账准备情况</w:t>
      </w:r>
      <w:bookmarkEnd w:id="1120"/>
      <w:bookmarkEnd w:id="1121"/>
      <w:bookmarkEnd w:id="112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233,082,585.4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233,082,585.43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85,406,349.52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8,958,307.80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94,364,657.32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318,488,934.9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8,958,307.80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327,447,242.75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w:t>
      </w:r>
      <w:bookmarkEnd w:id="1126"/>
      <w:r>
        <w:rPr>
          <w:color w:val="000000"/>
          <w:spacing w:val="0"/>
          <w:w w:val="100"/>
          <w:position w:val="0"/>
        </w:rPr>
        <w:t>）本期实际核销的其他应收款情况</w:t>
      </w:r>
      <w:bookmarkEnd w:id="1124"/>
      <w:bookmarkEnd w:id="1125"/>
      <w:bookmarkEnd w:id="112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bookmarkEnd w:id="1130"/>
      <w:r>
        <w:rPr>
          <w:color w:val="000000"/>
          <w:spacing w:val="0"/>
          <w:w w:val="100"/>
          <w:position w:val="0"/>
        </w:rPr>
        <w:t>）按欠款方归集的期末余额前五名的其他应收款情况</w:t>
      </w:r>
      <w:bookmarkEnd w:id="1128"/>
      <w:bookmarkEnd w:id="1129"/>
      <w:bookmarkEnd w:id="11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上海景聃企业管理 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湖州市北建设投资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6,657,000.00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1,331,400.00</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杭州市公安局交通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警察支队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3,929,340.05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1,061,140.00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999,750.00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466,900.00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1,401,550.05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947,187.03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上海市黄浦区卫生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工程维保金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2,719,084.05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3,485,646.40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254,101,910.29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240,160,719.62</w:t>
            </w:r>
          </w:p>
        </w:tc>
      </w:tr>
    </w:tbl>
    <w:p>
      <w:pPr>
        <w:sectPr>
          <w:footnotePr>
            <w:pos w:val="pageBottom"/>
            <w:numFmt w:val="decimal"/>
            <w:numRestart w:val="continuous"/>
          </w:footnotePr>
          <w:type w:val="continuous"/>
          <w:pgSz w:w="11900" w:h="16840"/>
          <w:pgMar w:top="1360" w:right="1015" w:bottom="1464" w:left="1021" w:header="0" w:footer="3" w:gutter="0"/>
          <w:cols w:space="720"/>
          <w:noEndnote/>
          <w:rtlGutter w:val="0"/>
          <w:docGrid w:linePitch="360"/>
        </w:sectPr>
      </w:pPr>
    </w:p>
    <w:p>
      <w:pPr>
        <w:pStyle w:val="Style65"/>
        <w:keepNext/>
        <w:keepLines/>
        <w:widowControl w:val="0"/>
        <w:shd w:val="clear" w:color="auto" w:fill="auto"/>
        <w:tabs>
          <w:tab w:pos="392" w:val="left"/>
        </w:tabs>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6</w:t>
      </w:r>
      <w:bookmarkEnd w:id="1134"/>
      <w:r>
        <w:rPr>
          <w:color w:val="000000"/>
          <w:spacing w:val="0"/>
          <w:w w:val="100"/>
          <w:position w:val="0"/>
        </w:rPr>
        <w:t>）</w:t>
        <w:tab/>
        <w:t>涉及政府补助的应收款项</w:t>
      </w:r>
      <w:bookmarkEnd w:id="1132"/>
      <w:bookmarkEnd w:id="1133"/>
      <w:bookmarkEnd w:id="113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87" w:val="left"/>
        </w:tabs>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7</w:t>
      </w:r>
      <w:bookmarkEnd w:id="1138"/>
      <w:r>
        <w:rPr>
          <w:color w:val="000000"/>
          <w:spacing w:val="0"/>
          <w:w w:val="100"/>
          <w:position w:val="0"/>
        </w:rPr>
        <w:t>）</w:t>
        <w:tab/>
        <w:t>因金融资产转移而终止确认的其他应收款</w:t>
      </w:r>
      <w:bookmarkEnd w:id="1136"/>
      <w:bookmarkEnd w:id="1137"/>
      <w:bookmarkEnd w:id="1139"/>
    </w:p>
    <w:p>
      <w:pPr>
        <w:pStyle w:val="Style65"/>
        <w:keepNext/>
        <w:keepLines/>
        <w:widowControl w:val="0"/>
        <w:shd w:val="clear" w:color="auto" w:fill="auto"/>
        <w:tabs>
          <w:tab w:pos="392" w:val="left"/>
        </w:tabs>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8</w:t>
      </w:r>
      <w:bookmarkEnd w:id="1142"/>
      <w:r>
        <w:rPr>
          <w:color w:val="000000"/>
          <w:spacing w:val="0"/>
          <w:w w:val="100"/>
          <w:position w:val="0"/>
        </w:rPr>
        <w:t>）</w:t>
        <w:tab/>
        <w:t>转移其他应收款且继续涉入形成的资产、负债金额</w:t>
      </w:r>
      <w:bookmarkEnd w:id="1140"/>
      <w:bookmarkEnd w:id="1141"/>
      <w:bookmarkEnd w:id="114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9</w:t>
      </w:r>
      <w:bookmarkEnd w:id="1146"/>
      <w:r>
        <w:rPr>
          <w:color w:val="000000"/>
          <w:spacing w:val="0"/>
          <w:w w:val="100"/>
          <w:position w:val="0"/>
        </w:rPr>
        <w:t>、存货</w:t>
      </w:r>
      <w:bookmarkEnd w:id="1144"/>
      <w:bookmarkEnd w:id="1145"/>
      <w:bookmarkEnd w:id="114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8"/>
      <w:bookmarkEnd w:id="1149"/>
      <w:bookmarkEnd w:id="115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1,172,642.26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1,172,642.26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2,144,424.50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304,111.91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304,111.91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179,472.66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118,516,777.93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115,153,171.17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188,312,785.26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188,312,785.26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119,993,532.10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116,629,925.34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190,636,682.42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190,636,682.42</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52"/>
      <w:bookmarkEnd w:id="1153"/>
      <w:bookmarkEnd w:id="11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3,363,606.76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3,363,606.76</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56"/>
      <w:bookmarkEnd w:id="1157"/>
      <w:bookmarkEnd w:id="1159"/>
    </w:p>
    <w:p>
      <w:pPr>
        <w:pStyle w:val="Style47"/>
        <w:keepNext/>
        <w:keepLines/>
        <w:widowControl w:val="0"/>
        <w:shd w:val="clear" w:color="auto" w:fill="auto"/>
        <w:tabs>
          <w:tab w:pos="493" w:val="left"/>
        </w:tabs>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60"/>
      <w:bookmarkEnd w:id="1161"/>
      <w:bookmarkEnd w:id="1163"/>
    </w:p>
    <w:p>
      <w:pPr>
        <w:pStyle w:val="Style33"/>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64"/>
      <w:bookmarkEnd w:id="1165"/>
      <w:bookmarkEnd w:id="1167"/>
      <w:r>
        <w:br w:type="page"/>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1,713,975,473.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25,709,632.10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1,688,265,841.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1,583,656,525.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23,560,515.10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1,560,096,010.45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92,276,462.17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91,898,891.13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40,390,691.41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605,860.37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39,784,831.04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减：计入其他非流动资产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-67,105,058.89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-67,105,058.89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-12,955,518.59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-12,955,518.59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1,739,146,876.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26,087,203.14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1,713,059,673.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1,611,091,698.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24,166,375.47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1,586,925,322.90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合同资产的账面价值在本期内发生的重大变动金额和原因：</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2,149,117.00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1,920,827.67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68"/>
      <w:bookmarkEnd w:id="1169"/>
      <w:bookmarkEnd w:id="117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72"/>
      <w:bookmarkEnd w:id="1173"/>
      <w:bookmarkEnd w:id="117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76"/>
      <w:bookmarkEnd w:id="1177"/>
      <w:bookmarkEnd w:id="1179"/>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6,899,368.88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2,393,337.70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65,082.93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6,981,844.32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2,458,420.63</w:t>
            </w:r>
          </w:p>
        </w:tc>
      </w:tr>
    </w:tbl>
    <w:p>
      <w:pPr>
        <w:pStyle w:val="Style39"/>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60" w:right="1015" w:bottom="1464" w:left="1021" w:header="0" w:footer="3" w:gutter="0"/>
          <w:cols w:space="720"/>
          <w:noEndnote/>
          <w:titlePg/>
          <w:rtlGutter w:val="0"/>
          <w:docGrid w:linePitch="360"/>
        </w:sectPr>
      </w:pPr>
      <w:r>
        <w:rPr>
          <w:color w:val="000000"/>
          <w:spacing w:val="0"/>
          <w:w w:val="100"/>
          <w:position w:val="0"/>
        </w:rPr>
        <w:t>其他说明：</w:t>
      </w:r>
    </w:p>
    <w:p>
      <w:pPr>
        <w:pStyle w:val="Style33"/>
        <w:keepNext/>
        <w:keepLines/>
        <w:widowControl w:val="0"/>
        <w:shd w:val="clear" w:color="auto" w:fill="auto"/>
        <w:tabs>
          <w:tab w:pos="474" w:val="left"/>
        </w:tabs>
        <w:bidi w:val="0"/>
        <w:spacing w:before="52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180"/>
      <w:bookmarkEnd w:id="1181"/>
      <w:bookmarkEnd w:id="118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184"/>
      <w:bookmarkEnd w:id="1185"/>
      <w:bookmarkEnd w:id="118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88"/>
      <w:bookmarkEnd w:id="1189"/>
      <w:bookmarkEnd w:id="1191"/>
    </w:p>
    <w:p>
      <w:pPr>
        <w:pStyle w:val="Style4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92"/>
      <w:bookmarkEnd w:id="1193"/>
      <w:bookmarkEnd w:id="119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其中：未实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1,578,418.58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1,578,418.58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5,997,995.24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5,997,995.24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36,754,952.91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58,517,803.86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96"/>
      <w:bookmarkEnd w:id="1197"/>
      <w:bookmarkEnd w:id="119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无因金融资产转移而终止确认的长期应收款。</w:t>
      </w:r>
    </w:p>
    <w:p>
      <w:pPr>
        <w:pStyle w:val="Style47"/>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00"/>
      <w:bookmarkEnd w:id="1201"/>
      <w:bookmarkEnd w:id="120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无转移长期应收款且继续涉入形成的资产、负债。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04"/>
      <w:bookmarkEnd w:id="1205"/>
      <w:bookmarkEnd w:id="1207"/>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上海银江 智慧智能 化技术有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10,172,08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10,265,12</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北京欧迈 特科技股 份有限公 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湖南欧迈 特网络科 技有限公 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489,579.9</w:t>
            </w:r>
          </w:p>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安徽新网 讯科技发 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12,105,15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12,097,84</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北京银江 瑞讯科技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8,615,175</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1,387,468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10,002,64</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上海济祥 智能交通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杭州天尊 信息技术 有限公司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2,272,138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厦门银江 智慧城市 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8,415,058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423,206.8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8,838,265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美国华人 执业医生 网络医院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footnotePr>
            <w:pos w:val="pageBottom"/>
            <w:numFmt w:val="decimal"/>
            <w:numRestart w:val="continuous"/>
          </w:footnotePr>
          <w:pgSz w:w="11900" w:h="16840"/>
          <w:pgMar w:top="1354" w:right="930" w:bottom="1436" w:left="891" w:header="0" w:footer="3" w:gutter="0"/>
          <w:cols w:space="720"/>
          <w:noEndnote/>
          <w:rtlGutter w:val="0"/>
          <w:docGrid w:linePitch="360"/>
        </w:sectPr>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杭州银江 智慧产业 创业投资 合伙企业</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506,258,5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-5,303,26</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464,923,5</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医联网技 术股份有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10,741,77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565,156.8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11,306,93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杭州清普 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24,052,18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-672,815.</w:t>
            </w:r>
          </w:p>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金服控股</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25,834,49</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浙江贤谷 互联网技 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19,581,42</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-139,639.</w:t>
            </w:r>
          </w:p>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19,441,78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重庆市银 江国超科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1,785,171</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-669,586.</w:t>
            </w:r>
          </w:p>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浙江智尔 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3,712,491</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2,855,179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634,035,2</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-18,648,5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-4,254,83</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592,330,9</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634,035,2</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-18,648,5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-4,254,83</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592,330,9</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538" w:val="left"/>
        </w:tabs>
        <w:bidi w:val="0"/>
        <w:spacing w:before="0" w:after="0" w:line="314" w:lineRule="exact"/>
        <w:ind w:left="0" w:right="0" w:firstLine="0"/>
        <w:jc w:val="both"/>
      </w:pPr>
      <w:r>
        <w:rPr>
          <w:color w:val="000000"/>
          <w:spacing w:val="0"/>
          <w:w w:val="100"/>
          <w:position w:val="0"/>
        </w:rPr>
        <w:t>注</w:t>
      </w:r>
      <w:r>
        <w:rPr>
          <w:color w:val="000000"/>
          <w:spacing w:val="0"/>
          <w:w w:val="100"/>
          <w:position w:val="0"/>
          <w:sz w:val="16"/>
          <w:szCs w:val="16"/>
        </w:rPr>
        <w:t>1：</w:t>
        <w:tab/>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月，公司与刘云平、北京欧迈特科技股份有限公司、湖南欧迈特网络科技有限公司达成和解协议：刘云平同</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意以股权受让的方式回购本公司持有的北京欧迈特科技股份有限公司和湖南欧迈特网络科技有限公司</w:t>
      </w:r>
      <w:r>
        <w:rPr>
          <w:color w:val="000000"/>
          <w:spacing w:val="0"/>
          <w:w w:val="100"/>
          <w:position w:val="0"/>
          <w:sz w:val="16"/>
          <w:szCs w:val="16"/>
        </w:rPr>
        <w:t>15%</w:t>
      </w:r>
      <w:r>
        <w:rPr>
          <w:color w:val="000000"/>
          <w:spacing w:val="0"/>
          <w:w w:val="100"/>
          <w:position w:val="0"/>
        </w:rPr>
        <w:t>的股份，回购总价 值为</w:t>
      </w:r>
      <w:r>
        <w:rPr>
          <w:color w:val="000000"/>
          <w:spacing w:val="0"/>
          <w:w w:val="100"/>
          <w:position w:val="0"/>
          <w:sz w:val="16"/>
          <w:szCs w:val="16"/>
        </w:rPr>
        <w:t>2000</w:t>
      </w:r>
      <w:r>
        <w:rPr>
          <w:color w:val="000000"/>
          <w:spacing w:val="0"/>
          <w:w w:val="100"/>
          <w:position w:val="0"/>
        </w:rPr>
        <w:t>万元人民币，其中</w:t>
      </w:r>
      <w:r>
        <w:rPr>
          <w:color w:val="000000"/>
          <w:spacing w:val="0"/>
          <w:w w:val="100"/>
          <w:position w:val="0"/>
          <w:sz w:val="16"/>
          <w:szCs w:val="16"/>
        </w:rPr>
        <w:t>800</w:t>
      </w:r>
      <w:r>
        <w:rPr>
          <w:color w:val="000000"/>
          <w:spacing w:val="0"/>
          <w:w w:val="100"/>
          <w:position w:val="0"/>
        </w:rPr>
        <w:t>万以货币支付，剩余</w:t>
      </w:r>
      <w:r>
        <w:rPr>
          <w:color w:val="000000"/>
          <w:spacing w:val="0"/>
          <w:w w:val="100"/>
          <w:position w:val="0"/>
          <w:sz w:val="16"/>
          <w:szCs w:val="16"/>
        </w:rPr>
        <w:t>1200</w:t>
      </w:r>
      <w:r>
        <w:rPr>
          <w:color w:val="000000"/>
          <w:spacing w:val="0"/>
          <w:w w:val="100"/>
          <w:position w:val="0"/>
        </w:rPr>
        <w:t>万以市场价值</w:t>
      </w:r>
      <w:r>
        <w:rPr>
          <w:color w:val="000000"/>
          <w:spacing w:val="0"/>
          <w:w w:val="100"/>
          <w:position w:val="0"/>
          <w:sz w:val="16"/>
          <w:szCs w:val="16"/>
        </w:rPr>
        <w:t>1200</w:t>
      </w:r>
      <w:r>
        <w:rPr>
          <w:color w:val="000000"/>
          <w:spacing w:val="0"/>
          <w:w w:val="100"/>
          <w:position w:val="0"/>
        </w:rPr>
        <w:t>万元特定设备通过“以物抵债”的方式作为回购 对价。详见附注“十四、</w:t>
      </w:r>
      <w:r>
        <w:rPr>
          <w:color w:val="000000"/>
          <w:spacing w:val="0"/>
          <w:w w:val="100"/>
          <w:position w:val="0"/>
          <w:sz w:val="16"/>
          <w:szCs w:val="16"/>
        </w:rPr>
        <w:t>2”</w:t>
      </w:r>
      <w:r>
        <w:rPr>
          <w:color w:val="000000"/>
          <w:spacing w:val="0"/>
          <w:w w:val="100"/>
          <w:position w:val="0"/>
        </w:rPr>
        <w:t>。</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本公司的子公司杭州银江智慧城市集团就股权转让纠纷起诉杭州天尊信息技术有限公司，因此对本年度杭州天尊信息 技术有限公司的投资收益暂不进行确认</w:t>
      </w:r>
    </w:p>
    <w:p>
      <w:pPr>
        <w:pStyle w:val="Style33"/>
        <w:keepNext/>
        <w:keepLines/>
        <w:widowControl w:val="0"/>
        <w:shd w:val="clear" w:color="auto" w:fill="auto"/>
        <w:bidi w:val="0"/>
        <w:spacing w:before="0" w:after="200" w:line="240"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08"/>
      <w:bookmarkEnd w:id="1209"/>
      <w:bookmarkEnd w:id="1211"/>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301,394,572.00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207,548,167.24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301,394,572.00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207,548,167.24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5"/>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浙江金科文化产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出售股票</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浙江万朋教育科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亿邦国际控股公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98,424,572.00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LEAP,INC.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山东博安智能科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杭州天迈网络有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424,457.37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非交易性投资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出售股权</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12"/>
      <w:bookmarkEnd w:id="1213"/>
      <w:bookmarkEnd w:id="121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16"/>
      <w:bookmarkEnd w:id="1217"/>
      <w:bookmarkEnd w:id="1219"/>
    </w:p>
    <w:p>
      <w:pPr>
        <w:pStyle w:val="Style47"/>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0"/>
      <w:bookmarkEnd w:id="1221"/>
      <w:bookmarkEnd w:id="1223"/>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309,220,164.01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309,220,164.01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423,254,408.53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423,254,408.53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423,254,408.53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423,254,408.53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732,474,572.54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732,474,572.54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26,444,525.03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26,444,525.03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28,211,014.24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28,211,014.24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8,374,991.67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8,374,991.67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19,836,022.57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19,836,022.57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54,655,539.27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54,655,539.27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677,819,033.27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677,819,033.27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282,775,638.98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282,775,638.98</w:t>
            </w:r>
          </w:p>
        </w:tc>
      </w:tr>
    </w:tbl>
    <w:p>
      <w:pPr>
        <w:spacing w:lineRule="exact" w:line="1"/>
        <w:rPr>
          <w:sz w:val="2"/>
          <w:szCs w:val="2"/>
        </w:rPr>
      </w:pPr>
      <w:r>
        <w:br w:type="page"/>
      </w:r>
    </w:p>
    <w:p>
      <w:pPr>
        <w:pStyle w:val="Style47"/>
        <w:keepNext/>
        <w:keepLines/>
        <w:widowControl w:val="0"/>
        <w:shd w:val="clear" w:color="auto" w:fill="auto"/>
        <w:tabs>
          <w:tab w:pos="493"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24"/>
      <w:bookmarkEnd w:id="1225"/>
      <w:bookmarkEnd w:id="122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28"/>
      <w:bookmarkEnd w:id="1229"/>
      <w:bookmarkEnd w:id="12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554"/>
        <w:gridCol w:w="461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11#-14#</w:t>
            </w:r>
            <w:r>
              <w:rPr>
                <w:color w:val="000000"/>
                <w:spacing w:val="0"/>
                <w:w w:val="100"/>
                <w:position w:val="0"/>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291,687,647.65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因规划调整等原因，土地权证分割尚未完成</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中国智谷富春园区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344,985,419.08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因规划调整等原因，土地权证分割尚未完成</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32"/>
      <w:bookmarkEnd w:id="1233"/>
      <w:bookmarkEnd w:id="123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6"/>
      <w:bookmarkEnd w:id="1237"/>
      <w:bookmarkEnd w:id="1239"/>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543,836,261.95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38,504,457.05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33,897,507.65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616,238,226.65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1,117,222.99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1,211,556.93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2,328,779.92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1,117,222.99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1,211,556.93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2,328,779.92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423,254,408.53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703,463.00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424,106,151.06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703,463.00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148,279.53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851,742.53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）转投资性房地产减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423,254,408.53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423,254,408.53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120,581,853.42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38,918,217.04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34,960,785.05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194,460,855.51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32,751,182.79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33,693,070.80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26,494,893.49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92,939,147.08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21,531,598.89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1,205,468.20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2,578,346.68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25,315,413.77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21,531,598.89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1,205,468.20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2,578,346.68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25,315,413.77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19,836,022.57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668,289.65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20,639,526.05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668,289.65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803,503.48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）转投资性房地产减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19,836,022.57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19,836,022.57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34,446,759.11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34,230,249.35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28,938,026.34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97,615,034.80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86,135,094.31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4,687,967.69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6,022,758.71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96,845,820.71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511,085,079.16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4,811,386.25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7,402,614.16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523,299,079.57</w:t>
            </w: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40"/>
      <w:bookmarkEnd w:id="1241"/>
      <w:bookmarkEnd w:id="1243"/>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44"/>
      <w:bookmarkEnd w:id="1245"/>
      <w:bookmarkEnd w:id="124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248"/>
      <w:bookmarkEnd w:id="1249"/>
      <w:bookmarkEnd w:id="1251"/>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252"/>
      <w:bookmarkEnd w:id="1253"/>
      <w:bookmarkEnd w:id="125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256"/>
      <w:bookmarkEnd w:id="1257"/>
      <w:bookmarkEnd w:id="125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60"/>
      <w:bookmarkEnd w:id="1261"/>
      <w:bookmarkEnd w:id="126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39,893,577.98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39,893,577.98</w:t>
            </w:r>
          </w:p>
        </w:tc>
      </w:tr>
    </w:tbl>
    <w:p>
      <w:pPr>
        <w:widowControl w:val="0"/>
        <w:spacing w:after="319" w:line="1" w:lineRule="exact"/>
      </w:pPr>
    </w:p>
    <w:p>
      <w:pPr>
        <w:pStyle w:val="Style47"/>
        <w:keepNext/>
        <w:keepLines/>
        <w:widowControl w:val="0"/>
        <w:numPr>
          <w:ilvl w:val="0"/>
          <w:numId w:val="29"/>
        </w:numPr>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在建工程情况</w:t>
      </w:r>
      <w:bookmarkEnd w:id="1264"/>
      <w:bookmarkEnd w:id="1265"/>
      <w:bookmarkEnd w:id="12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中国智谷富春园 区</w:t>
            </w:r>
            <w:r>
              <w:rPr>
                <w:rFonts w:ascii="Times New Roman" w:eastAsia="Times New Roman" w:hAnsi="Times New Roman" w:cs="Times New Roman"/>
                <w:color w:val="000000"/>
                <w:spacing w:val="0"/>
                <w:w w:val="100"/>
                <w:position w:val="0"/>
                <w:sz w:val="18"/>
                <w:szCs w:val="18"/>
              </w:rPr>
              <w:t>A1-A2</w:t>
            </w:r>
            <w:r>
              <w:rPr>
                <w:color w:val="000000"/>
                <w:spacing w:val="0"/>
                <w:w w:val="100"/>
                <w:position w:val="0"/>
              </w:rPr>
              <w:t>号楼装 修工程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55,228,040.37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55,228,040.37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39,449,541.28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39,449,541.28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444,036.70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滨江地块建筑工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1,195,867.92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56,423,908.29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39,893,577.98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39,893,577.98</w:t>
            </w:r>
          </w:p>
        </w:tc>
      </w:tr>
    </w:tbl>
    <w:p>
      <w:pPr>
        <w:widowControl w:val="0"/>
        <w:spacing w:after="319" w:line="1" w:lineRule="exact"/>
      </w:pPr>
    </w:p>
    <w:p>
      <w:pPr>
        <w:pStyle w:val="Style47"/>
        <w:keepNext/>
        <w:keepLines/>
        <w:widowControl w:val="0"/>
        <w:numPr>
          <w:ilvl w:val="0"/>
          <w:numId w:val="29"/>
        </w:numPr>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重要在建工程项目本期变动情况</w:t>
      </w:r>
      <w:bookmarkEnd w:id="1268"/>
      <w:bookmarkEnd w:id="1269"/>
      <w:bookmarkEnd w:id="127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0" w:lineRule="exact"/>
              <w:ind w:left="0" w:right="0" w:firstLine="0"/>
              <w:jc w:val="left"/>
            </w:pPr>
            <w:r>
              <w:rPr>
                <w:color w:val="000000"/>
                <w:spacing w:val="0"/>
                <w:w w:val="100"/>
                <w:position w:val="0"/>
              </w:rPr>
              <w:t>中国智 谷富春 园区</w:t>
            </w:r>
          </w:p>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A1-A2</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号楼装 修工程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78,899,0</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39,449,5</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15,778,4</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55,228,0</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78,899,0</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39,449,5</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15,778,4</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55,228,0</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29"/>
        </w:numPr>
        <w:shd w:val="clear" w:color="auto" w:fill="auto"/>
        <w:bidi w:val="0"/>
        <w:spacing w:before="0" w:line="240" w:lineRule="auto"/>
        <w:ind w:left="0" w:right="0" w:firstLine="0"/>
        <w:jc w:val="both"/>
      </w:pPr>
      <w:bookmarkStart w:id="1272" w:name="bookmark1272"/>
      <w:bookmarkStart w:id="1273" w:name="bookmark1273"/>
      <w:bookmarkStart w:id="1274" w:name="bookmark1274"/>
      <w:bookmarkStart w:id="1275" w:name="bookmark1275"/>
      <w:bookmarkEnd w:id="1274"/>
      <w:r>
        <w:rPr>
          <w:color w:val="000000"/>
          <w:spacing w:val="0"/>
          <w:w w:val="100"/>
          <w:position w:val="0"/>
        </w:rPr>
        <w:t>本期计提在建工程减值准备情况</w:t>
      </w:r>
      <w:bookmarkEnd w:id="1272"/>
      <w:bookmarkEnd w:id="1273"/>
      <w:bookmarkEnd w:id="127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76"/>
      <w:bookmarkEnd w:id="1277"/>
      <w:bookmarkEnd w:id="127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80"/>
      <w:bookmarkEnd w:id="1281"/>
      <w:bookmarkEnd w:id="1283"/>
    </w:p>
    <w:p>
      <w:pPr>
        <w:pStyle w:val="Style47"/>
        <w:keepNext/>
        <w:keepLines/>
        <w:widowControl w:val="0"/>
        <w:shd w:val="clear" w:color="auto" w:fill="auto"/>
        <w:tabs>
          <w:tab w:pos="493" w:val="left"/>
        </w:tabs>
        <w:bidi w:val="0"/>
        <w:spacing w:before="0" w:line="240" w:lineRule="auto"/>
        <w:ind w:left="0" w:right="0" w:firstLine="0"/>
        <w:jc w:val="both"/>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84"/>
      <w:bookmarkEnd w:id="1285"/>
      <w:bookmarkEnd w:id="128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88"/>
      <w:bookmarkEnd w:id="1289"/>
      <w:bookmarkEnd w:id="1291"/>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92"/>
      <w:bookmarkEnd w:id="1293"/>
      <w:bookmarkEnd w:id="129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96"/>
      <w:bookmarkEnd w:id="1297"/>
      <w:bookmarkEnd w:id="129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00"/>
      <w:bookmarkEnd w:id="1301"/>
      <w:bookmarkEnd w:id="1303"/>
    </w:p>
    <w:p>
      <w:pPr>
        <w:pStyle w:val="Style47"/>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4"/>
      <w:bookmarkEnd w:id="1305"/>
      <w:bookmarkEnd w:id="130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软件著作权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项目资</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土地使用权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162,591,046.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93,707,868.8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4,453,084.69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260,751,999.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20,341,232.4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9,887,240.88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30,228,473.3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9,887,240.88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9,887,240.88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20,341,232.4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20,341,232.4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182,932,278.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93,707,868.8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4,453,084.69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9,887,240.88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290,980,472.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56,427,814.7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4,109,994.25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1,829,910.68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62,367,719.7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18,145,801.2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4,931,993.10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368,896.55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16,478.73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23,463,169.6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18,145,801.2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4,931,993.10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368,896.55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16,478.73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23,463,169.6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74,573,616.0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9,041,987.35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2,198,807.23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16,478.73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85,830,889.3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108,358,662.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84,665,881.4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2,254,277.46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9,870,762.15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205,149,583.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106,163,231.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89,597,874.5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2,623,174.01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198,384,279.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52.82%</w:t>
      </w:r>
      <w:r>
        <w:rPr>
          <w:color w:val="000000"/>
          <w:spacing w:val="0"/>
          <w:w w:val="100"/>
          <w:position w:val="0"/>
        </w:rPr>
        <w:t>。</w:t>
      </w:r>
    </w:p>
    <w:p>
      <w:pPr>
        <w:widowControl w:val="0"/>
        <w:spacing w:after="379" w:line="1" w:lineRule="exact"/>
      </w:pPr>
    </w:p>
    <w:p>
      <w:pPr>
        <w:pStyle w:val="Style47"/>
        <w:keepNext/>
        <w:keepLines/>
        <w:widowControl w:val="0"/>
        <w:numPr>
          <w:ilvl w:val="0"/>
          <w:numId w:val="31"/>
        </w:numPr>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未办妥产权证书的土地使用权情况</w:t>
      </w:r>
      <w:bookmarkEnd w:id="1308"/>
      <w:bookmarkEnd w:id="1309"/>
      <w:bookmarkEnd w:id="1311"/>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12"/>
      <w:bookmarkEnd w:id="1313"/>
      <w:bookmarkEnd w:id="131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转入当期损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交通超能信 号优化服务 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9,912,583.47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211,022.83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9,999,714.52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大数据背景 下新型突发 事件应急保 障系统、装备 研发与应用 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10,525,243.0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532,079.63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10,341,517.9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智能政务开 放创新服务 平台开发及 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2,799,810.93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3,421,248.02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6,221,058.95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跨系统数据 共享交换关 键技术研发 与应用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1,513,324.13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1,351,573.37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2,788,223.78</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基于人工智 能的司法服 务平台及示 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6,538,866.02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2,390,050.79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4,148,815.23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数据共享与 交换平台</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18,846,416.4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9,590,980.80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9,255,435.63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5,213,310.22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5,031,679.94</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数据可视化</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Enloop-Hub </w:t>
            </w:r>
            <w:r>
              <w:rPr>
                <w:color w:val="000000"/>
                <w:spacing w:val="0"/>
                <w:w w:val="100"/>
                <w:position w:val="0"/>
                <w:sz w:val="17"/>
                <w:szCs w:val="17"/>
              </w:rPr>
              <w:t xml:space="preserve">共性技术平 台 </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2,282,906.65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2,282,906.65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海量交通大 数据分析平 台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2,099,836.96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2,099,836.96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城市智能交 通管理与指 挥平台</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8,707,172.99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8,707,172.99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人口健康服 务平台运营 服务关键技 术研发与应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3,025,007.81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3,025,007.81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医卫综合监</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基于多源异 构数据的城 市道路实时 仿真系统</w:t>
            </w:r>
          </w:p>
          <w:p>
            <w:pPr>
              <w:pStyle w:val="Style2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12,001,850.9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12,001,850.9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银江交通</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sz w:val="17"/>
                <w:szCs w:val="17"/>
              </w:rPr>
              <w:t xml:space="preserve">信号控制系 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8,400,559.15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8,400,559.15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银江智慧交 通非现场执 法平台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银江城市级 交通运行监 测系统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818,293.29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818,293.29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w:t>
            </w:r>
          </w:p>
          <w:p>
            <w:pPr>
              <w:pStyle w:val="Style25"/>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Enloop-Anal ysis</w:t>
            </w:r>
            <w:r>
              <w:rPr>
                <w:color w:val="000000"/>
                <w:spacing w:val="0"/>
                <w:w w:val="100"/>
                <w:position w:val="0"/>
                <w:sz w:val="17"/>
                <w:szCs w:val="17"/>
              </w:rPr>
              <w:t xml:space="preserve">数据可 视化分析系 统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1,002,975.01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1,002,975.01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7" w:lineRule="exact"/>
              <w:ind w:left="0" w:right="0" w:firstLine="0"/>
              <w:jc w:val="both"/>
            </w:pPr>
            <w:r>
              <w:rPr>
                <w:color w:val="000000"/>
                <w:spacing w:val="0"/>
                <w:w w:val="100"/>
                <w:position w:val="0"/>
              </w:rPr>
              <w:t>银江智慧法 律援助系统</w:t>
            </w:r>
          </w:p>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797,324.55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797,324.55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司法行政数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3,485,378.78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3,485,378.78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98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据中台关键 技术研发及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智慧镇街数 字驾驶舱平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1,231,532.49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银江智慧安 保平台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1,134,094.51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1,134,094.51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银江移动警</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723,323.81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723,323.81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银江大数据 可视化监测 分析平台项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1,220,304.92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1,220,304.92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交通信号控 制与优化关 键技术研发 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2,986,546.06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病案管理系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182,571.94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182,571.94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麻醉临床信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118,824.80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118,824.80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分诊排队呼 叫系统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225,739.80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225,739.80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产品追溯管 理信息化平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620,060.85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620,060.85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社会综合管 理信息化平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788,941.18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788,941.18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基于深度学 习的交通信 号控制方案 实时推荐系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313,792.44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313,792.44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医养结合虚 拟养老院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502,512.90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502,512.90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智享智慧药 事管理平台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403,379.16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403,379.16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智享医疗健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298,818.62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298,818.62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康数据综合 采集平台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其他研发项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105,739.60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24,750,961.5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91,269,778.3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20,341,232.4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74,455,352.8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21,224,154.5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16"/>
      <w:bookmarkEnd w:id="1317"/>
      <w:bookmarkEnd w:id="1318"/>
    </w:p>
    <w:p>
      <w:pPr>
        <w:pStyle w:val="Style47"/>
        <w:keepNext/>
        <w:keepLines/>
        <w:widowControl w:val="0"/>
        <w:shd w:val="clear" w:color="auto" w:fill="auto"/>
        <w:bidi w:val="0"/>
        <w:spacing w:before="0" w:after="360" w:line="240" w:lineRule="auto"/>
        <w:ind w:left="0" w:right="0" w:firstLine="0"/>
        <w:jc w:val="both"/>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9"/>
      <w:bookmarkEnd w:id="1320"/>
      <w:bookmarkEnd w:id="1322"/>
    </w:p>
    <w:p>
      <w:pPr>
        <w:pStyle w:val="Style30"/>
        <w:keepNext w:val="0"/>
        <w:keepLines w:val="0"/>
        <w:widowControl w:val="0"/>
        <w:shd w:val="clear" w:color="auto" w:fill="auto"/>
        <w:bidi w:val="0"/>
        <w:spacing w:before="0" w:after="80" w:line="240" w:lineRule="auto"/>
        <w:ind w:left="0" w:right="0" w:firstLine="0"/>
        <w:jc w:val="right"/>
      </w:pPr>
      <w:bookmarkStart w:id="1323" w:name="bookmark1323"/>
      <w:r>
        <w:rPr>
          <w:color w:val="000000"/>
          <w:spacing w:val="0"/>
          <w:w w:val="100"/>
          <w:position w:val="0"/>
        </w:rPr>
        <w:t>单</w:t>
      </w:r>
      <w:bookmarkEnd w:id="1323"/>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4"/>
      <w:bookmarkEnd w:id="1325"/>
      <w:bookmarkEnd w:id="13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tabs>
          <w:tab w:pos="445" w:val="left"/>
        </w:tabs>
        <w:bidi w:val="0"/>
        <w:spacing w:before="0" w:after="0" w:line="312" w:lineRule="exact"/>
        <w:ind w:left="0" w:right="0" w:firstLine="0"/>
        <w:jc w:val="both"/>
      </w:pPr>
      <w:bookmarkStart w:id="1328" w:name="bookmark1328"/>
      <w:r>
        <w:rPr>
          <w:color w:val="000000"/>
          <w:spacing w:val="0"/>
          <w:w w:val="100"/>
          <w:position w:val="0"/>
          <w:sz w:val="16"/>
          <w:szCs w:val="16"/>
        </w:rPr>
        <w:t>（</w:t>
      </w:r>
      <w:bookmarkEnd w:id="1328"/>
      <w:r>
        <w:rPr>
          <w:color w:val="000000"/>
          <w:spacing w:val="0"/>
          <w:w w:val="100"/>
          <w:position w:val="0"/>
          <w:sz w:val="16"/>
          <w:szCs w:val="16"/>
        </w:rPr>
        <w:t>1）</w:t>
        <w:tab/>
      </w:r>
      <w:r>
        <w:rPr>
          <w:color w:val="000000"/>
          <w:spacing w:val="0"/>
          <w:w w:val="100"/>
          <w:position w:val="0"/>
        </w:rPr>
        <w:t>商誉的计算过程</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color w:val="000000"/>
          <w:spacing w:val="0"/>
          <w:w w:val="100"/>
          <w:position w:val="0"/>
          <w:sz w:val="16"/>
          <w:szCs w:val="16"/>
        </w:rPr>
        <w:t>2011</w:t>
      </w:r>
      <w:r>
        <w:rPr>
          <w:color w:val="000000"/>
          <w:spacing w:val="0"/>
          <w:w w:val="100"/>
          <w:position w:val="0"/>
        </w:rPr>
        <w:t>年支付人民币</w:t>
      </w:r>
      <w:r>
        <w:rPr>
          <w:color w:val="000000"/>
          <w:spacing w:val="0"/>
          <w:w w:val="100"/>
          <w:position w:val="0"/>
          <w:sz w:val="16"/>
          <w:szCs w:val="16"/>
        </w:rPr>
        <w:t xml:space="preserve">3, 076, </w:t>
      </w:r>
      <w:r>
        <w:rPr>
          <w:color w:val="000000"/>
          <w:spacing w:val="0"/>
          <w:w w:val="100"/>
          <w:position w:val="0"/>
          <w:sz w:val="16"/>
          <w:szCs w:val="16"/>
        </w:rPr>
        <w:t xml:space="preserve">220. </w:t>
      </w:r>
      <w:r>
        <w:rPr>
          <w:color w:val="000000"/>
          <w:spacing w:val="0"/>
          <w:w w:val="100"/>
          <w:position w:val="0"/>
          <w:sz w:val="16"/>
          <w:szCs w:val="16"/>
        </w:rPr>
        <w:t>00</w:t>
      </w:r>
      <w:r>
        <w:rPr>
          <w:color w:val="000000"/>
          <w:spacing w:val="0"/>
          <w:w w:val="100"/>
          <w:position w:val="0"/>
        </w:rPr>
        <w:t>元收购了浙江浙大健康管理有限公司</w:t>
      </w:r>
      <w:r>
        <w:rPr>
          <w:color w:val="000000"/>
          <w:spacing w:val="0"/>
          <w:w w:val="100"/>
          <w:position w:val="0"/>
          <w:sz w:val="16"/>
          <w:szCs w:val="16"/>
        </w:rPr>
        <w:t>49%</w:t>
      </w:r>
      <w:r>
        <w:rPr>
          <w:color w:val="000000"/>
          <w:spacing w:val="0"/>
          <w:w w:val="100"/>
          <w:position w:val="0"/>
        </w:rPr>
        <w:t>的权益，合并成本超过获得的浙江浙大健康管 理有限公司可辨认资产、负债公允价值的份额</w:t>
      </w:r>
      <w:r>
        <w:rPr>
          <w:color w:val="000000"/>
          <w:spacing w:val="0"/>
          <w:w w:val="100"/>
          <w:position w:val="0"/>
          <w:sz w:val="16"/>
          <w:szCs w:val="16"/>
        </w:rPr>
        <w:t xml:space="preserve">1, 534, </w:t>
      </w:r>
      <w:r>
        <w:rPr>
          <w:color w:val="000000"/>
          <w:spacing w:val="0"/>
          <w:w w:val="100"/>
          <w:position w:val="0"/>
          <w:sz w:val="16"/>
          <w:szCs w:val="16"/>
        </w:rPr>
        <w:t xml:space="preserve">560. </w:t>
      </w:r>
      <w:r>
        <w:rPr>
          <w:color w:val="000000"/>
          <w:spacing w:val="0"/>
          <w:w w:val="100"/>
          <w:position w:val="0"/>
          <w:sz w:val="16"/>
          <w:szCs w:val="16"/>
        </w:rPr>
        <w:t>62</w:t>
      </w:r>
      <w:r>
        <w:rPr>
          <w:color w:val="000000"/>
          <w:spacing w:val="0"/>
          <w:w w:val="100"/>
          <w:position w:val="0"/>
        </w:rPr>
        <w:t>元，确认为与浙江浙大健康管理有限公司相关的商誉。</w:t>
      </w:r>
    </w:p>
    <w:p>
      <w:pPr>
        <w:pStyle w:val="Style30"/>
        <w:keepNext w:val="0"/>
        <w:keepLines w:val="0"/>
        <w:widowControl w:val="0"/>
        <w:shd w:val="clear" w:color="auto" w:fill="auto"/>
        <w:tabs>
          <w:tab w:pos="445" w:val="left"/>
        </w:tabs>
        <w:bidi w:val="0"/>
        <w:spacing w:before="0" w:after="0" w:line="312" w:lineRule="exact"/>
        <w:ind w:left="0" w:right="0" w:firstLine="0"/>
        <w:jc w:val="both"/>
      </w:pPr>
      <w:bookmarkStart w:id="1329" w:name="bookmark1329"/>
      <w:r>
        <w:rPr>
          <w:color w:val="000000"/>
          <w:spacing w:val="0"/>
          <w:w w:val="100"/>
          <w:position w:val="0"/>
          <w:sz w:val="16"/>
          <w:szCs w:val="16"/>
        </w:rPr>
        <w:t>（</w:t>
      </w:r>
      <w:bookmarkEnd w:id="1329"/>
      <w:r>
        <w:rPr>
          <w:color w:val="000000"/>
          <w:spacing w:val="0"/>
          <w:w w:val="100"/>
          <w:position w:val="0"/>
          <w:sz w:val="16"/>
          <w:szCs w:val="16"/>
        </w:rPr>
        <w:t>2）</w:t>
        <w:tab/>
      </w:r>
      <w:r>
        <w:rPr>
          <w:color w:val="000000"/>
          <w:spacing w:val="0"/>
          <w:w w:val="100"/>
          <w:position w:val="0"/>
        </w:rPr>
        <w:t>商誉减值测试的方法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因浙江浙大健康管理有限公司过去几年处于亏损状态，同时未来五年财务预测的现金流存在较大不确定性，公司基于谨慎性 考虑，对浙江浙大健康管理有限公司形成的商誉在</w:t>
      </w:r>
      <w:r>
        <w:rPr>
          <w:color w:val="000000"/>
          <w:spacing w:val="0"/>
          <w:w w:val="100"/>
          <w:position w:val="0"/>
          <w:sz w:val="16"/>
          <w:szCs w:val="16"/>
        </w:rPr>
        <w:t>2014</w:t>
      </w:r>
      <w:r>
        <w:rPr>
          <w:color w:val="000000"/>
          <w:spacing w:val="0"/>
          <w:w w:val="100"/>
          <w:position w:val="0"/>
        </w:rPr>
        <w:t>年度已全额计提商誉减值准备。</w:t>
      </w:r>
    </w:p>
    <w:p>
      <w:pPr>
        <w:pStyle w:val="Style30"/>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商誉减值测试的影响</w:t>
      </w:r>
      <w:r>
        <w:br w:type="page"/>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30"/>
      <w:bookmarkEnd w:id="1331"/>
      <w:bookmarkEnd w:id="133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3,815,032.27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1,495,236.36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2,380,859.51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2,929,409.12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3,940,032.27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1,495,236.36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2,430,859.51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3,004,409.12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4"/>
      <w:bookmarkEnd w:id="1335"/>
      <w:bookmarkEnd w:id="1337"/>
    </w:p>
    <w:p>
      <w:pPr>
        <w:pStyle w:val="Style47"/>
        <w:keepNext/>
        <w:keepLines/>
        <w:widowControl w:val="0"/>
        <w:numPr>
          <w:ilvl w:val="0"/>
          <w:numId w:val="33"/>
        </w:numPr>
        <w:shd w:val="clear" w:color="auto" w:fill="auto"/>
        <w:bidi w:val="0"/>
        <w:spacing w:before="0" w:after="360" w:line="240" w:lineRule="auto"/>
        <w:ind w:left="0" w:right="0" w:firstLine="14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未经抵销的递延所得税资产</w:t>
      </w:r>
      <w:bookmarkEnd w:id="1338"/>
      <w:bookmarkEnd w:id="1339"/>
      <w:bookmarkEnd w:id="1341"/>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358,835,757.23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54,538,904.92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353,139,051.46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54,173,597.19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存货跌价形成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714,076.62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应付款暂估形成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78,448,260.66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11,767,239.10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77,637,115.02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11,645,567.25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未实现内部损益形成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30,660,491.10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4,599,073.67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32,446,539.12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4,866,980.87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470,026,585.61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71,217,529.18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464,722,705.60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70,911,145.31</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24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color w:val="000000"/>
          <w:spacing w:val="0"/>
          <w:w w:val="100"/>
          <w:position w:val="0"/>
        </w:rPr>
        <w:t>)未经抵销的递延所得税负债</w:t>
      </w:r>
      <w:bookmarkEnd w:id="1342"/>
      <w:bookmarkEnd w:id="1343"/>
      <w:bookmarkEnd w:id="1345"/>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155.58</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处置子公司部分股权对 剩余股权进行公允价值 调整形成的应纳税暂时 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1,829,964.32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资金占用利息收入调整 形成的应纳税暂时性差 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27,628,689.00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4,144,303.35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12,199,762.13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39,829,488.31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5,974,423.25</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14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6"/>
      <w:bookmarkEnd w:id="1347"/>
      <w:bookmarkEnd w:id="13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71,217,529.18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70,911,145.31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1,829,964.32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5,974,423.25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50"/>
      <w:bookmarkEnd w:id="1351"/>
      <w:bookmarkEnd w:id="13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坏账准备形成可抵扣暂时性差异（注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54,582,605.45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46,498,129.93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存货跌价准备形成的暂时性差异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2,649,530.14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长期股权投资减值准备形成的暂时性差 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23,359,235.05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40,590,112.88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商誉减值形成的可抵扣暂时性差异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递延收益形成的可抵扣暂时性差异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180,069,747.33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140,218,778.84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未确认递延所得税负债明细：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163,771,106.59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229,001,582.27</w:t>
            </w:r>
          </w:p>
        </w:tc>
      </w:tr>
    </w:tbl>
    <w:p>
      <w:pPr>
        <w:widowControl w:val="0"/>
        <w:spacing w:after="319" w:line="1" w:lineRule="exact"/>
      </w:pPr>
    </w:p>
    <w:p>
      <w:pPr>
        <w:pStyle w:val="Style47"/>
        <w:keepNext/>
        <w:keepLines/>
        <w:widowControl w:val="0"/>
        <w:shd w:val="clear" w:color="auto" w:fill="auto"/>
        <w:bidi w:val="0"/>
        <w:spacing w:before="0" w:after="260" w:line="240" w:lineRule="auto"/>
        <w:ind w:left="0" w:right="0" w:firstLine="14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w:t>
      </w:r>
      <w:bookmarkEnd w:id="135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54"/>
      <w:bookmarkEnd w:id="1355"/>
      <w:bookmarkEnd w:id="1357"/>
    </w:p>
    <w:p>
      <w:pPr>
        <w:pStyle w:val="Style3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期末其他应收款中含对李欣的业绩补偿款</w:t>
      </w:r>
      <w:r>
        <w:rPr>
          <w:color w:val="000000"/>
          <w:spacing w:val="0"/>
          <w:w w:val="100"/>
          <w:position w:val="0"/>
          <w:sz w:val="16"/>
          <w:szCs w:val="16"/>
        </w:rPr>
        <w:t xml:space="preserve">232,796, </w:t>
      </w:r>
      <w:r>
        <w:rPr>
          <w:color w:val="000000"/>
          <w:spacing w:val="0"/>
          <w:w w:val="100"/>
          <w:position w:val="0"/>
          <w:sz w:val="16"/>
          <w:szCs w:val="16"/>
        </w:rPr>
        <w:t xml:space="preserve">486. </w:t>
      </w:r>
      <w:r>
        <w:rPr>
          <w:color w:val="000000"/>
          <w:spacing w:val="0"/>
          <w:w w:val="100"/>
          <w:position w:val="0"/>
          <w:sz w:val="16"/>
          <w:szCs w:val="16"/>
        </w:rPr>
        <w:t>19</w:t>
      </w:r>
      <w:r>
        <w:rPr>
          <w:color w:val="000000"/>
          <w:spacing w:val="0"/>
          <w:w w:val="100"/>
          <w:position w:val="0"/>
        </w:rPr>
        <w:t>元，已全额计提坏账准备，在</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日前此损失已 获批准扣除。</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金融资产公允价值变动系子公司银江股份（香港）有限公司持有的亿邦国际控股有限公司的股票公允价值变动， 因香港不对资本收益征收利得税，故未确认递延所得税负债。</w:t>
      </w:r>
    </w:p>
    <w:p>
      <w:pPr>
        <w:pStyle w:val="Style33"/>
        <w:keepNext/>
        <w:keepLines/>
        <w:widowControl w:val="0"/>
        <w:shd w:val="clear" w:color="auto" w:fill="auto"/>
        <w:bidi w:val="0"/>
        <w:spacing w:before="0" w:after="38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58"/>
      <w:bookmarkEnd w:id="1359"/>
      <w:bookmarkEnd w:id="136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预付房屋建筑物装修工程款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13,946,271.5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13,946,271.5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30,550,458.7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30,550,458.7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预付购房增值税款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32,523,809.5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32,523,809.5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32,523,809.5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32,523,809.5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67,105,058.8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67,105,058.8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12,955,518.5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12,955,518.5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158,575,139.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158,575,139.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76,029,786.8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76,029,786.8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62"/>
      <w:bookmarkEnd w:id="1363"/>
      <w:bookmarkEnd w:id="1365"/>
    </w:p>
    <w:p>
      <w:pPr>
        <w:pStyle w:val="Style47"/>
        <w:keepNext/>
        <w:keepLines/>
        <w:widowControl w:val="0"/>
        <w:numPr>
          <w:ilvl w:val="0"/>
          <w:numId w:val="35"/>
        </w:numPr>
        <w:shd w:val="clear" w:color="auto" w:fill="auto"/>
        <w:bidi w:val="0"/>
        <w:spacing w:before="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短期借款分类</w:t>
      </w:r>
      <w:bookmarkEnd w:id="1366"/>
      <w:bookmarkEnd w:id="1367"/>
      <w:bookmarkEnd w:id="136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3,724,263.22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1,737,724,263.22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1,634,650,000.00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短期借款分类的说明：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①质押借款情况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贷款单位</w:t>
            </w:r>
          </w:p>
        </w:tc>
        <w:tc>
          <w:tcPr>
            <w:tcBorders>
              <w:top w:val="single" w:sz="4"/>
            </w:tcBorders>
            <w:shd w:val="clear" w:color="auto" w:fill="FFFFFF"/>
            <w:vAlign w:val="center"/>
          </w:tcPr>
          <w:p>
            <w:pPr>
              <w:pStyle w:val="Style25"/>
              <w:keepNext w:val="0"/>
              <w:keepLines w:val="0"/>
              <w:widowControl w:val="0"/>
              <w:shd w:val="clear" w:color="auto" w:fill="auto"/>
              <w:tabs>
                <w:tab w:pos="2049" w:val="left"/>
              </w:tabs>
              <w:bidi w:val="0"/>
              <w:spacing w:before="0" w:after="0" w:line="240" w:lineRule="auto"/>
              <w:ind w:left="0" w:right="0" w:firstLine="460"/>
              <w:jc w:val="left"/>
            </w:pPr>
            <w:r>
              <w:rPr>
                <w:color w:val="000000"/>
                <w:spacing w:val="0"/>
                <w:w w:val="100"/>
                <w:position w:val="0"/>
              </w:rPr>
              <w:t>本金</w:t>
              <w:tab/>
              <w:t>借款日期</w:t>
            </w:r>
          </w:p>
        </w:tc>
        <w:tc>
          <w:tcPr>
            <w:tcBorders>
              <w:top w:val="single" w:sz="4"/>
            </w:tcBorders>
            <w:shd w:val="clear" w:color="auto" w:fill="FFFFFF"/>
            <w:vAlign w:val="center"/>
          </w:tcPr>
          <w:p>
            <w:pPr>
              <w:pStyle w:val="Style25"/>
              <w:keepNext w:val="0"/>
              <w:keepLines w:val="0"/>
              <w:widowControl w:val="0"/>
              <w:shd w:val="clear" w:color="auto" w:fill="auto"/>
              <w:tabs>
                <w:tab w:pos="1254" w:val="left"/>
              </w:tabs>
              <w:bidi w:val="0"/>
              <w:spacing w:before="0" w:after="0" w:line="240" w:lineRule="auto"/>
              <w:ind w:left="0" w:right="0" w:firstLine="140"/>
              <w:jc w:val="left"/>
            </w:pPr>
            <w:r>
              <w:rPr>
                <w:color w:val="000000"/>
                <w:spacing w:val="0"/>
                <w:w w:val="100"/>
                <w:position w:val="0"/>
              </w:rPr>
              <w:t>还款日期</w:t>
              <w:tab/>
              <w:t>质押物</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tcBorders>
            <w:shd w:val="clear" w:color="auto" w:fill="FFFFFF"/>
            <w:vAlign w:val="center"/>
          </w:tcPr>
          <w:p>
            <w:pPr>
              <w:pStyle w:val="Style25"/>
              <w:keepNext w:val="0"/>
              <w:keepLines w:val="0"/>
              <w:widowControl w:val="0"/>
              <w:shd w:val="clear" w:color="auto" w:fill="auto"/>
              <w:tabs>
                <w:tab w:pos="2044" w:val="left"/>
              </w:tabs>
              <w:bidi w:val="0"/>
              <w:spacing w:before="0" w:after="0" w:line="240" w:lineRule="auto"/>
              <w:ind w:left="0" w:right="0" w:firstLine="460"/>
              <w:jc w:val="left"/>
              <w:rPr>
                <w:sz w:val="16"/>
                <w:szCs w:val="16"/>
              </w:rPr>
            </w:pPr>
            <w:r>
              <w:rPr>
                <w:color w:val="000000"/>
                <w:spacing w:val="0"/>
                <w:w w:val="100"/>
                <w:position w:val="0"/>
                <w:sz w:val="16"/>
                <w:szCs w:val="16"/>
              </w:rPr>
              <w:t>15,000,</w:t>
            </w:r>
            <w:r>
              <w:rPr>
                <w:color w:val="000000"/>
                <w:spacing w:val="0"/>
                <w:w w:val="100"/>
                <w:position w:val="0"/>
                <w:sz w:val="16"/>
                <w:szCs w:val="16"/>
              </w:rPr>
              <w:t>000.00</w:t>
              <w:tab/>
            </w:r>
            <w:r>
              <w:rPr>
                <w:color w:val="000000"/>
                <w:spacing w:val="0"/>
                <w:w w:val="100"/>
                <w:position w:val="0"/>
                <w:sz w:val="16"/>
                <w:szCs w:val="16"/>
              </w:rPr>
              <w:t>2020/2/20</w:t>
            </w:r>
          </w:p>
        </w:tc>
        <w:tc>
          <w:tcPr>
            <w:tcBorders>
              <w:top w:val="single" w:sz="4"/>
            </w:tcBorders>
            <w:shd w:val="clear" w:color="auto" w:fill="FFFFFF"/>
            <w:vAlign w:val="center"/>
          </w:tcPr>
          <w:p>
            <w:pPr>
              <w:pStyle w:val="Style25"/>
              <w:keepNext w:val="0"/>
              <w:keepLines w:val="0"/>
              <w:widowControl w:val="0"/>
              <w:shd w:val="clear" w:color="auto" w:fill="auto"/>
              <w:tabs>
                <w:tab w:pos="1249" w:val="left"/>
              </w:tabs>
              <w:bidi w:val="0"/>
              <w:spacing w:before="0" w:after="0" w:line="240" w:lineRule="auto"/>
              <w:ind w:left="0" w:right="0" w:firstLine="140"/>
              <w:jc w:val="left"/>
            </w:pPr>
            <w:r>
              <w:rPr>
                <w:color w:val="000000"/>
                <w:spacing w:val="0"/>
                <w:w w:val="100"/>
                <w:position w:val="0"/>
                <w:sz w:val="16"/>
                <w:szCs w:val="16"/>
              </w:rPr>
              <w:t>2021/2/19</w:t>
              <w:tab/>
            </w:r>
            <w:r>
              <w:rPr>
                <w:color w:val="000000"/>
                <w:spacing w:val="0"/>
                <w:w w:val="100"/>
                <w:position w:val="0"/>
              </w:rPr>
              <w:t>应收款质押</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tcBorders>
            <w:shd w:val="clear" w:color="auto" w:fill="FFFFFF"/>
            <w:vAlign w:val="center"/>
          </w:tcPr>
          <w:p>
            <w:pPr>
              <w:pStyle w:val="Style25"/>
              <w:keepNext w:val="0"/>
              <w:keepLines w:val="0"/>
              <w:widowControl w:val="0"/>
              <w:shd w:val="clear" w:color="auto" w:fill="auto"/>
              <w:tabs>
                <w:tab w:pos="2054" w:val="left"/>
              </w:tabs>
              <w:bidi w:val="0"/>
              <w:spacing w:before="0" w:after="0" w:line="240" w:lineRule="auto"/>
              <w:ind w:left="0" w:right="0" w:firstLine="46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tab/>
            </w:r>
            <w:r>
              <w:rPr>
                <w:color w:val="000000"/>
                <w:spacing w:val="0"/>
                <w:w w:val="100"/>
                <w:position w:val="0"/>
                <w:sz w:val="16"/>
                <w:szCs w:val="16"/>
              </w:rPr>
              <w:t>2020/2/20</w:t>
            </w:r>
          </w:p>
        </w:tc>
        <w:tc>
          <w:tcPr>
            <w:tcBorders>
              <w:top w:val="single" w:sz="4"/>
            </w:tcBorders>
            <w:shd w:val="clear" w:color="auto" w:fill="FFFFFF"/>
            <w:vAlign w:val="center"/>
          </w:tcPr>
          <w:p>
            <w:pPr>
              <w:pStyle w:val="Style25"/>
              <w:keepNext w:val="0"/>
              <w:keepLines w:val="0"/>
              <w:widowControl w:val="0"/>
              <w:shd w:val="clear" w:color="auto" w:fill="auto"/>
              <w:tabs>
                <w:tab w:pos="1249" w:val="left"/>
              </w:tabs>
              <w:bidi w:val="0"/>
              <w:spacing w:before="0" w:after="0" w:line="240" w:lineRule="auto"/>
              <w:ind w:left="0" w:right="0" w:firstLine="140"/>
              <w:jc w:val="left"/>
            </w:pPr>
            <w:r>
              <w:rPr>
                <w:color w:val="000000"/>
                <w:spacing w:val="0"/>
                <w:w w:val="100"/>
                <w:position w:val="0"/>
                <w:sz w:val="16"/>
                <w:szCs w:val="16"/>
              </w:rPr>
              <w:t>2021/2/19</w:t>
              <w:tab/>
            </w:r>
            <w:r>
              <w:rPr>
                <w:color w:val="000000"/>
                <w:spacing w:val="0"/>
                <w:w w:val="100"/>
                <w:position w:val="0"/>
              </w:rPr>
              <w:t>应收款质押</w:t>
            </w: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浙商银行杭州分行</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2054" w:val="left"/>
              </w:tabs>
              <w:bidi w:val="0"/>
              <w:spacing w:before="0" w:after="0" w:line="240" w:lineRule="auto"/>
              <w:ind w:left="0" w:right="0" w:firstLine="460"/>
              <w:jc w:val="left"/>
              <w:rPr>
                <w:sz w:val="16"/>
                <w:szCs w:val="16"/>
              </w:rPr>
            </w:pPr>
            <w:r>
              <w:rPr>
                <w:color w:val="000000"/>
                <w:spacing w:val="0"/>
                <w:w w:val="100"/>
                <w:position w:val="0"/>
                <w:sz w:val="16"/>
                <w:szCs w:val="16"/>
              </w:rPr>
              <w:t>25,000,</w:t>
            </w:r>
            <w:r>
              <w:rPr>
                <w:color w:val="000000"/>
                <w:spacing w:val="0"/>
                <w:w w:val="100"/>
                <w:position w:val="0"/>
                <w:sz w:val="16"/>
                <w:szCs w:val="16"/>
              </w:rPr>
              <w:t>000.00</w:t>
              <w:tab/>
            </w:r>
            <w:r>
              <w:rPr>
                <w:color w:val="000000"/>
                <w:spacing w:val="0"/>
                <w:w w:val="100"/>
                <w:position w:val="0"/>
                <w:sz w:val="16"/>
                <w:szCs w:val="16"/>
              </w:rPr>
              <w:t>2020/6/5</w:t>
            </w:r>
          </w:p>
        </w:tc>
        <w:tc>
          <w:tcPr>
            <w:tcBorders>
              <w:top w:val="single" w:sz="4"/>
              <w:bottom w:val="single" w:sz="4"/>
            </w:tcBorders>
            <w:shd w:val="clear" w:color="auto" w:fill="FFFFFF"/>
            <w:vAlign w:val="center"/>
          </w:tcPr>
          <w:p>
            <w:pPr>
              <w:pStyle w:val="Style25"/>
              <w:keepNext w:val="0"/>
              <w:keepLines w:val="0"/>
              <w:widowControl w:val="0"/>
              <w:shd w:val="clear" w:color="auto" w:fill="auto"/>
              <w:tabs>
                <w:tab w:pos="1249" w:val="left"/>
              </w:tabs>
              <w:bidi w:val="0"/>
              <w:spacing w:before="0" w:after="0" w:line="240" w:lineRule="auto"/>
              <w:ind w:left="0" w:right="0" w:firstLine="140"/>
              <w:jc w:val="left"/>
            </w:pPr>
            <w:r>
              <w:rPr>
                <w:color w:val="000000"/>
                <w:spacing w:val="0"/>
                <w:w w:val="100"/>
                <w:position w:val="0"/>
                <w:sz w:val="16"/>
                <w:szCs w:val="16"/>
              </w:rPr>
              <w:t>2021/5/24</w:t>
              <w:tab/>
            </w:r>
            <w:r>
              <w:rPr>
                <w:color w:val="000000"/>
                <w:spacing w:val="0"/>
                <w:w w:val="100"/>
                <w:position w:val="0"/>
              </w:rPr>
              <w:t>应收款质押</w:t>
            </w:r>
          </w:p>
        </w:tc>
      </w:tr>
    </w:tbl>
    <w:p>
      <w:pPr>
        <w:pStyle w:val="Style39"/>
        <w:keepNext w:val="0"/>
        <w:keepLines w:val="0"/>
        <w:widowControl w:val="0"/>
        <w:shd w:val="clear" w:color="auto" w:fill="auto"/>
        <w:tabs>
          <w:tab w:pos="3638" w:val="left"/>
        </w:tabs>
        <w:bidi w:val="0"/>
        <w:spacing w:before="0" w:after="0" w:line="240" w:lineRule="auto"/>
        <w:ind w:left="0" w:right="0" w:firstLine="0"/>
        <w:jc w:val="left"/>
        <w:rPr>
          <w:sz w:val="16"/>
          <w:szCs w:val="16"/>
        </w:rPr>
      </w:pPr>
      <w:r>
        <w:rPr>
          <w:color w:val="000000"/>
          <w:spacing w:val="0"/>
          <w:w w:val="100"/>
          <w:position w:val="0"/>
          <w:sz w:val="17"/>
          <w:szCs w:val="17"/>
        </w:rPr>
        <w:t>合 计</w:t>
        <w:tab/>
      </w:r>
      <w:r>
        <w:rPr>
          <w:color w:val="000000"/>
          <w:spacing w:val="0"/>
          <w:w w:val="100"/>
          <w:position w:val="0"/>
          <w:sz w:val="16"/>
          <w:szCs w:val="16"/>
        </w:rPr>
        <w:t xml:space="preserve">70, 000, </w:t>
      </w:r>
      <w:r>
        <w:rPr>
          <w:color w:val="000000"/>
          <w:spacing w:val="0"/>
          <w:w w:val="100"/>
          <w:position w:val="0"/>
          <w:sz w:val="16"/>
          <w:szCs w:val="16"/>
        </w:rPr>
        <w:t>000.00</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②抵押、保证借款情况</w:t>
      </w:r>
    </w:p>
    <w:tbl>
      <w:tblPr>
        <w:tblOverlap w:val="never"/>
        <w:jc w:val="center"/>
        <w:tblLayout w:type="fixed"/>
      </w:tblPr>
      <w:tblGrid>
        <w:gridCol w:w="2952"/>
        <w:gridCol w:w="1954"/>
        <w:gridCol w:w="1258"/>
        <w:gridCol w:w="1301"/>
        <w:gridCol w:w="1819"/>
      </w:tblGrid>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贷款单位</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还款日期</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抵押物、保证人</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2020/1/22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抵押物：西园八路</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2020/2/27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2021/2/25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19</w:t>
            </w:r>
            <w:r>
              <w:rPr>
                <w:color w:val="000000"/>
                <w:spacing w:val="0"/>
                <w:w w:val="100"/>
                <w:position w:val="0"/>
              </w:rPr>
              <w:t>号</w:t>
            </w:r>
            <w:r>
              <w:rPr>
                <w:color w:val="000000"/>
                <w:spacing w:val="0"/>
                <w:w w:val="100"/>
                <w:position w:val="0"/>
                <w:sz w:val="16"/>
                <w:szCs w:val="16"/>
              </w:rPr>
              <w:t>B</w:t>
            </w:r>
            <w:r>
              <w:rPr>
                <w:color w:val="000000"/>
                <w:spacing w:val="0"/>
                <w:w w:val="100"/>
                <w:position w:val="0"/>
              </w:rPr>
              <w:t>座房产；</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2020/3/31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保证人：银江科技</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2021/4/8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集团</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2020/6/1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2021/5/25</w:t>
            </w:r>
          </w:p>
        </w:tc>
        <w:tc>
          <w:tcPr>
            <w:tcBorders>
              <w:top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2020/7/27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2021/7/27</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4"/>
        <w:gridCol w:w="1723"/>
        <w:gridCol w:w="1262"/>
        <w:gridCol w:w="1138"/>
        <w:gridCol w:w="1968"/>
      </w:tblGrid>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2020/8/12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2021/8/12</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2020/8/14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2021/8/13</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2020/12/24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2021/6/22</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中国工商银行杭州庆春路支行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2021/6/29</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③保证借款情况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贷款单位</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借款日期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还款日期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保证人</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中信银行杭州玉泉支行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2021/8/28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中信银行杭州玉泉支行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交通银行杭州莫干山路支行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上海浦东发展银行杭州分行保俶支行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2020/5/18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上海浦东发展银行杭州分行保俶支行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2020/5/29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上海浦东发展银行杭州分行保俶支行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中国民生银行杭州分行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中国民生银行杭州分行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2020/3/13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2021/2/19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中国银行杭州钱江新城支行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中国银行杭州钱江新城支行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宁波银行杭州分行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2020/5/14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2020/3/12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中国农业银行解放路支行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恒丰银行杭州滨江支行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恒丰银行杭州滨江支行</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2020/11/26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120" w:line="240" w:lineRule="auto"/>
        <w:ind w:left="24" w:right="0" w:firstLine="0"/>
        <w:jc w:val="left"/>
      </w:pPr>
      <w:r>
        <w:rPr>
          <w:color w:val="000000"/>
          <w:spacing w:val="0"/>
          <w:w w:val="100"/>
          <w:position w:val="0"/>
        </w:rPr>
        <w:t>注：中国农业银行解放路支行划转完成日为</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4</w:t>
      </w:r>
      <w:r>
        <w:rPr>
          <w:color w:val="000000"/>
          <w:spacing w:val="0"/>
          <w:w w:val="100"/>
          <w:position w:val="0"/>
        </w:rPr>
        <w:t>日。</w:t>
      </w:r>
    </w:p>
    <w:p>
      <w:pPr>
        <w:pStyle w:val="Style39"/>
        <w:keepNext w:val="0"/>
        <w:keepLines w:val="0"/>
        <w:widowControl w:val="0"/>
        <w:shd w:val="clear" w:color="auto" w:fill="auto"/>
        <w:bidi w:val="0"/>
        <w:spacing w:before="0" w:after="0" w:line="240" w:lineRule="auto"/>
        <w:ind w:left="24" w:right="0" w:firstLine="0"/>
        <w:jc w:val="left"/>
      </w:pPr>
      <w:r>
        <w:rPr>
          <w:color w:val="000000"/>
          <w:spacing w:val="0"/>
          <w:w w:val="100"/>
          <w:position w:val="0"/>
        </w:rPr>
        <w:t>④信用借款情况</w:t>
      </w:r>
    </w:p>
    <w:p>
      <w:pPr>
        <w:widowControl w:val="0"/>
        <w:spacing w:line="1" w:lineRule="exact"/>
      </w:pPr>
    </w:p>
    <w:tbl>
      <w:tblPr>
        <w:tblOverlap w:val="never"/>
        <w:jc w:val="center"/>
        <w:tblLayout w:type="fixed"/>
      </w:tblPr>
      <w:tblGrid>
        <w:gridCol w:w="2698"/>
        <w:gridCol w:w="2611"/>
        <w:gridCol w:w="1301"/>
        <w:gridCol w:w="1205"/>
        <w:gridCol w:w="1445"/>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还款日期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浙商银行杭州钱江支行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2021/5/11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浙商银行杭州钱江支行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2021/5/26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2021/6/21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2021/6/22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2021/6/23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光大银行杭州分行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2021/3/25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招商银行杭州解放支行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商票贴现</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招商银行杭州解放支行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商票贴现</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招商银行杭州解放支行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商票贴现</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招商银行杭州解放支行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商票贴现</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恒丰银江杭州滨江支行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keepLines/>
        <w:widowControl w:val="0"/>
        <w:numPr>
          <w:ilvl w:val="0"/>
          <w:numId w:val="35"/>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已逾期未偿还的短期借款情况</w:t>
      </w:r>
      <w:bookmarkEnd w:id="1370"/>
      <w:bookmarkEnd w:id="1371"/>
      <w:bookmarkEnd w:id="137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74"/>
      <w:bookmarkEnd w:id="1375"/>
      <w:bookmarkEnd w:id="137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78"/>
      <w:bookmarkEnd w:id="1379"/>
      <w:bookmarkEnd w:id="138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82"/>
      <w:bookmarkEnd w:id="1383"/>
      <w:bookmarkEnd w:id="138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18,594,413.17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46,536,322.05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96,861,717.43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14,986,546.46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115,456,130.60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61,522,868.51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86"/>
      <w:bookmarkEnd w:id="1387"/>
      <w:bookmarkEnd w:id="1389"/>
    </w:p>
    <w:p>
      <w:pPr>
        <w:pStyle w:val="Style47"/>
        <w:keepNext/>
        <w:keepLines/>
        <w:widowControl w:val="0"/>
        <w:numPr>
          <w:ilvl w:val="0"/>
          <w:numId w:val="37"/>
        </w:numPr>
        <w:shd w:val="clear" w:color="auto" w:fill="auto"/>
        <w:bidi w:val="0"/>
        <w:spacing w:before="0" w:line="240" w:lineRule="auto"/>
        <w:ind w:left="0" w:right="0" w:firstLine="14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应付账款列示</w:t>
      </w:r>
      <w:bookmarkEnd w:id="1390"/>
      <w:bookmarkEnd w:id="1391"/>
      <w:bookmarkEnd w:id="139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829,536,181.10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749,674,762.46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83,248,055.07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78,056,054.95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46,948,342.81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42,324,572.21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36,574,906.68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89,798,687.18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996,307,485.66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959,854,076.80</w:t>
            </w:r>
          </w:p>
        </w:tc>
      </w:tr>
    </w:tbl>
    <w:p>
      <w:pPr>
        <w:widowControl w:val="0"/>
        <w:spacing w:after="319" w:line="1" w:lineRule="exact"/>
      </w:pPr>
    </w:p>
    <w:p>
      <w:pPr>
        <w:pStyle w:val="Style47"/>
        <w:keepNext/>
        <w:keepLines/>
        <w:widowControl w:val="0"/>
        <w:numPr>
          <w:ilvl w:val="0"/>
          <w:numId w:val="37"/>
        </w:numPr>
        <w:shd w:val="clear" w:color="auto" w:fill="auto"/>
        <w:bidi w:val="0"/>
        <w:spacing w:before="0" w:line="240" w:lineRule="auto"/>
        <w:ind w:left="0" w:right="0" w:firstLine="14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4"/>
      <w:bookmarkEnd w:id="1395"/>
      <w:bookmarkEnd w:id="139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安徽吉伟安防电子有限公司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4,026,000.00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博康智能信息技术有限公司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5,340,884.55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江苏鼎驰电子科技有限公司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4,878,319.25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上海泓申科技发展有限公司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6,107,144.70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武汉谷泰智能有限公司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3,120,412.62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23,472,761.12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398"/>
      <w:bookmarkEnd w:id="1399"/>
      <w:bookmarkEnd w:id="1401"/>
    </w:p>
    <w:p>
      <w:pPr>
        <w:pStyle w:val="Style47"/>
        <w:keepNext/>
        <w:keepLines/>
        <w:widowControl w:val="0"/>
        <w:numPr>
          <w:ilvl w:val="0"/>
          <w:numId w:val="39"/>
        </w:numPr>
        <w:shd w:val="clear" w:color="auto" w:fill="auto"/>
        <w:tabs>
          <w:tab w:pos="49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预收款项列示</w:t>
      </w:r>
      <w:bookmarkEnd w:id="1402"/>
      <w:bookmarkEnd w:id="1403"/>
      <w:bookmarkEnd w:id="140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9"/>
        </w:numPr>
        <w:shd w:val="clear" w:color="auto" w:fill="auto"/>
        <w:tabs>
          <w:tab w:pos="493" w:val="left"/>
        </w:tabs>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6"/>
      <w:bookmarkEnd w:id="1407"/>
      <w:bookmarkEnd w:id="140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10"/>
      <w:bookmarkEnd w:id="1411"/>
      <w:bookmarkEnd w:id="141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57,904,773.22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353,819.22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58,258,592.44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169,476,750.24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报告期内账面价值发生重大变动的金额和原因</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14"/>
      <w:bookmarkEnd w:id="1415"/>
      <w:bookmarkEnd w:id="1417"/>
    </w:p>
    <w:p>
      <w:pPr>
        <w:pStyle w:val="Style47"/>
        <w:keepNext/>
        <w:keepLines/>
        <w:widowControl w:val="0"/>
        <w:numPr>
          <w:ilvl w:val="0"/>
          <w:numId w:val="41"/>
        </w:numPr>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应付职工薪酬列示</w:t>
      </w:r>
      <w:bookmarkEnd w:id="1418"/>
      <w:bookmarkEnd w:id="1419"/>
      <w:bookmarkEnd w:id="1421"/>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16,097,369.65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108,892,787.56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107,138,198.58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17,851,958.63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3,186,581.04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819,989.37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2,967,457.10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453,140.02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453,140.02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19,283,950.69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109,946,793.01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108,411,327.97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20,819,415.73</w:t>
            </w:r>
          </w:p>
        </w:tc>
      </w:tr>
    </w:tbl>
    <w:p>
      <w:pPr>
        <w:widowControl w:val="0"/>
        <w:spacing w:after="319" w:line="1" w:lineRule="exact"/>
      </w:pPr>
    </w:p>
    <w:p>
      <w:pPr>
        <w:pStyle w:val="Style47"/>
        <w:keepNext/>
        <w:keepLines/>
        <w:widowControl w:val="0"/>
        <w:numPr>
          <w:ilvl w:val="0"/>
          <w:numId w:val="41"/>
        </w:numPr>
        <w:shd w:val="clear" w:color="auto" w:fill="auto"/>
        <w:bidi w:val="0"/>
        <w:spacing w:before="0" w:line="240" w:lineRule="auto"/>
        <w:ind w:left="0" w:right="0" w:firstLine="14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短期薪酬列示</w:t>
      </w:r>
      <w:bookmarkEnd w:id="1422"/>
      <w:bookmarkEnd w:id="1423"/>
      <w:bookmarkEnd w:id="1425"/>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13,080,662.13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95,358,139.15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93,434,611.24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15,004,190.04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5,405,493.63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5,388,893.63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2,798,569.33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3,062,973.06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3,238,918.06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2,622,624.33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2,497,105.14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2,971,625.75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3,128,078.66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2,340,652.23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24,302.83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27,455.14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67,044.49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83,384.27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206,441.13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3,028,535.52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3,020,043.52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202,658.19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2,037,646.20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2,055,732.13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184,572.26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16,097,369.65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108,892,787.56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107,138,198.58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17,851,958.63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26"/>
      <w:bookmarkEnd w:id="1427"/>
      <w:bookmarkEnd w:id="14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3,073,613.08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578,065.12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790,587.92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2,861,090.28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22,800.31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29,401.45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106,366.82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3,186,581.04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600,865.43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819,989.37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2,967,457.10</w:t>
            </w:r>
          </w:p>
        </w:tc>
      </w:tr>
    </w:tbl>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注：本集团按规定参加由政府机构设立的养老保险、失业保险计划，根据该等计划，本集团根据各地社保局规定的缴费比例 及缴费基数向该等计划缴存费用。除上述每月缴存费用外，本集团不再承担进一步支付义务。相应的支出于发生时计入当期 损益或相关资产的成本。</w:t>
      </w:r>
    </w:p>
    <w:p>
      <w:pPr>
        <w:pStyle w:val="Style33"/>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30"/>
      <w:bookmarkEnd w:id="1431"/>
      <w:bookmarkEnd w:id="143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58,298,252.10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74,281,620.78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30,660,098.65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24,606,291.55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7,087,041.25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8,179,698.50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19,936,796.59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19,514,285.71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2,961,738.42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3,461,119.31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1,987,852.72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2,313,674.71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441,405.05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436,013.44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6,009,392.31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3,520,332.91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58,157.08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40,268.61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127,518,409.05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136,463,148.18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4"/>
      <w:bookmarkEnd w:id="1435"/>
      <w:bookmarkEnd w:id="143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148,743,411.35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142,651,853.65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148,743,411.35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153,475,082.59</w:t>
            </w:r>
          </w:p>
        </w:tc>
      </w:tr>
    </w:tbl>
    <w:p>
      <w:pPr>
        <w:widowControl w:val="0"/>
        <w:spacing w:after="379" w:line="1" w:lineRule="exact"/>
      </w:pPr>
    </w:p>
    <w:p>
      <w:pPr>
        <w:pStyle w:val="Style47"/>
        <w:keepNext/>
        <w:keepLines/>
        <w:widowControl w:val="0"/>
        <w:numPr>
          <w:ilvl w:val="0"/>
          <w:numId w:val="43"/>
        </w:numPr>
        <w:shd w:val="clear" w:color="auto" w:fill="auto"/>
        <w:bidi w:val="0"/>
        <w:spacing w:before="0" w:line="240" w:lineRule="auto"/>
        <w:ind w:left="0" w:right="0" w:firstLine="0"/>
        <w:jc w:val="both"/>
      </w:pPr>
      <w:bookmarkStart w:id="1438" w:name="bookmark1438"/>
      <w:bookmarkStart w:id="1439" w:name="bookmark1439"/>
      <w:bookmarkStart w:id="1440" w:name="bookmark1440"/>
      <w:bookmarkStart w:id="1441" w:name="bookmark1441"/>
      <w:bookmarkEnd w:id="1440"/>
      <w:r>
        <w:rPr>
          <w:color w:val="000000"/>
          <w:spacing w:val="0"/>
          <w:w w:val="100"/>
          <w:position w:val="0"/>
        </w:rPr>
        <w:t>应付利息</w:t>
      </w:r>
      <w:bookmarkEnd w:id="1438"/>
      <w:bookmarkEnd w:id="1439"/>
      <w:bookmarkEnd w:id="144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2,553,461.79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43"/>
        </w:numPr>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应付股利</w:t>
      </w:r>
      <w:bookmarkEnd w:id="1442"/>
      <w:bookmarkEnd w:id="1443"/>
      <w:bookmarkEnd w:id="144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8,269,767.15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7"/>
        <w:keepNext/>
        <w:keepLines/>
        <w:widowControl w:val="0"/>
        <w:numPr>
          <w:ilvl w:val="0"/>
          <w:numId w:val="43"/>
        </w:numPr>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其他应付款</w:t>
      </w:r>
      <w:bookmarkEnd w:id="1446"/>
      <w:bookmarkEnd w:id="1447"/>
      <w:bookmarkEnd w:id="1449"/>
    </w:p>
    <w:p>
      <w:pPr>
        <w:pStyle w:val="Style65"/>
        <w:keepNext/>
        <w:keepLines/>
        <w:widowControl w:val="0"/>
        <w:numPr>
          <w:ilvl w:val="0"/>
          <w:numId w:val="45"/>
        </w:numPr>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按款项性质列示其他应付款</w:t>
      </w:r>
      <w:bookmarkEnd w:id="1450"/>
      <w:bookmarkEnd w:id="1451"/>
      <w:bookmarkEnd w:id="145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130,853,040.39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135,079,306.10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4,528,024.95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3,218,821.64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6,125,456.26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844,582.10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2,559,623.84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4,677,265.91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479,143.81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148,743,411.35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142,651,853.65</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4"/>
      <w:bookmarkEnd w:id="1455"/>
      <w:bookmarkEnd w:id="145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程晓春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4,381,956.53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博康智能信息技术有限公司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4,206,800.00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8,588,756.53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58"/>
      <w:bookmarkEnd w:id="1459"/>
      <w:bookmarkEnd w:id="1461"/>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62"/>
      <w:bookmarkEnd w:id="1463"/>
      <w:bookmarkEnd w:id="146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66"/>
      <w:bookmarkEnd w:id="1467"/>
      <w:bookmarkEnd w:id="146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70"/>
      <w:bookmarkEnd w:id="1471"/>
      <w:bookmarkEnd w:id="1473"/>
    </w:p>
    <w:p>
      <w:pPr>
        <w:pStyle w:val="Style47"/>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4"/>
      <w:bookmarkEnd w:id="1475"/>
      <w:bookmarkEnd w:id="147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78"/>
      <w:bookmarkEnd w:id="1479"/>
      <w:bookmarkEnd w:id="1481"/>
    </w:p>
    <w:p>
      <w:pPr>
        <w:pStyle w:val="Style47"/>
        <w:keepNext/>
        <w:keepLines/>
        <w:widowControl w:val="0"/>
        <w:shd w:val="clear" w:color="auto" w:fill="auto"/>
        <w:bidi w:val="0"/>
        <w:spacing w:before="0" w:line="240" w:lineRule="auto"/>
        <w:ind w:left="0" w:right="0" w:firstLine="0"/>
        <w:jc w:val="both"/>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2"/>
      <w:bookmarkEnd w:id="1483"/>
      <w:bookmarkEnd w:id="148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numPr>
          <w:ilvl w:val="0"/>
          <w:numId w:val="33"/>
        </w:numPr>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 xml:space="preserve"> 应付债券的增减变动(不包括划分为金融负债的优先股、永续债等其他金融工具)</w:t>
      </w:r>
      <w:bookmarkEnd w:id="1486"/>
      <w:bookmarkEnd w:id="1487"/>
      <w:bookmarkEnd w:id="148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3"/>
        </w:numPr>
        <w:shd w:val="clear" w:color="auto" w:fill="auto"/>
        <w:tabs>
          <w:tab w:pos="493" w:val="left"/>
        </w:tabs>
        <w:bidi w:val="0"/>
        <w:spacing w:before="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可转换公司债券的转股条件、转股时间说明</w:t>
      </w:r>
      <w:bookmarkEnd w:id="1490"/>
      <w:bookmarkEnd w:id="1491"/>
      <w:bookmarkEnd w:id="1493"/>
    </w:p>
    <w:p>
      <w:pPr>
        <w:pStyle w:val="Style47"/>
        <w:keepNext/>
        <w:keepLines/>
        <w:widowControl w:val="0"/>
        <w:numPr>
          <w:ilvl w:val="0"/>
          <w:numId w:val="33"/>
        </w:numPr>
        <w:shd w:val="clear" w:color="auto" w:fill="auto"/>
        <w:tabs>
          <w:tab w:pos="49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划分为金融负债的其他金融工具说明</w:t>
      </w:r>
      <w:bookmarkEnd w:id="1494"/>
      <w:bookmarkEnd w:id="1495"/>
      <w:bookmarkEnd w:id="149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98"/>
      <w:bookmarkEnd w:id="1499"/>
      <w:bookmarkEnd w:id="150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02"/>
      <w:bookmarkEnd w:id="1503"/>
      <w:bookmarkEnd w:id="1505"/>
    </w:p>
    <w:p>
      <w:pPr>
        <w:pStyle w:val="Style47"/>
        <w:keepNext/>
        <w:keepLines/>
        <w:widowControl w:val="0"/>
        <w:numPr>
          <w:ilvl w:val="0"/>
          <w:numId w:val="47"/>
        </w:numPr>
        <w:shd w:val="clear" w:color="auto" w:fill="auto"/>
        <w:tabs>
          <w:tab w:pos="493"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按款项性质列示长期应付款</w:t>
      </w:r>
      <w:bookmarkEnd w:id="1506"/>
      <w:bookmarkEnd w:id="1507"/>
      <w:bookmarkEnd w:id="150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numPr>
          <w:ilvl w:val="0"/>
          <w:numId w:val="47"/>
        </w:numPr>
        <w:shd w:val="clear" w:color="auto" w:fill="auto"/>
        <w:tabs>
          <w:tab w:pos="493" w:val="left"/>
        </w:tabs>
        <w:bidi w:val="0"/>
        <w:spacing w:before="0" w:after="380" w:line="240" w:lineRule="auto"/>
        <w:ind w:left="0" w:right="0" w:firstLine="0"/>
        <w:jc w:val="left"/>
        <w:rPr>
          <w:sz w:val="20"/>
          <w:szCs w:val="20"/>
        </w:rPr>
      </w:pPr>
      <w:bookmarkStart w:id="1510" w:name="bookmark1510"/>
      <w:bookmarkStart w:id="1511" w:name="bookmark1511"/>
      <w:bookmarkEnd w:id="1510"/>
      <w:r>
        <w:rPr>
          <w:b/>
          <w:bCs/>
          <w:color w:val="000000"/>
          <w:spacing w:val="0"/>
          <w:w w:val="100"/>
          <w:position w:val="0"/>
          <w:sz w:val="20"/>
          <w:szCs w:val="20"/>
        </w:rPr>
        <w:t>专项应付款</w:t>
      </w:r>
      <w:bookmarkEnd w:id="151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12"/>
      <w:bookmarkEnd w:id="1513"/>
      <w:bookmarkEnd w:id="1515"/>
    </w:p>
    <w:p>
      <w:pPr>
        <w:pStyle w:val="Style47"/>
        <w:keepNext/>
        <w:keepLines/>
        <w:widowControl w:val="0"/>
        <w:numPr>
          <w:ilvl w:val="0"/>
          <w:numId w:val="49"/>
        </w:numPr>
        <w:shd w:val="clear" w:color="auto" w:fill="auto"/>
        <w:tabs>
          <w:tab w:pos="493"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长期应付职工薪酬表</w:t>
      </w:r>
      <w:bookmarkEnd w:id="1516"/>
      <w:bookmarkEnd w:id="1517"/>
      <w:bookmarkEnd w:id="151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49"/>
        </w:numPr>
        <w:shd w:val="clear" w:color="auto" w:fill="auto"/>
        <w:tabs>
          <w:tab w:pos="493" w:val="left"/>
        </w:tabs>
        <w:bidi w:val="0"/>
        <w:spacing w:before="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设定受益计划变动情况</w:t>
      </w:r>
      <w:bookmarkEnd w:id="1520"/>
      <w:bookmarkEnd w:id="1521"/>
      <w:bookmarkEnd w:id="152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24"/>
      <w:bookmarkEnd w:id="1525"/>
      <w:bookmarkEnd w:id="152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28"/>
      <w:bookmarkEnd w:id="1529"/>
      <w:bookmarkEnd w:id="1531"/>
    </w:p>
    <w:p>
      <w:pPr>
        <w:widowControl w:val="0"/>
        <w:spacing w:line="1" w:lineRule="exact"/>
      </w:pPr>
      <w:r>
        <mc:AlternateContent>
          <mc:Choice Requires="wps">
            <w:drawing>
              <wp:anchor distT="152400" distB="819785" distL="0" distR="0" simplePos="0" relativeHeight="125829396" behindDoc="0" locked="0" layoutInCell="1" allowOverlap="1">
                <wp:simplePos x="0" y="0"/>
                <wp:positionH relativeFrom="page">
                  <wp:posOffset>6332855</wp:posOffset>
                </wp:positionH>
                <wp:positionV relativeFrom="paragraph">
                  <wp:posOffset>152400</wp:posOffset>
                </wp:positionV>
                <wp:extent cx="481330" cy="152400"/>
                <wp:wrapTopAndBottom/>
                <wp:docPr id="59" name="Shape 59"/>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85" type="#_x0000_t202" style="position:absolute;margin-left:498.65000000000003pt;margin-top:12.pt;width:37.899999999999999pt;height:12.pt;z-index:-125829357;mso-wrap-distance-left:0;mso-wrap-distance-top:12.pt;mso-wrap-distance-right:0;mso-wrap-distance-bottom:64.549999999999997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347345" distB="0" distL="0" distR="0" simplePos="0" relativeHeight="125829398" behindDoc="0" locked="0" layoutInCell="1" allowOverlap="1">
                <wp:simplePos x="0" y="0"/>
                <wp:positionH relativeFrom="page">
                  <wp:posOffset>672465</wp:posOffset>
                </wp:positionH>
                <wp:positionV relativeFrom="paragraph">
                  <wp:posOffset>347345</wp:posOffset>
                </wp:positionV>
                <wp:extent cx="6087110" cy="777240"/>
                <wp:wrapTopAndBottom/>
                <wp:docPr id="61" name="Shape 61"/>
                <a:graphic xmlns:a="http://schemas.openxmlformats.org/drawingml/2006/main">
                  <a:graphicData uri="http://schemas.microsoft.com/office/word/2010/wordprocessingShape">
                    <wps:wsp>
                      <wps:cNvSpPr txBox="1"/>
                      <wps:spPr>
                        <a:xfrm>
                          <a:ext cx="6087110" cy="777240"/>
                        </a:xfrm>
                        <a:prstGeom prst="rect"/>
                        <a:noFill/>
                      </wps:spPr>
                      <wps:txbx>
                        <w:txbxContent>
                          <w:tbl>
                            <w:tblPr>
                              <w:tblOverlap w:val="never"/>
                              <w:jc w:val="left"/>
                              <w:tblLayout w:type="fixed"/>
                            </w:tblPr>
                            <w:tblGrid>
                              <w:gridCol w:w="1603"/>
                              <w:gridCol w:w="1594"/>
                              <w:gridCol w:w="1594"/>
                              <w:gridCol w:w="1598"/>
                              <w:gridCol w:w="1594"/>
                              <w:gridCol w:w="1603"/>
                            </w:tblGrid>
                            <w:tr>
                              <w:trPr>
                                <w:tblHeade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未通过验收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87" type="#_x0000_t202" style="position:absolute;margin-left:52.950000000000003pt;margin-top:27.350000000000001pt;width:479.30000000000001pt;height:61.200000000000003pt;z-index:-125829355;mso-wrap-distance-left:0;mso-wrap-distance-top:27.350000000000001pt;mso-wrap-distance-right:0;mso-position-horizontal-relative:page" filled="f" stroked="f">
                <v:textbox inset="0,0,0,0">
                  <w:txbxContent>
                    <w:tbl>
                      <w:tblPr>
                        <w:tblOverlap w:val="never"/>
                        <w:jc w:val="left"/>
                        <w:tblLayout w:type="fixed"/>
                      </w:tblPr>
                      <w:tblGrid>
                        <w:gridCol w:w="1603"/>
                        <w:gridCol w:w="1594"/>
                        <w:gridCol w:w="1594"/>
                        <w:gridCol w:w="1598"/>
                        <w:gridCol w:w="1594"/>
                        <w:gridCol w:w="1603"/>
                      </w:tblGrid>
                      <w:tr>
                        <w:trPr>
                          <w:tblHeade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未通过验收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v:textbox>
                <w10:wrap type="topAndBottom" anchorx="page"/>
              </v:shape>
            </w:pict>
          </mc:Fallback>
        </mc:AlternateConten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突发事件应 急保障新技 术新方法及 装备研究和 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 据背景下新 型突发事件 应急保障系 统、装备研 发与应用示 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突发事件应 急保障新技 术新方法及 装备研究和 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 据背景下新 型突发事件 应急保障系 统、装备研 发与应用示 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智能政务开 放创新服务 平台开发及 应用示范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1,368,000.00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tabs>
          <w:tab w:pos="48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32"/>
      <w:bookmarkEnd w:id="1533"/>
      <w:bookmarkEnd w:id="153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36"/>
      <w:bookmarkEnd w:id="1537"/>
      <w:bookmarkEnd w:id="153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40"/>
      <w:bookmarkEnd w:id="1541"/>
      <w:bookmarkEnd w:id="1543"/>
    </w:p>
    <w:p>
      <w:pPr>
        <w:pStyle w:val="Style47"/>
        <w:keepNext/>
        <w:keepLines/>
        <w:widowControl w:val="0"/>
        <w:shd w:val="clear" w:color="auto" w:fill="auto"/>
        <w:tabs>
          <w:tab w:pos="493" w:val="left"/>
        </w:tabs>
        <w:bidi w:val="0"/>
        <w:spacing w:before="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44"/>
      <w:bookmarkEnd w:id="1545"/>
      <w:bookmarkEnd w:id="1547"/>
    </w:p>
    <w:p>
      <w:pPr>
        <w:pStyle w:val="Style47"/>
        <w:keepNext/>
        <w:keepLines/>
        <w:widowControl w:val="0"/>
        <w:shd w:val="clear" w:color="auto" w:fill="auto"/>
        <w:tabs>
          <w:tab w:pos="493"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48"/>
      <w:bookmarkEnd w:id="1549"/>
      <w:bookmarkEnd w:id="155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52"/>
      <w:bookmarkEnd w:id="1553"/>
      <w:bookmarkEnd w:id="15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1,566,809,540.84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1,566,809,540.84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19,620,059.08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36,031,726.11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-16,411,667.03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1,586,429,599.92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36,031,726.11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1,550,397,873.81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公司股权激励：对于第二个行权期，于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日可确认无法达到第二期股票期权行权要求的业绩指标，第二个 行权期相关的股权激励费用不应确认，且应将前期累计已确认金额冲回；对于第三个行权期，于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日已可确认无 法达到第三期股票期权行权要求的业绩指标，第三个行权期相关的股权激励费用不应确认,且应将前期累计已确认金额冲回。 此项前期会计差错的更正，将导致</w:t>
      </w:r>
      <w:r>
        <w:rPr>
          <w:color w:val="000000"/>
          <w:spacing w:val="0"/>
          <w:w w:val="100"/>
          <w:position w:val="0"/>
          <w:sz w:val="16"/>
          <w:szCs w:val="16"/>
        </w:rPr>
        <w:t>2018</w:t>
      </w:r>
      <w:r>
        <w:rPr>
          <w:color w:val="000000"/>
          <w:spacing w:val="0"/>
          <w:w w:val="100"/>
          <w:position w:val="0"/>
        </w:rPr>
        <w:t>年度、</w:t>
      </w:r>
      <w:r>
        <w:rPr>
          <w:color w:val="000000"/>
          <w:spacing w:val="0"/>
          <w:w w:val="100"/>
          <w:position w:val="0"/>
          <w:sz w:val="16"/>
          <w:szCs w:val="16"/>
        </w:rPr>
        <w:t>2019</w:t>
      </w:r>
      <w:r>
        <w:rPr>
          <w:color w:val="000000"/>
          <w:spacing w:val="0"/>
          <w:w w:val="100"/>
          <w:position w:val="0"/>
        </w:rPr>
        <w:t>年度管理费用分别冲回</w:t>
      </w:r>
      <w:r>
        <w:rPr>
          <w:color w:val="000000"/>
          <w:spacing w:val="0"/>
          <w:w w:val="100"/>
          <w:position w:val="0"/>
          <w:sz w:val="16"/>
          <w:szCs w:val="16"/>
        </w:rPr>
        <w:t>5,791,807.50</w:t>
      </w:r>
      <w:r>
        <w:rPr>
          <w:color w:val="000000"/>
          <w:spacing w:val="0"/>
          <w:w w:val="100"/>
          <w:position w:val="0"/>
        </w:rPr>
        <w:t>元、</w:t>
      </w:r>
      <w:r>
        <w:rPr>
          <w:color w:val="000000"/>
          <w:spacing w:val="0"/>
          <w:w w:val="100"/>
          <w:position w:val="0"/>
          <w:sz w:val="16"/>
          <w:szCs w:val="16"/>
        </w:rPr>
        <w:t>10,425,253.50</w:t>
      </w:r>
      <w:r>
        <w:rPr>
          <w:color w:val="000000"/>
          <w:spacing w:val="0"/>
          <w:w w:val="100"/>
          <w:position w:val="0"/>
        </w:rPr>
        <w:t>元，同时调整相 应冲回年初资本公积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color w:val="000000"/>
          <w:spacing w:val="0"/>
          <w:w w:val="100"/>
          <w:position w:val="0"/>
          <w:sz w:val="16"/>
          <w:szCs w:val="16"/>
        </w:rPr>
        <w:t xml:space="preserve">16, 217, </w:t>
      </w:r>
      <w:r>
        <w:rPr>
          <w:color w:val="000000"/>
          <w:spacing w:val="0"/>
          <w:w w:val="100"/>
          <w:position w:val="0"/>
          <w:sz w:val="16"/>
          <w:szCs w:val="16"/>
        </w:rPr>
        <w:t xml:space="preserve">061. </w:t>
      </w:r>
      <w:r>
        <w:rPr>
          <w:color w:val="000000"/>
          <w:spacing w:val="0"/>
          <w:w w:val="100"/>
          <w:position w:val="0"/>
          <w:sz w:val="16"/>
          <w:szCs w:val="16"/>
        </w:rPr>
        <w:t>00</w:t>
      </w:r>
      <w:r>
        <w:rPr>
          <w:color w:val="000000"/>
          <w:spacing w:val="0"/>
          <w:w w:val="100"/>
          <w:position w:val="0"/>
        </w:rPr>
        <w:t>元。</w:t>
      </w:r>
    </w:p>
    <w:p>
      <w:pPr>
        <w:pStyle w:val="Style30"/>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公司对杭州银江智慧产业创业投资合伙企业（有限合伙）（以下称“产业基金”）的投资，公司对该项采用权益法进 行后续计量。由于产业基金</w:t>
      </w:r>
      <w:r>
        <w:rPr>
          <w:color w:val="000000"/>
          <w:spacing w:val="0"/>
          <w:w w:val="100"/>
          <w:position w:val="0"/>
          <w:sz w:val="16"/>
          <w:szCs w:val="16"/>
        </w:rPr>
        <w:t>2020</w:t>
      </w:r>
      <w:r>
        <w:rPr>
          <w:color w:val="000000"/>
          <w:spacing w:val="0"/>
          <w:w w:val="100"/>
          <w:position w:val="0"/>
        </w:rPr>
        <w:t>年度自查发现前期财务报表存在重大差错，并按照企业会计准则的规定对前期报表进行追溯 调整。产业基金的前期差错更正金额较大，对公司前期确认的投资收益金额影响重大，该事项构成公司前期差错，应按照追 溯调整法进行会计处理，调整相应年初资本公积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color w:val="000000"/>
          <w:spacing w:val="0"/>
          <w:w w:val="100"/>
          <w:position w:val="0"/>
          <w:sz w:val="16"/>
          <w:szCs w:val="16"/>
        </w:rPr>
        <w:t xml:space="preserve">3, 952, </w:t>
      </w:r>
      <w:r>
        <w:rPr>
          <w:color w:val="000000"/>
          <w:spacing w:val="0"/>
          <w:w w:val="100"/>
          <w:position w:val="0"/>
          <w:sz w:val="16"/>
          <w:szCs w:val="16"/>
        </w:rPr>
        <w:t xml:space="preserve">976. </w:t>
      </w:r>
      <w:r>
        <w:rPr>
          <w:color w:val="000000"/>
          <w:spacing w:val="0"/>
          <w:w w:val="100"/>
          <w:position w:val="0"/>
          <w:sz w:val="16"/>
          <w:szCs w:val="16"/>
        </w:rPr>
        <w:t>01</w:t>
      </w:r>
      <w:r>
        <w:rPr>
          <w:color w:val="000000"/>
          <w:spacing w:val="0"/>
          <w:w w:val="100"/>
          <w:position w:val="0"/>
        </w:rPr>
        <w:t>元，对本期资本公积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其他资本公积影响额为 </w:t>
      </w:r>
      <w:r>
        <w:rPr>
          <w:color w:val="000000"/>
          <w:spacing w:val="0"/>
          <w:w w:val="100"/>
          <w:position w:val="0"/>
          <w:sz w:val="16"/>
          <w:szCs w:val="16"/>
        </w:rPr>
        <w:t xml:space="preserve">-36, </w:t>
      </w:r>
      <w:r>
        <w:rPr>
          <w:color w:val="000000"/>
          <w:spacing w:val="0"/>
          <w:w w:val="100"/>
          <w:position w:val="0"/>
          <w:sz w:val="16"/>
          <w:szCs w:val="16"/>
        </w:rPr>
        <w:t xml:space="preserve">031, </w:t>
      </w:r>
      <w:r>
        <w:rPr>
          <w:color w:val="000000"/>
          <w:spacing w:val="0"/>
          <w:w w:val="100"/>
          <w:position w:val="0"/>
          <w:sz w:val="16"/>
          <w:szCs w:val="16"/>
        </w:rPr>
        <w:t xml:space="preserve">726. </w:t>
      </w:r>
      <w:r>
        <w:rPr>
          <w:color w:val="000000"/>
          <w:spacing w:val="0"/>
          <w:w w:val="100"/>
          <w:position w:val="0"/>
          <w:sz w:val="16"/>
          <w:szCs w:val="16"/>
        </w:rPr>
        <w:t xml:space="preserve">11 </w:t>
      </w:r>
      <w:r>
        <w:rPr>
          <w:color w:val="000000"/>
          <w:spacing w:val="0"/>
          <w:w w:val="100"/>
          <w:position w:val="0"/>
        </w:rPr>
        <w:t>元。</w:t>
      </w:r>
    </w:p>
    <w:p>
      <w:pPr>
        <w:pStyle w:val="Style33"/>
        <w:keepNext/>
        <w:keepLines/>
        <w:widowControl w:val="0"/>
        <w:shd w:val="clear" w:color="auto" w:fill="auto"/>
        <w:tabs>
          <w:tab w:pos="483" w:val="left"/>
        </w:tabs>
        <w:bidi w:val="0"/>
        <w:spacing w:before="0" w:after="2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56"/>
      <w:bookmarkEnd w:id="1557"/>
      <w:bookmarkEnd w:id="1559"/>
    </w:p>
    <w:p>
      <w:pPr>
        <w:pStyle w:val="Style30"/>
        <w:keepNext w:val="0"/>
        <w:keepLines w:val="0"/>
        <w:widowControl w:val="0"/>
        <w:shd w:val="clear" w:color="auto" w:fill="auto"/>
        <w:bidi w:val="0"/>
        <w:spacing w:before="0" w:after="38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60"/>
      <w:bookmarkEnd w:id="1561"/>
      <w:bookmarkEnd w:id="156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top"/>
          </w:tcPr>
          <w:p>
            <w:pPr>
              <w:pStyle w:val="Style25"/>
              <w:keepNext w:val="0"/>
              <w:keepLines w:val="0"/>
              <w:widowControl w:val="0"/>
              <w:shd w:val="clear" w:color="auto" w:fill="auto"/>
              <w:bidi w:val="0"/>
              <w:spacing w:before="100" w:after="0" w:line="312" w:lineRule="exact"/>
              <w:ind w:left="0" w:right="0" w:firstLine="0"/>
              <w:jc w:val="center"/>
            </w:pPr>
            <w:r>
              <w:rPr>
                <w:color w:val="000000"/>
                <w:spacing w:val="0"/>
                <w:w w:val="100"/>
                <w:position w:val="0"/>
              </w:rPr>
              <w:t>期末余 额</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97,867,68</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-415,880.1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98,423,69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97,867,68</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-415,880.1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98,423,69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881.60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97,867,68</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-415,880.1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98,423,69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64"/>
      <w:bookmarkEnd w:id="1565"/>
      <w:bookmarkEnd w:id="156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68"/>
      <w:bookmarkEnd w:id="1569"/>
      <w:bookmarkEnd w:id="15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136,976,753.44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20,518,639.93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157,495,393.37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136,976,753.44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20,518,639.93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157,495,393.37</w:t>
            </w:r>
          </w:p>
        </w:tc>
      </w:tr>
    </w:tbl>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根据《公司法》、公司章程的规定，本公司按本公司单体净利润的</w:t>
      </w:r>
      <w:r>
        <w:rPr>
          <w:color w:val="000000"/>
          <w:spacing w:val="0"/>
          <w:w w:val="100"/>
          <w:position w:val="0"/>
          <w:sz w:val="16"/>
          <w:szCs w:val="16"/>
        </w:rPr>
        <w:t>10%</w:t>
      </w:r>
      <w:r>
        <w:rPr>
          <w:color w:val="000000"/>
          <w:spacing w:val="0"/>
          <w:w w:val="100"/>
          <w:position w:val="0"/>
        </w:rPr>
        <w:t>提取法定盈余公积</w:t>
      </w:r>
      <w:r>
        <w:rPr>
          <w:color w:val="000000"/>
          <w:spacing w:val="0"/>
          <w:w w:val="100"/>
          <w:position w:val="0"/>
          <w:sz w:val="16"/>
          <w:szCs w:val="16"/>
        </w:rPr>
        <w:t>20,517,782.20</w:t>
      </w:r>
      <w:r>
        <w:rPr>
          <w:color w:val="000000"/>
          <w:spacing w:val="0"/>
          <w:w w:val="100"/>
          <w:position w:val="0"/>
        </w:rPr>
        <w:t>元。法定盈余 公积累计额达到本公司注册资本</w:t>
      </w:r>
      <w:r>
        <w:rPr>
          <w:color w:val="000000"/>
          <w:spacing w:val="0"/>
          <w:w w:val="100"/>
          <w:position w:val="0"/>
          <w:sz w:val="16"/>
          <w:szCs w:val="16"/>
        </w:rPr>
        <w:t>50%</w:t>
      </w:r>
      <w:r>
        <w:rPr>
          <w:color w:val="000000"/>
          <w:spacing w:val="0"/>
          <w:w w:val="100"/>
          <w:position w:val="0"/>
        </w:rPr>
        <w:t>以上的，不再提取。</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本公司处置其他权益工具将前期计入其他综合收益的税后净额转入当期留存收益，因为处置权益工具时其公允价值低 于取得该权益工具的成本金额，故本期增加留存收益</w:t>
      </w:r>
      <w:r>
        <w:rPr>
          <w:color w:val="000000"/>
          <w:spacing w:val="0"/>
          <w:w w:val="100"/>
          <w:position w:val="0"/>
          <w:sz w:val="16"/>
          <w:szCs w:val="16"/>
        </w:rPr>
        <w:t>-415,880.12</w:t>
      </w:r>
      <w:r>
        <w:rPr>
          <w:color w:val="000000"/>
          <w:spacing w:val="0"/>
          <w:w w:val="100"/>
          <w:position w:val="0"/>
        </w:rPr>
        <w:t>元，其中增加法定盈余公积</w:t>
      </w:r>
      <w:r>
        <w:rPr>
          <w:color w:val="000000"/>
          <w:spacing w:val="0"/>
          <w:w w:val="100"/>
          <w:position w:val="0"/>
          <w:sz w:val="16"/>
          <w:szCs w:val="16"/>
        </w:rPr>
        <w:t>857.73</w:t>
      </w:r>
      <w:r>
        <w:rPr>
          <w:color w:val="000000"/>
          <w:spacing w:val="0"/>
          <w:w w:val="100"/>
          <w:position w:val="0"/>
        </w:rPr>
        <w:t xml:space="preserve">元，增加未分配利润 </w:t>
      </w:r>
      <w:r>
        <w:rPr>
          <w:color w:val="000000"/>
          <w:spacing w:val="0"/>
          <w:w w:val="100"/>
          <w:position w:val="0"/>
          <w:sz w:val="16"/>
          <w:szCs w:val="16"/>
        </w:rPr>
        <w:t xml:space="preserve">-416, 737. </w:t>
      </w:r>
      <w:r>
        <w:rPr>
          <w:color w:val="000000"/>
          <w:spacing w:val="0"/>
          <w:w w:val="100"/>
          <w:position w:val="0"/>
          <w:sz w:val="16"/>
          <w:szCs w:val="16"/>
        </w:rPr>
        <w:t>85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72"/>
      <w:bookmarkEnd w:id="1573"/>
      <w:bookmarkEnd w:id="157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901,573,317.76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810,019,862.40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-7,849,000.51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7,491,981.28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893,724,317.25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817,511,843.68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157,704,491.11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150,042,583.64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20,517,782.20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17,941,665.10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19,673,672.58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加：前期计入其他综合收益当期转入未分配利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-19,767,987.68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1,010,820,615.73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910,171,101.96</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40" w:line="240" w:lineRule="auto"/>
        <w:ind w:left="0" w:right="0" w:firstLine="0"/>
        <w:jc w:val="left"/>
      </w:pPr>
      <w:bookmarkStart w:id="1576" w:name="bookmark1576"/>
      <w:r>
        <w:rPr>
          <w:rFonts w:ascii="Times New Roman" w:eastAsia="Times New Roman" w:hAnsi="Times New Roman" w:cs="Times New Roman"/>
          <w:color w:val="000000"/>
          <w:spacing w:val="0"/>
          <w:w w:val="100"/>
          <w:position w:val="0"/>
          <w:sz w:val="18"/>
          <w:szCs w:val="18"/>
        </w:rPr>
        <w:t>1</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577" w:name="bookmark1577"/>
      <w:r>
        <w:rPr>
          <w:rFonts w:ascii="Times New Roman" w:eastAsia="Times New Roman" w:hAnsi="Times New Roman" w:cs="Times New Roman"/>
          <w:color w:val="000000"/>
          <w:spacing w:val="0"/>
          <w:w w:val="100"/>
          <w:position w:val="0"/>
          <w:sz w:val="18"/>
          <w:szCs w:val="18"/>
        </w:rPr>
        <w:t>2</w:t>
      </w:r>
      <w:bookmarkEnd w:id="15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578" w:name="bookmark1578"/>
      <w:r>
        <w:rPr>
          <w:rFonts w:ascii="Times New Roman" w:eastAsia="Times New Roman" w:hAnsi="Times New Roman" w:cs="Times New Roman"/>
          <w:color w:val="000000"/>
          <w:spacing w:val="0"/>
          <w:w w:val="100"/>
          <w:position w:val="0"/>
          <w:sz w:val="18"/>
          <w:szCs w:val="18"/>
        </w:rPr>
        <w:t>3</w:t>
      </w:r>
      <w:bookmarkEnd w:id="15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579" w:name="bookmark1579"/>
      <w:r>
        <w:rPr>
          <w:rFonts w:ascii="Times New Roman" w:eastAsia="Times New Roman" w:hAnsi="Times New Roman" w:cs="Times New Roman"/>
          <w:color w:val="000000"/>
          <w:spacing w:val="0"/>
          <w:w w:val="100"/>
          <w:position w:val="0"/>
          <w:sz w:val="18"/>
          <w:szCs w:val="18"/>
        </w:rPr>
        <w:t>4</w:t>
      </w:r>
      <w:bookmarkEnd w:id="15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580" w:name="bookmark1580"/>
      <w:r>
        <w:rPr>
          <w:rFonts w:ascii="Times New Roman" w:eastAsia="Times New Roman" w:hAnsi="Times New Roman" w:cs="Times New Roman"/>
          <w:color w:val="000000"/>
          <w:spacing w:val="0"/>
          <w:w w:val="100"/>
          <w:position w:val="0"/>
          <w:sz w:val="18"/>
          <w:szCs w:val="18"/>
        </w:rPr>
        <w:t>5</w:t>
      </w:r>
      <w:bookmarkEnd w:id="15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81"/>
      <w:bookmarkEnd w:id="1582"/>
      <w:bookmarkEnd w:id="158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2,117,277,829.54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1,599,993,399.65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2,066,428,216.15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1,586,462,705.67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20,904,100.73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9,608,329.80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13,076,218.56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10,078,721.61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2,138,181,930.27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1,609,601,729.45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2,079,504,434.71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1,596,541,427.28</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本报告期末已签订合同、但尚未履行或尚未履行完毕的履约义务所对应的收入金额为元，其中，元预计将于年度确认收入, 元预计将于年度确认收入，元预计将于年度确认收入。</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85"/>
      <w:bookmarkEnd w:id="1586"/>
      <w:bookmarkEnd w:id="15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59,822.75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6,674,302.06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4,318,978.94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1,064,455.42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795,840.11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2,005,673.94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3,383,062.24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9,973,823.55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8,642,831.78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注：各项税金及附加的计缴标准详见附注五、税项。</w:t>
      </w:r>
      <w:r>
        <w:br w:type="page"/>
      </w:r>
    </w:p>
    <w:p>
      <w:pPr>
        <w:pStyle w:val="Style33"/>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9"/>
      <w:bookmarkEnd w:id="1590"/>
      <w:bookmarkEnd w:id="159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11,963,258.34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12,474,862.80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17,883,663.27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14,482,168.81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1,314,818.00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1,561,870.62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154,024.00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338,622.77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6,543,189.99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5,910,669.08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611,059.92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2,459,912.90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5,874,003.21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5,659,289.64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167,337.89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581,904.06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146,715.24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283,054.94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300,385.31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1,686,163.10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1,787,006.95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46,427,801.18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45,839,747.88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93"/>
      <w:bookmarkEnd w:id="1594"/>
      <w:bookmarkEnd w:id="159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53,231,919.59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57,750,836.83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5,760,726.83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5,890,411.45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43,347,260.51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31,096,729.63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9,916,597.66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11,717,881.31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3,064,631.33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5,398,993.50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696,779.75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508,423.52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4,441,182.24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3,930,783.69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2,002,834.92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2,406,132.40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2,026,802.76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2,364,311.16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11,466,513.04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10,243,135.97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3,122,029.97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3,736,122.84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139,077,278.60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135,043,762.30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97"/>
      <w:bookmarkEnd w:id="1598"/>
      <w:bookmarkEnd w:id="160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29,875,555.77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25,806,020.37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197,612.21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247,689.41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1,560,690.25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2,031,546.69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532,785.28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462,702.13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293,967.94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92,992.68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53,101.94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62,086.02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146,120.77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464,481.18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607,635.98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26,875,167.08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52,782,061.95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6,339,331.47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6,427,832.09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362,321.96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233,459.75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38,878.92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117,811.58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5,333,450.01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966,784.80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71,735,352.83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90,176,735.40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01"/>
      <w:bookmarkEnd w:id="1602"/>
      <w:bookmarkEnd w:id="160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89,477,284.87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77,614,112.82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17,089,047.34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30,823,685.94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8,618,785.06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853,598.96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80,955,025.62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47,642,587.39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05"/>
      <w:bookmarkEnd w:id="1606"/>
      <w:bookmarkEnd w:id="160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与企业日常经营活动相关的政府补助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8,816,067.76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与企业日常经营活动相关的税收优惠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286,223.09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1,007,135.26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9"/>
      <w:bookmarkEnd w:id="1610"/>
      <w:bookmarkEnd w:id="161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-4,254,837.40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-4,923,278.52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6,682,297.25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3,756,019.88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1,940,128.74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2,427,544.16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782,762.04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13"/>
      <w:bookmarkEnd w:id="1614"/>
      <w:bookmarkEnd w:id="161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17"/>
      <w:bookmarkEnd w:id="1618"/>
      <w:bookmarkEnd w:id="162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21"/>
      <w:bookmarkEnd w:id="1622"/>
      <w:bookmarkEnd w:id="16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-8,958,307.80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-1,005,867.26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-7,757,087.76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-1,896,178.56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9,187,852.44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-11,860,353.62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1,430,764.68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25"/>
      <w:bookmarkEnd w:id="1626"/>
      <w:bookmarkEnd w:id="162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-3,363,606.76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-4,239,935.05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-1,920,827.67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-5,284,434.43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-4,239,935.05</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29"/>
      <w:bookmarkEnd w:id="1630"/>
      <w:bookmarkEnd w:id="163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5,022,159.13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33"/>
      <w:bookmarkEnd w:id="1634"/>
      <w:bookmarkEnd w:id="163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9,391,979.20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罚款及赔偿利得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181,694.51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181,694.51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131,648.34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131,648.34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313,342.85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9,600,213.32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313,342.85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7</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37"/>
      <w:bookmarkEnd w:id="1638"/>
      <w:bookmarkEnd w:id="164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21,688.35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21,688.35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28,047.03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487,929.78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28,047.03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487,929.78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赔偿支出、违约金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610,837.60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610,837.60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123,885.85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123,885.85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784,611.43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712,842.61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784,611.43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7</w:t>
      </w:r>
      <w:bookmarkEnd w:id="164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41"/>
      <w:bookmarkEnd w:id="1642"/>
      <w:bookmarkEnd w:id="1644"/>
    </w:p>
    <w:p>
      <w:pPr>
        <w:pStyle w:val="Style47"/>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5"/>
      <w:bookmarkEnd w:id="1646"/>
      <w:bookmarkEnd w:id="164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27,553,466.90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-16,670,024.74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-4,593,686.65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39,875,216.36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22,959,780.25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23,205,191.62</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8"/>
      <w:bookmarkEnd w:id="1649"/>
      <w:bookmarkEnd w:id="165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174,328,075.10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26,149,211.28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-1,469,249.40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-253,563.87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1,484,270.33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-2,639,451.25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10,837,956.51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按照税法规定可以额外税前扣除的部分影响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-11,182,910.35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22,959,780.25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1"/>
      <w:bookmarkEnd w:id="1652"/>
      <w:bookmarkEnd w:id="165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55"/>
      <w:bookmarkEnd w:id="1656"/>
      <w:bookmarkEnd w:id="1658"/>
    </w:p>
    <w:p>
      <w:pPr>
        <w:pStyle w:val="Style47"/>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9"/>
      <w:bookmarkEnd w:id="1660"/>
      <w:bookmarkEnd w:id="166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7,696,067.76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9,467,181.71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17,089,047.34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8,999,539.77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收回暂付款及收到暂收款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40,268,181.95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188,804,707.58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收回经营性保证金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27,463,220.21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46,484,871.11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经营性租赁租金收入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20,904,100.73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13,001,193.05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114,248,617.99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267,297,493.22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2"/>
      <w:bookmarkEnd w:id="1663"/>
      <w:bookmarkEnd w:id="166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6,125,676.93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6,720,004.92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4,595,206.24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4,269,406.46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4,208,476.53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8,321,608.53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16,459,787.65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17,628,550.39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1,314,818.00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1,561,870.62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780,347.97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1,102,776.77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2,088,888.78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2,510,431.93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11,930,994.22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10,850,771.95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2,242,542.84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2,742,289.28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5,874,003.21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5,659,289.64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17,883,663.27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14,482,168.81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8,603,263.33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853,598.96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支付暂收款及支付暂付款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80,806,666.35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173,578,597.93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26,875,167.08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52,782,061.95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6,339,331.47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6,427,832.09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362,321.96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233,459.75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117,811.58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41,389,517.46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22,704,075.22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10,141,643.08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8,299,974.93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248,061,195.29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340,846,581.71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7"/>
        <w:keepNext/>
        <w:keepLines/>
        <w:widowControl w:val="0"/>
        <w:numPr>
          <w:ilvl w:val="0"/>
          <w:numId w:val="51"/>
        </w:numPr>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收到的其他与投资活动有关的现金</w:t>
      </w:r>
      <w:bookmarkEnd w:id="1665"/>
      <w:bookmarkEnd w:id="1666"/>
      <w:bookmarkEnd w:id="1668"/>
    </w:p>
    <w:p>
      <w:pPr>
        <w:pStyle w:val="Style30"/>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李欣业绩补偿款收回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6,562,861.86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900,478,050.00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843,350,000.00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900,478,050.00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849,912,861.86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7"/>
        <w:keepNext/>
        <w:keepLines/>
        <w:widowControl w:val="0"/>
        <w:numPr>
          <w:ilvl w:val="0"/>
          <w:numId w:val="51"/>
        </w:numPr>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支付的其他与投资活动有关的现金</w:t>
      </w:r>
      <w:bookmarkEnd w:id="1669"/>
      <w:bookmarkEnd w:id="1670"/>
      <w:bookmarkEnd w:id="1672"/>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717,254,050.00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976,574,000.00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717,254,050.00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976,574,000.00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numPr>
          <w:ilvl w:val="0"/>
          <w:numId w:val="51"/>
        </w:numPr>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收到的其他与筹资活动有关的现金</w:t>
      </w:r>
      <w:bookmarkEnd w:id="1673"/>
      <w:bookmarkEnd w:id="1674"/>
      <w:bookmarkEnd w:id="1676"/>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本期收回的与筹资活动相关银行保证金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63,558,151.54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71,516,489.63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63,558,151.54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7"/>
        <w:keepNext/>
        <w:keepLines/>
        <w:widowControl w:val="0"/>
        <w:numPr>
          <w:ilvl w:val="0"/>
          <w:numId w:val="51"/>
        </w:numPr>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支付的其他与筹资活动有关的现金</w:t>
      </w:r>
      <w:bookmarkEnd w:id="1677"/>
      <w:bookmarkEnd w:id="1678"/>
      <w:bookmarkEnd w:id="1680"/>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本期支出的与筹资活动相关银行保证金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85,787,767.77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50,280,039.32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85,787,767.77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81"/>
      <w:bookmarkEnd w:id="1682"/>
      <w:bookmarkEnd w:id="1684"/>
    </w:p>
    <w:p>
      <w:pPr>
        <w:pStyle w:val="Style47"/>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5"/>
      <w:bookmarkEnd w:id="1686"/>
      <w:bookmarkEnd w:id="168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151,368,294.85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146,130,232.83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17,144,788.05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2,809,170.37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33,690,405.44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24,252,449.41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23,463,169.64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19,096,876.43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2,430,859.51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2,405,200.65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-5,009,984.13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487,929.78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79,015,094.63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56,062,357.37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-2,427,544.16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-782,762.04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-306,383.87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36,642,668.81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-4,144,458.93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3,232,547.55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74,006,757.08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-76,681,221.16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-433,733,104.63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-41,582,481.71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-48,642,464.82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-174,911,653.30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16,617,833.29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20,990,421.15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-91,492,084.57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13,141,752.01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561,039,553.87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561,039,553.87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604,309,223.92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72,809,599.98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-43,269,670.05</w:t>
            </w:r>
          </w:p>
        </w:tc>
      </w:tr>
    </w:tbl>
    <w:p>
      <w:pPr>
        <w:widowControl w:val="0"/>
        <w:spacing w:after="3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88"/>
      <w:bookmarkEnd w:id="1689"/>
      <w:bookmarkEnd w:id="169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92"/>
      <w:bookmarkEnd w:id="1693"/>
      <w:bookmarkEnd w:id="169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96"/>
      <w:bookmarkEnd w:id="1697"/>
      <w:bookmarkEnd w:id="16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561,039,553.87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633,648,444.98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560,959,657.27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39,951.76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633,849,153.85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561,039,553.87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注：现金和现金等价物不含母公司或集团内子公司使用受限制的现金和现金等价物。</w:t>
      </w:r>
    </w:p>
    <w:p>
      <w:pPr>
        <w:pStyle w:val="Style33"/>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8</w:t>
      </w:r>
      <w:bookmarkEnd w:id="170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00"/>
      <w:bookmarkEnd w:id="1701"/>
      <w:bookmarkEnd w:id="170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8</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04"/>
      <w:bookmarkEnd w:id="1705"/>
      <w:bookmarkEnd w:id="170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65,872,250.50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4,540,296.96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用于抵押的房屋建筑物</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用于质押的应收账款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4,960,219.80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用于抵押的房屋建筑物</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145,372,767.26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80" w:line="307"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期末使用权受限制的货币资金情况详见附注六、</w:t>
      </w:r>
      <w:r>
        <w:rPr>
          <w:color w:val="000000"/>
          <w:spacing w:val="0"/>
          <w:w w:val="100"/>
          <w:position w:val="0"/>
          <w:sz w:val="16"/>
          <w:szCs w:val="16"/>
        </w:rPr>
        <w:t>1</w:t>
      </w:r>
      <w:r>
        <w:rPr>
          <w:color w:val="000000"/>
          <w:spacing w:val="0"/>
          <w:w w:val="100"/>
          <w:position w:val="0"/>
        </w:rPr>
        <w:t>。</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日，公司与浙商银行杭州分行，以账面价值为人民币</w:t>
      </w:r>
      <w:r>
        <w:rPr>
          <w:color w:val="000000"/>
          <w:spacing w:val="0"/>
          <w:w w:val="100"/>
          <w:position w:val="0"/>
          <w:sz w:val="16"/>
          <w:szCs w:val="16"/>
        </w:rPr>
        <w:t>70,000,000.0</w:t>
      </w:r>
      <w:r>
        <w:rPr>
          <w:color w:val="000000"/>
          <w:spacing w:val="0"/>
          <w:w w:val="100"/>
          <w:position w:val="0"/>
          <w:sz w:val="16"/>
          <w:szCs w:val="16"/>
        </w:rPr>
        <w:t>0</w:t>
      </w:r>
      <w:r>
        <w:rPr>
          <w:color w:val="000000"/>
          <w:spacing w:val="0"/>
          <w:w w:val="100"/>
          <w:position w:val="0"/>
        </w:rPr>
        <w:t>元的应收账款作为质押物，为公 司在该行合计金额为</w:t>
      </w: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元的短期借款提供担保。</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color w:val="000000"/>
          <w:spacing w:val="0"/>
          <w:w w:val="100"/>
          <w:position w:val="0"/>
          <w:sz w:val="16"/>
          <w:szCs w:val="16"/>
        </w:rPr>
        <w:t>3：</w:t>
      </w:r>
      <w:r>
        <w:rPr>
          <w:color w:val="000000"/>
          <w:spacing w:val="0"/>
          <w:w w:val="100"/>
          <w:position w:val="0"/>
        </w:rPr>
        <w:t>期末所有权受限制的投资性房地产和固定资产为因本公司借款需要而抵押给银行导致，详细情况如下：</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28 </w:t>
      </w:r>
      <w:r>
        <w:rPr>
          <w:color w:val="000000"/>
          <w:spacing w:val="0"/>
          <w:w w:val="100"/>
          <w:position w:val="0"/>
        </w:rPr>
        <w:t>日，公司与中国工商银行杭州庆春路支行签订了编号为《</w:t>
      </w:r>
      <w:r>
        <w:rPr>
          <w:color w:val="000000"/>
          <w:spacing w:val="0"/>
          <w:w w:val="100"/>
          <w:position w:val="0"/>
          <w:sz w:val="16"/>
          <w:szCs w:val="16"/>
        </w:rPr>
        <w:t>2019</w:t>
      </w:r>
      <w:r>
        <w:rPr>
          <w:color w:val="000000"/>
          <w:spacing w:val="0"/>
          <w:w w:val="100"/>
          <w:position w:val="0"/>
        </w:rPr>
        <w:t>年庆春（抵）字</w:t>
      </w:r>
      <w:r>
        <w:rPr>
          <w:color w:val="000000"/>
          <w:spacing w:val="0"/>
          <w:w w:val="100"/>
          <w:position w:val="0"/>
          <w:sz w:val="16"/>
          <w:szCs w:val="16"/>
        </w:rPr>
        <w:t>0017</w:t>
      </w:r>
      <w:r>
        <w:rPr>
          <w:color w:val="000000"/>
          <w:spacing w:val="0"/>
          <w:w w:val="100"/>
          <w:position w:val="0"/>
        </w:rPr>
        <w:t>号》的《最高额抵押合同》</w:t>
      </w:r>
      <w:r>
        <w:rPr>
          <w:color w:val="000000"/>
          <w:spacing w:val="0"/>
          <w:w w:val="100"/>
          <w:position w:val="0"/>
          <w:sz w:val="16"/>
          <w:szCs w:val="16"/>
        </w:rPr>
        <w:t>，</w:t>
      </w:r>
      <w:r>
        <w:rPr>
          <w:color w:val="000000"/>
          <w:spacing w:val="0"/>
          <w:w w:val="100"/>
          <w:position w:val="0"/>
        </w:rPr>
        <w:t>以截至</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日公司所有的原值为</w:t>
      </w:r>
      <w:r>
        <w:rPr>
          <w:color w:val="000000"/>
          <w:spacing w:val="0"/>
          <w:w w:val="100"/>
          <w:position w:val="0"/>
          <w:sz w:val="16"/>
          <w:szCs w:val="16"/>
        </w:rPr>
        <w:t>11,642,568.95</w:t>
      </w:r>
      <w:r>
        <w:rPr>
          <w:color w:val="000000"/>
          <w:spacing w:val="0"/>
          <w:w w:val="100"/>
          <w:position w:val="0"/>
        </w:rPr>
        <w:t>元，净值为</w:t>
      </w:r>
      <w:r>
        <w:rPr>
          <w:color w:val="000000"/>
          <w:spacing w:val="0"/>
          <w:w w:val="100"/>
          <w:position w:val="0"/>
          <w:sz w:val="16"/>
          <w:szCs w:val="16"/>
        </w:rPr>
        <w:t>4,960,219.80</w:t>
      </w:r>
      <w:r>
        <w:rPr>
          <w:color w:val="000000"/>
          <w:spacing w:val="0"/>
          <w:w w:val="100"/>
          <w:position w:val="0"/>
        </w:rPr>
        <w:t>元的投资性房地产（房屋建筑物）和原值为</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6"/>
          <w:szCs w:val="16"/>
        </w:rPr>
        <w:t xml:space="preserve">10, 656, </w:t>
      </w:r>
      <w:r>
        <w:rPr>
          <w:color w:val="000000"/>
          <w:spacing w:val="0"/>
          <w:w w:val="100"/>
          <w:position w:val="0"/>
          <w:sz w:val="16"/>
          <w:szCs w:val="16"/>
        </w:rPr>
        <w:t>931.05</w:t>
      </w:r>
      <w:r>
        <w:rPr>
          <w:color w:val="000000"/>
          <w:spacing w:val="0"/>
          <w:w w:val="100"/>
          <w:position w:val="0"/>
        </w:rPr>
        <w:t>元，净值为</w:t>
      </w:r>
      <w:r>
        <w:rPr>
          <w:color w:val="000000"/>
          <w:spacing w:val="0"/>
          <w:w w:val="100"/>
          <w:position w:val="0"/>
          <w:sz w:val="16"/>
          <w:szCs w:val="16"/>
        </w:rPr>
        <w:t xml:space="preserve">4, 540, </w:t>
      </w:r>
      <w:r>
        <w:rPr>
          <w:color w:val="000000"/>
          <w:spacing w:val="0"/>
          <w:w w:val="100"/>
          <w:position w:val="0"/>
          <w:sz w:val="16"/>
          <w:szCs w:val="16"/>
        </w:rPr>
        <w:t xml:space="preserve">296. </w:t>
      </w:r>
      <w:r>
        <w:rPr>
          <w:color w:val="000000"/>
          <w:spacing w:val="0"/>
          <w:w w:val="100"/>
          <w:position w:val="0"/>
          <w:sz w:val="16"/>
          <w:szCs w:val="16"/>
        </w:rPr>
        <w:t>96</w:t>
      </w:r>
      <w:r>
        <w:rPr>
          <w:color w:val="000000"/>
          <w:spacing w:val="0"/>
          <w:w w:val="100"/>
          <w:position w:val="0"/>
        </w:rPr>
        <w:t>元的固定资产（房屋建筑物）作为抵押物，为公司向中国工商银行杭州庆春路支行 的短期借款提供担保。截至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日，该抵押合同担保下的短期借款余额为人民币</w:t>
      </w:r>
      <w:r>
        <w:rPr>
          <w:color w:val="000000"/>
          <w:spacing w:val="0"/>
          <w:w w:val="100"/>
          <w:position w:val="0"/>
          <w:sz w:val="16"/>
          <w:szCs w:val="16"/>
        </w:rPr>
        <w:t xml:space="preserve">449, 000,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8</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08"/>
      <w:bookmarkEnd w:id="1709"/>
      <w:bookmarkEnd w:id="1711"/>
    </w:p>
    <w:p>
      <w:pPr>
        <w:pStyle w:val="Style47"/>
        <w:keepNext/>
        <w:keepLines/>
        <w:widowControl w:val="0"/>
        <w:shd w:val="clear" w:color="auto" w:fill="auto"/>
        <w:bidi w:val="0"/>
        <w:spacing w:before="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2"/>
      <w:bookmarkEnd w:id="1713"/>
      <w:bookmarkEnd w:id="171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488,733.31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3,922,084.81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47"/>
        <w:keepNext/>
        <w:keepLines/>
        <w:widowControl w:val="0"/>
        <w:shd w:val="clear" w:color="auto" w:fill="auto"/>
        <w:bidi w:val="0"/>
        <w:spacing w:before="0" w:line="331" w:lineRule="exact"/>
        <w:ind w:left="0" w:right="0" w:firstLine="0"/>
        <w:jc w:val="both"/>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5"/>
      <w:bookmarkEnd w:id="1716"/>
      <w:bookmarkEnd w:id="171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346" w:lineRule="auto"/>
        <w:ind w:left="0" w:right="0" w:firstLine="0"/>
        <w:jc w:val="both"/>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18"/>
      <w:bookmarkEnd w:id="1719"/>
      <w:bookmarkEnd w:id="1720"/>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按照套期类别披露套期项目及相关套期工具、被套期风险的定性和定量信息：</w:t>
      </w:r>
      <w:r>
        <w:br w:type="page"/>
      </w:r>
    </w:p>
    <w:p>
      <w:pPr>
        <w:pStyle w:val="Style33"/>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21"/>
      <w:bookmarkEnd w:id="1722"/>
      <w:bookmarkEnd w:id="1723"/>
    </w:p>
    <w:p>
      <w:pPr>
        <w:pStyle w:val="Style47"/>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24"/>
      <w:bookmarkEnd w:id="1725"/>
      <w:bookmarkEnd w:id="17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1843"/>
        <w:gridCol w:w="1277"/>
        <w:gridCol w:w="178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16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智能政务开放创新服务平台开发及应用示范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新型城镇化建设专项资金投资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高新技术企业奖励专项补助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221,626.00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221,626.00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瞪羚企业发展补助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就业困难用工补助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89,890.00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跨省务工奖励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两直资金补助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企业技能培训补贴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汽车污染防治补贴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471,698.00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人工智能技术在特定领域的应用研究与示范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人工智能技术 在城市交通智能管控领域的示范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人社局以工代训补贴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15,094.65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15,094.65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突发事件应急保障新技术新方法及装备研究和应用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 背景下新型突发事件应急保障系统、装备研发与应用示范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981,549.11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981,549.11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西安高新区管委会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年普惠政策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西安高新区管委会高新区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年三次创业系列优惠政策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西安市科技局技术输出方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108,910.00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重点研发项目地方配套自助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841,740.00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841,740.00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27"/>
      <w:bookmarkEnd w:id="1728"/>
      <w:bookmarkEnd w:id="172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220"/>
        <w:jc w:val="both"/>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30"/>
      <w:bookmarkEnd w:id="1731"/>
      <w:bookmarkEnd w:id="1732"/>
    </w:p>
    <w:p>
      <w:pPr>
        <w:pStyle w:val="Style28"/>
        <w:keepNext/>
        <w:keepLines/>
        <w:widowControl w:val="0"/>
        <w:shd w:val="clear" w:color="auto" w:fill="auto"/>
        <w:bidi w:val="0"/>
        <w:spacing w:before="0" w:after="380" w:line="240" w:lineRule="auto"/>
        <w:ind w:left="0" w:right="0" w:firstLine="220"/>
        <w:jc w:val="both"/>
      </w:pPr>
      <w:bookmarkStart w:id="1733" w:name="bookmark1733"/>
      <w:bookmarkStart w:id="1734" w:name="bookmark1734"/>
      <w:bookmarkStart w:id="1735" w:name="bookmark1735"/>
      <w:bookmarkStart w:id="1736" w:name="bookmark1736"/>
      <w:r>
        <w:rPr>
          <w:color w:val="000000"/>
          <w:spacing w:val="0"/>
          <w:w w:val="100"/>
          <w:position w:val="0"/>
        </w:rPr>
        <w:t>八</w:t>
      </w:r>
      <w:bookmarkEnd w:id="1735"/>
      <w:r>
        <w:rPr>
          <w:color w:val="000000"/>
          <w:spacing w:val="0"/>
          <w:w w:val="100"/>
          <w:position w:val="0"/>
        </w:rPr>
        <w:t>、合并范围的变更</w:t>
      </w:r>
      <w:bookmarkEnd w:id="1733"/>
      <w:bookmarkEnd w:id="1734"/>
      <w:bookmarkEnd w:id="1736"/>
    </w:p>
    <w:p>
      <w:pPr>
        <w:pStyle w:val="Style33"/>
        <w:keepNext/>
        <w:keepLines/>
        <w:widowControl w:val="0"/>
        <w:shd w:val="clear" w:color="auto" w:fill="auto"/>
        <w:tabs>
          <w:tab w:pos="608" w:val="left"/>
        </w:tabs>
        <w:bidi w:val="0"/>
        <w:spacing w:before="0" w:after="380" w:line="240" w:lineRule="auto"/>
        <w:ind w:left="0" w:right="0" w:firstLine="220"/>
        <w:jc w:val="both"/>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bookmarkEnd w:id="1739"/>
      <w:r>
        <w:rPr>
          <w:color w:val="000000"/>
          <w:spacing w:val="0"/>
          <w:w w:val="100"/>
          <w:position w:val="0"/>
        </w:rPr>
        <w:t>、</w:t>
        <w:tab/>
        <w:t>非同一控制下企业合并</w:t>
      </w:r>
      <w:bookmarkEnd w:id="1737"/>
      <w:bookmarkEnd w:id="1738"/>
      <w:bookmarkEnd w:id="1740"/>
    </w:p>
    <w:p>
      <w:pPr>
        <w:pStyle w:val="Style47"/>
        <w:keepNext/>
        <w:keepLines/>
        <w:widowControl w:val="0"/>
        <w:numPr>
          <w:ilvl w:val="0"/>
          <w:numId w:val="53"/>
        </w:numPr>
        <w:shd w:val="clear" w:color="auto" w:fill="auto"/>
        <w:tabs>
          <w:tab w:pos="713" w:val="left"/>
        </w:tabs>
        <w:bidi w:val="0"/>
        <w:spacing w:before="0" w:line="240" w:lineRule="auto"/>
        <w:ind w:left="0" w:right="0" w:firstLine="220"/>
        <w:jc w:val="both"/>
      </w:pPr>
      <w:bookmarkStart w:id="1741" w:name="bookmark1741"/>
      <w:bookmarkStart w:id="1742" w:name="bookmark1742"/>
      <w:bookmarkStart w:id="1743" w:name="bookmark1743"/>
      <w:bookmarkStart w:id="1744" w:name="bookmark1744"/>
      <w:bookmarkEnd w:id="1743"/>
      <w:r>
        <w:rPr>
          <w:color w:val="000000"/>
          <w:spacing w:val="0"/>
          <w:w w:val="100"/>
          <w:position w:val="0"/>
        </w:rPr>
        <w:t>本期发生的非同一控制下企业合并</w:t>
      </w:r>
      <w:bookmarkEnd w:id="1741"/>
      <w:bookmarkEnd w:id="1742"/>
      <w:bookmarkEnd w:id="1744"/>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3"/>
        </w:numPr>
        <w:shd w:val="clear" w:color="auto" w:fill="auto"/>
        <w:tabs>
          <w:tab w:pos="713" w:val="left"/>
        </w:tabs>
        <w:bidi w:val="0"/>
        <w:spacing w:before="0" w:line="240" w:lineRule="auto"/>
        <w:ind w:left="0" w:right="0" w:firstLine="220"/>
        <w:jc w:val="both"/>
      </w:pPr>
      <w:bookmarkStart w:id="1745" w:name="bookmark1745"/>
      <w:bookmarkStart w:id="1746" w:name="bookmark1746"/>
      <w:bookmarkStart w:id="1747" w:name="bookmark1747"/>
      <w:bookmarkStart w:id="1748" w:name="bookmark1748"/>
      <w:bookmarkEnd w:id="1747"/>
      <w:r>
        <w:rPr>
          <w:color w:val="000000"/>
          <w:spacing w:val="0"/>
          <w:w w:val="100"/>
          <w:position w:val="0"/>
        </w:rPr>
        <w:t>合并成本及商誉</w:t>
      </w:r>
      <w:bookmarkEnd w:id="1745"/>
      <w:bookmarkEnd w:id="1746"/>
      <w:bookmarkEnd w:id="1748"/>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3"/>
        </w:numPr>
        <w:shd w:val="clear" w:color="auto" w:fill="auto"/>
        <w:tabs>
          <w:tab w:pos="713" w:val="left"/>
        </w:tabs>
        <w:bidi w:val="0"/>
        <w:spacing w:before="0" w:line="240" w:lineRule="auto"/>
        <w:ind w:left="0" w:right="0" w:firstLine="220"/>
        <w:jc w:val="both"/>
      </w:pPr>
      <w:bookmarkStart w:id="1749" w:name="bookmark1749"/>
      <w:bookmarkStart w:id="1750" w:name="bookmark1750"/>
      <w:bookmarkStart w:id="1751" w:name="bookmark1751"/>
      <w:bookmarkStart w:id="1752" w:name="bookmark1752"/>
      <w:bookmarkEnd w:id="1751"/>
      <w:r>
        <w:rPr>
          <w:color w:val="000000"/>
          <w:spacing w:val="0"/>
          <w:w w:val="100"/>
          <w:position w:val="0"/>
        </w:rPr>
        <w:t>被购买方于购买日可辨认资产、负债</w:t>
      </w:r>
      <w:bookmarkEnd w:id="1749"/>
      <w:bookmarkEnd w:id="1750"/>
      <w:bookmarkEnd w:id="1752"/>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3"/>
        </w:numPr>
        <w:shd w:val="clear" w:color="auto" w:fill="auto"/>
        <w:tabs>
          <w:tab w:pos="713" w:val="left"/>
        </w:tabs>
        <w:bidi w:val="0"/>
        <w:spacing w:before="0" w:line="240" w:lineRule="auto"/>
        <w:ind w:left="0" w:right="0" w:firstLine="220"/>
        <w:jc w:val="both"/>
      </w:pPr>
      <w:bookmarkStart w:id="1753" w:name="bookmark1753"/>
      <w:bookmarkStart w:id="1754" w:name="bookmark1754"/>
      <w:bookmarkStart w:id="1755" w:name="bookmark1755"/>
      <w:bookmarkStart w:id="1756" w:name="bookmark1756"/>
      <w:bookmarkEnd w:id="1755"/>
      <w:r>
        <w:rPr>
          <w:color w:val="000000"/>
          <w:spacing w:val="0"/>
          <w:w w:val="100"/>
          <w:position w:val="0"/>
        </w:rPr>
        <w:t>购买日之前持有的股权按照公允价值重新计量产生的利得或损失</w:t>
      </w:r>
      <w:bookmarkEnd w:id="1753"/>
      <w:bookmarkEnd w:id="1754"/>
      <w:bookmarkEnd w:id="1756"/>
    </w:p>
    <w:p>
      <w:pPr>
        <w:pStyle w:val="Style30"/>
        <w:keepNext w:val="0"/>
        <w:keepLines w:val="0"/>
        <w:widowControl w:val="0"/>
        <w:shd w:val="clear" w:color="auto" w:fill="auto"/>
        <w:bidi w:val="0"/>
        <w:spacing w:before="0" w:after="140" w:line="240" w:lineRule="auto"/>
        <w:ind w:left="0" w:right="0" w:firstLine="220"/>
        <w:jc w:val="both"/>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numPr>
          <w:ilvl w:val="0"/>
          <w:numId w:val="53"/>
        </w:numPr>
        <w:shd w:val="clear" w:color="auto" w:fill="auto"/>
        <w:bidi w:val="0"/>
        <w:spacing w:before="0" w:line="240" w:lineRule="auto"/>
        <w:ind w:left="0" w:right="0" w:firstLine="220"/>
        <w:jc w:val="both"/>
      </w:pPr>
      <w:bookmarkStart w:id="1757" w:name="bookmark1757"/>
      <w:bookmarkStart w:id="1758" w:name="bookmark1758"/>
      <w:bookmarkStart w:id="1759" w:name="bookmark1759"/>
      <w:bookmarkStart w:id="1760" w:name="bookmark1760"/>
      <w:bookmarkEnd w:id="1759"/>
      <w:r>
        <w:rPr>
          <w:color w:val="000000"/>
          <w:spacing w:val="0"/>
          <w:w w:val="100"/>
          <w:position w:val="0"/>
        </w:rPr>
        <w:t xml:space="preserve"> 购买日或合并当期期末无法合理确定合并对价或被购买方可辨认资产、负债公允价值的相关说明</w:t>
      </w:r>
      <w:bookmarkEnd w:id="1757"/>
      <w:bookmarkEnd w:id="1758"/>
      <w:bookmarkEnd w:id="1760"/>
    </w:p>
    <w:p>
      <w:pPr>
        <w:pStyle w:val="Style25"/>
        <w:keepNext w:val="0"/>
        <w:keepLines w:val="0"/>
        <w:widowControl w:val="0"/>
        <w:numPr>
          <w:ilvl w:val="0"/>
          <w:numId w:val="53"/>
        </w:numPr>
        <w:shd w:val="clear" w:color="auto" w:fill="auto"/>
        <w:tabs>
          <w:tab w:pos="713" w:val="left"/>
        </w:tabs>
        <w:bidi w:val="0"/>
        <w:spacing w:before="0" w:after="380" w:line="240" w:lineRule="auto"/>
        <w:ind w:left="0" w:right="0" w:firstLine="220"/>
        <w:jc w:val="both"/>
        <w:rPr>
          <w:sz w:val="20"/>
          <w:szCs w:val="20"/>
        </w:rPr>
      </w:pPr>
      <w:bookmarkStart w:id="1761" w:name="bookmark1761"/>
      <w:bookmarkStart w:id="1762" w:name="bookmark1762"/>
      <w:bookmarkEnd w:id="1761"/>
      <w:r>
        <w:rPr>
          <w:b/>
          <w:bCs/>
          <w:color w:val="000000"/>
          <w:spacing w:val="0"/>
          <w:w w:val="100"/>
          <w:position w:val="0"/>
          <w:sz w:val="20"/>
          <w:szCs w:val="20"/>
        </w:rPr>
        <w:t>其他说明</w:t>
      </w:r>
      <w:bookmarkEnd w:id="1762"/>
    </w:p>
    <w:p>
      <w:pPr>
        <w:pStyle w:val="Style33"/>
        <w:keepNext/>
        <w:keepLines/>
        <w:widowControl w:val="0"/>
        <w:shd w:val="clear" w:color="auto" w:fill="auto"/>
        <w:tabs>
          <w:tab w:pos="608" w:val="left"/>
        </w:tabs>
        <w:bidi w:val="0"/>
        <w:spacing w:before="0" w:after="380" w:line="240" w:lineRule="auto"/>
        <w:ind w:left="0" w:right="0" w:firstLine="22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bookmarkEnd w:id="1765"/>
      <w:r>
        <w:rPr>
          <w:color w:val="000000"/>
          <w:spacing w:val="0"/>
          <w:w w:val="100"/>
          <w:position w:val="0"/>
        </w:rPr>
        <w:t>、</w:t>
        <w:tab/>
        <w:t>同一控制下企业合并</w:t>
      </w:r>
      <w:bookmarkEnd w:id="1763"/>
      <w:bookmarkEnd w:id="1764"/>
      <w:bookmarkEnd w:id="1766"/>
    </w:p>
    <w:p>
      <w:pPr>
        <w:pStyle w:val="Style47"/>
        <w:keepNext/>
        <w:keepLines/>
        <w:widowControl w:val="0"/>
        <w:numPr>
          <w:ilvl w:val="0"/>
          <w:numId w:val="55"/>
        </w:numPr>
        <w:shd w:val="clear" w:color="auto" w:fill="auto"/>
        <w:tabs>
          <w:tab w:pos="713" w:val="left"/>
        </w:tabs>
        <w:bidi w:val="0"/>
        <w:spacing w:before="0" w:line="240" w:lineRule="auto"/>
        <w:ind w:left="0" w:right="0" w:firstLine="220"/>
        <w:jc w:val="both"/>
      </w:pPr>
      <w:bookmarkStart w:id="1767" w:name="bookmark1767"/>
      <w:bookmarkStart w:id="1768" w:name="bookmark1768"/>
      <w:bookmarkStart w:id="1769" w:name="bookmark1769"/>
      <w:bookmarkStart w:id="1770" w:name="bookmark1770"/>
      <w:bookmarkEnd w:id="1769"/>
      <w:r>
        <w:rPr>
          <w:color w:val="000000"/>
          <w:spacing w:val="0"/>
          <w:w w:val="100"/>
          <w:position w:val="0"/>
        </w:rPr>
        <w:t>本期发生的同一控制下企业合并</w:t>
      </w:r>
      <w:bookmarkEnd w:id="1767"/>
      <w:bookmarkEnd w:id="1768"/>
      <w:bookmarkEnd w:id="1770"/>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numPr>
          <w:ilvl w:val="0"/>
          <w:numId w:val="55"/>
        </w:numPr>
        <w:shd w:val="clear" w:color="auto" w:fill="auto"/>
        <w:tabs>
          <w:tab w:pos="713" w:val="left"/>
        </w:tabs>
        <w:bidi w:val="0"/>
        <w:spacing w:before="0" w:after="380" w:line="240" w:lineRule="auto"/>
        <w:ind w:left="0" w:right="0" w:firstLine="220"/>
        <w:jc w:val="both"/>
        <w:rPr>
          <w:sz w:val="20"/>
          <w:szCs w:val="20"/>
        </w:rPr>
      </w:pPr>
      <w:bookmarkStart w:id="1771" w:name="bookmark1771"/>
      <w:bookmarkStart w:id="1772" w:name="bookmark1772"/>
      <w:bookmarkEnd w:id="1771"/>
      <w:r>
        <w:rPr>
          <w:b/>
          <w:bCs/>
          <w:color w:val="000000"/>
          <w:spacing w:val="0"/>
          <w:w w:val="100"/>
          <w:position w:val="0"/>
          <w:sz w:val="20"/>
          <w:szCs w:val="20"/>
        </w:rPr>
        <w:t>合并成本</w:t>
      </w:r>
      <w:bookmarkEnd w:id="1772"/>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5"/>
        </w:numPr>
        <w:shd w:val="clear" w:color="auto" w:fill="auto"/>
        <w:tabs>
          <w:tab w:pos="713" w:val="left"/>
        </w:tabs>
        <w:bidi w:val="0"/>
        <w:spacing w:before="0" w:line="240" w:lineRule="auto"/>
        <w:ind w:left="0" w:right="0" w:firstLine="220"/>
        <w:jc w:val="both"/>
      </w:pPr>
      <w:bookmarkStart w:id="1773" w:name="bookmark1773"/>
      <w:bookmarkStart w:id="1774" w:name="bookmark1774"/>
      <w:bookmarkStart w:id="1775" w:name="bookmark1775"/>
      <w:bookmarkStart w:id="1776" w:name="bookmark1776"/>
      <w:bookmarkEnd w:id="1775"/>
      <w:r>
        <w:rPr>
          <w:color w:val="000000"/>
          <w:spacing w:val="0"/>
          <w:w w:val="100"/>
          <w:position w:val="0"/>
        </w:rPr>
        <w:t>合并日被合并方资产、负债的账面价值</w:t>
      </w:r>
      <w:bookmarkEnd w:id="1773"/>
      <w:bookmarkEnd w:id="1774"/>
      <w:bookmarkEnd w:id="1776"/>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08" w:val="left"/>
        </w:tabs>
        <w:bidi w:val="0"/>
        <w:spacing w:before="0" w:after="380" w:line="240" w:lineRule="auto"/>
        <w:ind w:left="0" w:right="0" w:firstLine="220"/>
        <w:jc w:val="both"/>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3</w:t>
      </w:r>
      <w:bookmarkEnd w:id="1779"/>
      <w:r>
        <w:rPr>
          <w:color w:val="000000"/>
          <w:spacing w:val="0"/>
          <w:w w:val="100"/>
          <w:position w:val="0"/>
        </w:rPr>
        <w:t>、</w:t>
        <w:tab/>
        <w:t>反向购买</w:t>
      </w:r>
      <w:bookmarkEnd w:id="1777"/>
      <w:bookmarkEnd w:id="1778"/>
      <w:bookmarkEnd w:id="1780"/>
    </w:p>
    <w:p>
      <w:pPr>
        <w:pStyle w:val="Style30"/>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98" w:val="left"/>
        </w:tabs>
        <w:bidi w:val="0"/>
        <w:spacing w:before="0" w:after="220" w:line="240" w:lineRule="auto"/>
        <w:ind w:left="0" w:right="0" w:firstLine="22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w:t>
        <w:tab/>
        <w:t>处置子公司</w:t>
      </w:r>
      <w:bookmarkEnd w:id="1781"/>
      <w:bookmarkEnd w:id="1782"/>
      <w:bookmarkEnd w:id="1784"/>
    </w:p>
    <w:p>
      <w:pPr>
        <w:pStyle w:val="Style30"/>
        <w:keepNext w:val="0"/>
        <w:keepLines w:val="0"/>
        <w:widowControl w:val="0"/>
        <w:shd w:val="clear" w:color="auto" w:fill="auto"/>
        <w:bidi w:val="0"/>
        <w:spacing w:before="0" w:after="0" w:line="355" w:lineRule="exact"/>
        <w:ind w:left="0" w:right="0" w:firstLine="22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55" w:lineRule="exact"/>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55" w:lineRule="exact"/>
        <w:ind w:left="0" w:right="0" w:firstLine="22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355" w:lineRule="exact"/>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598" w:val="left"/>
        </w:tabs>
        <w:bidi w:val="0"/>
        <w:spacing w:before="0" w:after="220" w:line="240" w:lineRule="auto"/>
        <w:ind w:left="0" w:right="0" w:firstLine="22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color w:val="000000"/>
          <w:spacing w:val="0"/>
          <w:w w:val="100"/>
          <w:position w:val="0"/>
        </w:rPr>
        <w:t>、</w:t>
        <w:tab/>
        <w:t>其他原因的合并范围变动</w:t>
      </w:r>
      <w:bookmarkEnd w:id="1785"/>
      <w:bookmarkEnd w:id="1786"/>
      <w:bookmarkEnd w:id="1788"/>
    </w:p>
    <w:p>
      <w:pPr>
        <w:pStyle w:val="Style30"/>
        <w:keepNext w:val="0"/>
        <w:keepLines w:val="0"/>
        <w:widowControl w:val="0"/>
        <w:shd w:val="clear" w:color="auto" w:fill="auto"/>
        <w:bidi w:val="0"/>
        <w:spacing w:before="0" w:after="360" w:line="355" w:lineRule="exact"/>
        <w:ind w:left="220" w:right="0" w:firstLine="0"/>
        <w:jc w:val="left"/>
      </w:pPr>
      <w:r>
        <w:rPr>
          <w:color w:val="000000"/>
          <w:spacing w:val="0"/>
          <w:w w:val="100"/>
          <w:position w:val="0"/>
        </w:rPr>
        <w:t>说明其他原因导致的合并范围变动（如，新设子公司、清算子公司等）及其相关情况: 无</w:t>
      </w:r>
    </w:p>
    <w:p>
      <w:pPr>
        <w:pStyle w:val="Style33"/>
        <w:keepNext/>
        <w:keepLines/>
        <w:widowControl w:val="0"/>
        <w:shd w:val="clear" w:color="auto" w:fill="auto"/>
        <w:tabs>
          <w:tab w:pos="598" w:val="left"/>
        </w:tabs>
        <w:bidi w:val="0"/>
        <w:spacing w:before="0" w:line="240" w:lineRule="auto"/>
        <w:ind w:left="0" w:right="0" w:firstLine="22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color w:val="000000"/>
          <w:spacing w:val="0"/>
          <w:w w:val="100"/>
          <w:position w:val="0"/>
        </w:rPr>
        <w:t>、</w:t>
        <w:tab/>
        <w:t>其他</w:t>
      </w:r>
      <w:bookmarkEnd w:id="1789"/>
      <w:bookmarkEnd w:id="1790"/>
      <w:bookmarkEnd w:id="1792"/>
    </w:p>
    <w:p>
      <w:pPr>
        <w:pStyle w:val="Style28"/>
        <w:keepNext/>
        <w:keepLines/>
        <w:widowControl w:val="0"/>
        <w:shd w:val="clear" w:color="auto" w:fill="auto"/>
        <w:bidi w:val="0"/>
        <w:spacing w:before="0" w:line="240" w:lineRule="auto"/>
        <w:ind w:left="0" w:right="0" w:firstLine="220"/>
        <w:jc w:val="left"/>
      </w:pPr>
      <w:bookmarkStart w:id="1793" w:name="bookmark1793"/>
      <w:bookmarkStart w:id="1794" w:name="bookmark1794"/>
      <w:bookmarkStart w:id="1795" w:name="bookmark1795"/>
      <w:bookmarkStart w:id="1796" w:name="bookmark1796"/>
      <w:r>
        <w:rPr>
          <w:color w:val="000000"/>
          <w:spacing w:val="0"/>
          <w:w w:val="100"/>
          <w:position w:val="0"/>
        </w:rPr>
        <w:t>九</w:t>
      </w:r>
      <w:bookmarkEnd w:id="1795"/>
      <w:r>
        <w:rPr>
          <w:color w:val="000000"/>
          <w:spacing w:val="0"/>
          <w:w w:val="100"/>
          <w:position w:val="0"/>
        </w:rPr>
        <w:t>、在其他主体中的权益</w:t>
      </w:r>
      <w:bookmarkEnd w:id="1793"/>
      <w:bookmarkEnd w:id="1794"/>
      <w:bookmarkEnd w:id="1796"/>
    </w:p>
    <w:p>
      <w:pPr>
        <w:pStyle w:val="Style33"/>
        <w:keepNext/>
        <w:keepLines/>
        <w:widowControl w:val="0"/>
        <w:shd w:val="clear" w:color="auto" w:fill="auto"/>
        <w:bidi w:val="0"/>
        <w:spacing w:before="0" w:line="240" w:lineRule="auto"/>
        <w:ind w:left="0" w:right="0" w:firstLine="22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7"/>
      <w:bookmarkEnd w:id="1798"/>
      <w:bookmarkEnd w:id="1799"/>
    </w:p>
    <w:p>
      <w:pPr>
        <w:pStyle w:val="Style47"/>
        <w:keepNext/>
        <w:keepLines/>
        <w:widowControl w:val="0"/>
        <w:shd w:val="clear" w:color="auto" w:fill="auto"/>
        <w:bidi w:val="0"/>
        <w:spacing w:before="0" w:after="360" w:line="240" w:lineRule="auto"/>
        <w:ind w:left="0" w:right="0" w:firstLine="22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0"/>
      <w:bookmarkEnd w:id="1801"/>
      <w:bookmarkEnd w:id="1802"/>
    </w:p>
    <w:tbl>
      <w:tblPr>
        <w:tblOverlap w:val="never"/>
        <w:jc w:val="center"/>
        <w:tblLayout w:type="fixed"/>
      </w:tblPr>
      <w:tblGrid>
        <w:gridCol w:w="3552"/>
        <w:gridCol w:w="989"/>
        <w:gridCol w:w="845"/>
        <w:gridCol w:w="1368"/>
        <w:gridCol w:w="763"/>
        <w:gridCol w:w="854"/>
        <w:gridCol w:w="170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福建银江智慧城市信息技术有限公司（注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广东银江智慧城市建设技术有限公司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西安银江智慧城市技术有限公司（注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山西银江交通信息技术有限公司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杭州银江智慧健康集团有限公司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医疗技术开发服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浙江浙大健康管理有限公司（注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北京银江智慧城市技术有限公司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3552"/>
        <w:gridCol w:w="989"/>
        <w:gridCol w:w="845"/>
        <w:gridCol w:w="1368"/>
        <w:gridCol w:w="763"/>
        <w:gridCol w:w="854"/>
        <w:gridCol w:w="1709"/>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弱电技术开发及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东丰银江智慧城市技术有限公司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浙江城市宝互联网技术有限公司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沈阳智享大健康信息科技有限公司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浙江银江智慧医疗研究院有限公司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浙江银江智慧交通工程技术研究院有限公司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浙江银江智慧城市信息技术研究院有限公司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39"/>
        <w:keepNext w:val="0"/>
        <w:keepLines w:val="0"/>
        <w:widowControl w:val="0"/>
        <w:shd w:val="clear" w:color="auto" w:fill="auto"/>
        <w:bidi w:val="0"/>
        <w:spacing w:before="0" w:after="0" w:line="240" w:lineRule="auto"/>
        <w:ind w:left="197"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本公司对浙江浙大健康管理有限公司投资</w:t>
      </w:r>
      <w:r>
        <w:rPr>
          <w:color w:val="000000"/>
          <w:spacing w:val="0"/>
          <w:w w:val="100"/>
          <w:position w:val="0"/>
          <w:sz w:val="16"/>
          <w:szCs w:val="16"/>
        </w:rPr>
        <w:t xml:space="preserve">307. </w:t>
      </w:r>
      <w:r>
        <w:rPr>
          <w:color w:val="000000"/>
          <w:spacing w:val="0"/>
          <w:w w:val="100"/>
          <w:position w:val="0"/>
          <w:sz w:val="16"/>
          <w:szCs w:val="16"/>
        </w:rPr>
        <w:t>622</w:t>
      </w:r>
      <w:r>
        <w:rPr>
          <w:color w:val="000000"/>
          <w:spacing w:val="0"/>
          <w:w w:val="100"/>
          <w:position w:val="0"/>
        </w:rPr>
        <w:t>万元，占被投资单位注册资本总额的</w:t>
      </w:r>
      <w:r>
        <w:rPr>
          <w:color w:val="000000"/>
          <w:spacing w:val="0"/>
          <w:w w:val="100"/>
          <w:position w:val="0"/>
          <w:sz w:val="16"/>
          <w:szCs w:val="16"/>
        </w:rPr>
        <w:t>49%，</w:t>
      </w:r>
      <w:r>
        <w:rPr>
          <w:color w:val="000000"/>
          <w:spacing w:val="0"/>
          <w:w w:val="100"/>
          <w:position w:val="0"/>
        </w:rPr>
        <w:t>根据浙江浙大健康管理有 限公司章程第十五条规定，公司设董事会，其成员为七人，其中本公司推选四名董事；根据</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日股东会决议，七 名董事中本公司推选的董事超过半数成员。因此认定公司能实际控制该公司，初始投资成本按非同一控制下企业合并取得的 长期股权投资确定，后续计量按成本法核算。</w:t>
      </w:r>
    </w:p>
    <w:p>
      <w:pPr>
        <w:pStyle w:val="Style30"/>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注</w:t>
      </w:r>
      <w:r>
        <w:rPr>
          <w:color w:val="000000"/>
          <w:spacing w:val="0"/>
          <w:w w:val="100"/>
          <w:position w:val="0"/>
          <w:sz w:val="16"/>
          <w:szCs w:val="16"/>
        </w:rPr>
        <w:t>2：</w:t>
      </w:r>
      <w:r>
        <w:rPr>
          <w:color w:val="000000"/>
          <w:spacing w:val="0"/>
          <w:w w:val="100"/>
          <w:position w:val="0"/>
        </w:rPr>
        <w:t>福建银江智慧城市信息技术有限公司（以下简称“福建银江”</w:t>
      </w:r>
      <w:r>
        <w:rPr>
          <w:color w:val="000000"/>
          <w:spacing w:val="0"/>
          <w:w w:val="100"/>
          <w:position w:val="0"/>
          <w:sz w:val="16"/>
          <w:szCs w:val="16"/>
        </w:rPr>
        <w:t>）</w:t>
      </w:r>
      <w:r>
        <w:rPr>
          <w:color w:val="000000"/>
          <w:spacing w:val="0"/>
          <w:w w:val="100"/>
          <w:position w:val="0"/>
        </w:rPr>
        <w:t>按照工商资料显示福建银江注册资本</w:t>
      </w:r>
      <w:r>
        <w:rPr>
          <w:color w:val="000000"/>
          <w:spacing w:val="0"/>
          <w:w w:val="100"/>
          <w:position w:val="0"/>
          <w:sz w:val="16"/>
          <w:szCs w:val="16"/>
        </w:rPr>
        <w:t>1,111</w:t>
      </w:r>
      <w:r>
        <w:rPr>
          <w:color w:val="000000"/>
          <w:spacing w:val="0"/>
          <w:w w:val="100"/>
          <w:position w:val="0"/>
        </w:rPr>
        <w:t>万元，其中 本公司出资</w:t>
      </w:r>
      <w:r>
        <w:rPr>
          <w:color w:val="000000"/>
          <w:spacing w:val="0"/>
          <w:w w:val="100"/>
          <w:position w:val="0"/>
          <w:sz w:val="16"/>
          <w:szCs w:val="16"/>
        </w:rPr>
        <w:t>1,000</w:t>
      </w:r>
      <w:r>
        <w:rPr>
          <w:color w:val="000000"/>
          <w:spacing w:val="0"/>
          <w:w w:val="100"/>
          <w:position w:val="0"/>
        </w:rPr>
        <w:t>万元，持股比例为</w:t>
      </w:r>
      <w:r>
        <w:rPr>
          <w:color w:val="000000"/>
          <w:spacing w:val="0"/>
          <w:w w:val="100"/>
          <w:position w:val="0"/>
          <w:sz w:val="16"/>
          <w:szCs w:val="16"/>
        </w:rPr>
        <w:t>90.01%</w:t>
      </w:r>
      <w:r>
        <w:rPr>
          <w:color w:val="000000"/>
          <w:spacing w:val="0"/>
          <w:w w:val="100"/>
          <w:position w:val="0"/>
        </w:rPr>
        <w:t>，其他少数股东出资</w:t>
      </w:r>
      <w:r>
        <w:rPr>
          <w:color w:val="000000"/>
          <w:spacing w:val="0"/>
          <w:w w:val="100"/>
          <w:position w:val="0"/>
          <w:sz w:val="16"/>
          <w:szCs w:val="16"/>
        </w:rPr>
        <w:t>111</w:t>
      </w:r>
      <w:r>
        <w:rPr>
          <w:color w:val="000000"/>
          <w:spacing w:val="0"/>
          <w:w w:val="100"/>
          <w:position w:val="0"/>
        </w:rPr>
        <w:t>万元，持股</w:t>
      </w:r>
      <w:r>
        <w:rPr>
          <w:color w:val="000000"/>
          <w:spacing w:val="0"/>
          <w:w w:val="100"/>
          <w:position w:val="0"/>
          <w:sz w:val="16"/>
          <w:szCs w:val="16"/>
        </w:rPr>
        <w:t>9.99%</w:t>
      </w: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日，少数股东实际 出资</w:t>
      </w:r>
      <w:r>
        <w:rPr>
          <w:color w:val="000000"/>
          <w:spacing w:val="0"/>
          <w:w w:val="100"/>
          <w:position w:val="0"/>
          <w:sz w:val="16"/>
          <w:szCs w:val="16"/>
        </w:rPr>
        <w:t>33.30</w:t>
      </w:r>
      <w:r>
        <w:rPr>
          <w:color w:val="000000"/>
          <w:spacing w:val="0"/>
          <w:w w:val="100"/>
          <w:position w:val="0"/>
        </w:rPr>
        <w:t xml:space="preserve">万元，本期按照实际出资比例纳入合并财务报表，按照实际出资口径计算本公司期末对福建银江的持股比例为 </w:t>
      </w:r>
      <w:r>
        <w:rPr>
          <w:color w:val="000000"/>
          <w:spacing w:val="0"/>
          <w:w w:val="100"/>
          <w:position w:val="0"/>
          <w:sz w:val="16"/>
          <w:szCs w:val="16"/>
        </w:rPr>
        <w:t xml:space="preserve">96. </w:t>
      </w:r>
      <w:r>
        <w:rPr>
          <w:color w:val="000000"/>
          <w:spacing w:val="0"/>
          <w:w w:val="100"/>
          <w:position w:val="0"/>
          <w:sz w:val="16"/>
          <w:szCs w:val="16"/>
        </w:rPr>
        <w:t>78%</w:t>
      </w:r>
      <w:r>
        <w:rPr>
          <w:color w:val="000000"/>
          <w:spacing w:val="0"/>
          <w:w w:val="100"/>
          <w:position w:val="0"/>
        </w:rPr>
        <w:t>。</w:t>
      </w:r>
    </w:p>
    <w:p>
      <w:pPr>
        <w:pStyle w:val="Style30"/>
        <w:keepNext w:val="0"/>
        <w:keepLines w:val="0"/>
        <w:widowControl w:val="0"/>
        <w:shd w:val="clear" w:color="auto" w:fill="auto"/>
        <w:bidi w:val="0"/>
        <w:spacing w:before="0" w:after="360" w:line="313" w:lineRule="exact"/>
        <w:ind w:left="220" w:right="0" w:firstLine="0"/>
        <w:jc w:val="both"/>
      </w:pPr>
      <w:r>
        <w:rPr>
          <w:color w:val="000000"/>
          <w:spacing w:val="0"/>
          <w:w w:val="100"/>
          <w:position w:val="0"/>
        </w:rPr>
        <w:t>注</w:t>
      </w:r>
      <w:r>
        <w:rPr>
          <w:color w:val="000000"/>
          <w:spacing w:val="0"/>
          <w:w w:val="100"/>
          <w:position w:val="0"/>
          <w:sz w:val="16"/>
          <w:szCs w:val="16"/>
        </w:rPr>
        <w:t>3：</w:t>
      </w:r>
      <w:r>
        <w:rPr>
          <w:color w:val="000000"/>
          <w:spacing w:val="0"/>
          <w:w w:val="100"/>
          <w:position w:val="0"/>
        </w:rPr>
        <w:t>西安银江智慧城市技术有限公司（以下简称“西安银江”</w:t>
      </w:r>
      <w:r>
        <w:rPr>
          <w:color w:val="000000"/>
          <w:spacing w:val="0"/>
          <w:w w:val="100"/>
          <w:position w:val="0"/>
          <w:sz w:val="16"/>
          <w:szCs w:val="16"/>
        </w:rPr>
        <w:t>）</w:t>
      </w:r>
      <w:r>
        <w:rPr>
          <w:color w:val="000000"/>
          <w:spacing w:val="0"/>
          <w:w w:val="100"/>
          <w:position w:val="0"/>
        </w:rPr>
        <w:t>按照工商资料显示西安银江注册资本</w:t>
      </w:r>
      <w:r>
        <w:rPr>
          <w:color w:val="000000"/>
          <w:spacing w:val="0"/>
          <w:w w:val="100"/>
          <w:position w:val="0"/>
          <w:sz w:val="16"/>
          <w:szCs w:val="16"/>
        </w:rPr>
        <w:t>1,111</w:t>
      </w:r>
      <w:r>
        <w:rPr>
          <w:color w:val="000000"/>
          <w:spacing w:val="0"/>
          <w:w w:val="100"/>
          <w:position w:val="0"/>
        </w:rPr>
        <w:t>万元，其中本公 司出资</w:t>
      </w:r>
      <w:r>
        <w:rPr>
          <w:color w:val="000000"/>
          <w:spacing w:val="0"/>
          <w:w w:val="100"/>
          <w:position w:val="0"/>
          <w:sz w:val="16"/>
          <w:szCs w:val="16"/>
        </w:rPr>
        <w:t>1,000</w:t>
      </w:r>
      <w:r>
        <w:rPr>
          <w:color w:val="000000"/>
          <w:spacing w:val="0"/>
          <w:w w:val="100"/>
          <w:position w:val="0"/>
        </w:rPr>
        <w:t>万元，持股比例为</w:t>
      </w:r>
      <w:r>
        <w:rPr>
          <w:color w:val="000000"/>
          <w:spacing w:val="0"/>
          <w:w w:val="100"/>
          <w:position w:val="0"/>
          <w:sz w:val="16"/>
          <w:szCs w:val="16"/>
        </w:rPr>
        <w:t>90.01%</w:t>
      </w:r>
      <w:r>
        <w:rPr>
          <w:color w:val="000000"/>
          <w:spacing w:val="0"/>
          <w:w w:val="100"/>
          <w:position w:val="0"/>
        </w:rPr>
        <w:t>，其他少数股东出资</w:t>
      </w:r>
      <w:r>
        <w:rPr>
          <w:color w:val="000000"/>
          <w:spacing w:val="0"/>
          <w:w w:val="100"/>
          <w:position w:val="0"/>
          <w:sz w:val="16"/>
          <w:szCs w:val="16"/>
        </w:rPr>
        <w:t>111</w:t>
      </w:r>
      <w:r>
        <w:rPr>
          <w:color w:val="000000"/>
          <w:spacing w:val="0"/>
          <w:w w:val="100"/>
          <w:position w:val="0"/>
        </w:rPr>
        <w:t>万元，持股</w:t>
      </w:r>
      <w:r>
        <w:rPr>
          <w:color w:val="000000"/>
          <w:spacing w:val="0"/>
          <w:w w:val="100"/>
          <w:position w:val="0"/>
          <w:sz w:val="16"/>
          <w:szCs w:val="16"/>
        </w:rPr>
        <w:t>9.99%</w:t>
      </w: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日，少数股东实际出资 </w:t>
      </w:r>
      <w:r>
        <w:rPr>
          <w:color w:val="000000"/>
          <w:spacing w:val="0"/>
          <w:w w:val="100"/>
          <w:position w:val="0"/>
          <w:sz w:val="16"/>
          <w:szCs w:val="16"/>
        </w:rPr>
        <w:t xml:space="preserve">33.3 </w:t>
      </w:r>
      <w:r>
        <w:rPr>
          <w:color w:val="000000"/>
          <w:spacing w:val="0"/>
          <w:w w:val="100"/>
          <w:position w:val="0"/>
          <w:sz w:val="16"/>
          <w:szCs w:val="16"/>
        </w:rPr>
        <w:t>0</w:t>
      </w:r>
      <w:r>
        <w:rPr>
          <w:color w:val="000000"/>
          <w:spacing w:val="0"/>
          <w:w w:val="100"/>
          <w:position w:val="0"/>
        </w:rPr>
        <w:t>万元,本期按照实际出资比例纳入合并财务报表，按照实际出资口径计算本公司期末对西安银江的持股比例为</w:t>
      </w:r>
      <w:r>
        <w:rPr>
          <w:color w:val="000000"/>
          <w:spacing w:val="0"/>
          <w:w w:val="100"/>
          <w:position w:val="0"/>
          <w:sz w:val="16"/>
          <w:szCs w:val="16"/>
        </w:rPr>
        <w:t>96.78%</w:t>
      </w:r>
      <w:r>
        <w:rPr>
          <w:color w:val="000000"/>
          <w:spacing w:val="0"/>
          <w:w w:val="100"/>
          <w:position w:val="0"/>
        </w:rPr>
        <w:t>。</w:t>
      </w:r>
    </w:p>
    <w:p>
      <w:pPr>
        <w:pStyle w:val="Style30"/>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0" w:line="313" w:lineRule="exact"/>
        <w:ind w:left="0" w:right="0" w:firstLine="220"/>
        <w:jc w:val="both"/>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13" w:lineRule="exact"/>
        <w:ind w:left="0" w:right="0" w:firstLine="220"/>
        <w:jc w:val="both"/>
      </w:pPr>
      <w:r>
        <w:rPr>
          <w:color w:val="000000"/>
          <w:spacing w:val="0"/>
          <w:w w:val="100"/>
          <w:position w:val="0"/>
        </w:rPr>
        <w:t>确定公司是代理人还是委托人的依据：</w:t>
      </w:r>
      <w:r>
        <w:br w:type="page"/>
      </w:r>
    </w:p>
    <w:p>
      <w:pPr>
        <w:pStyle w:val="Style30"/>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20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3"/>
      <w:bookmarkEnd w:id="1804"/>
      <w:bookmarkEnd w:id="180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5"/>
        <w:gridCol w:w="2405"/>
        <w:gridCol w:w="1421"/>
        <w:gridCol w:w="1925"/>
      </w:tblGrid>
      <w:tr>
        <w:trPr>
          <w:trHeight w:val="7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5,214,718.35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福建银江智慧城市信息技术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-41,085.54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-184,503.53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江西银江智慧城市信息技术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-322,179.45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-716,064.74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西安银江智慧城市技术有限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-21,745.52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75,634.67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-458,173.59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-491,956.77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山西银江交通信息技术有限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3,867,054.54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浙江浙大健康管理有限公司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-27,527.40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-1,779,210.77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2,279,858.59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济南银江信息技术有限公司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-25,474.84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424,528.54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沈阳智享大健康信息科技有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23,934,796.84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-6,336,865.92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32,624,855.72</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其他说明：</w:t>
      </w:r>
    </w:p>
    <w:p>
      <w:pPr>
        <w:pStyle w:val="Style47"/>
        <w:keepNext/>
        <w:keepLines/>
        <w:widowControl w:val="0"/>
        <w:numPr>
          <w:ilvl w:val="0"/>
          <w:numId w:val="57"/>
        </w:numPr>
        <w:shd w:val="clear" w:color="auto" w:fill="auto"/>
        <w:bidi w:val="0"/>
        <w:spacing w:before="0" w:line="240" w:lineRule="auto"/>
        <w:ind w:left="0" w:right="0" w:firstLine="34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重要非全资子公司的主要财务信息</w:t>
      </w:r>
      <w:bookmarkEnd w:id="1806"/>
      <w:bookmarkEnd w:id="1807"/>
      <w:bookmarkEnd w:id="1809"/>
    </w:p>
    <w:p>
      <w:pPr>
        <w:pStyle w:val="Style30"/>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江交通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15,189,1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4,642,92</w:t>
            </w:r>
          </w:p>
        </w:tc>
      </w:tr>
      <w:tr>
        <w:trPr>
          <w:trHeight w:val="65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技术有 限公司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62.22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50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福建银</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江智慧</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8,493,10</w:t>
            </w:r>
          </w:p>
        </w:tc>
      </w:tr>
      <w:tr>
        <w:trPr>
          <w:trHeight w:val="49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6,196,81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21,818,9</w:t>
            </w:r>
          </w:p>
        </w:tc>
      </w:tr>
      <w:tr>
        <w:trPr>
          <w:trHeight w:val="28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08.54</w:t>
            </w: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9,349,27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24,296,5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21,272,2</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76.28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06.70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江交通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50,197.1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1,577,42</w:t>
            </w: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江交通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1,411,35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8,499,82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585,667.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4,416,16</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05.48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大健康</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3,515,14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4,313.83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3,514,58</w:t>
            </w: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14,689,6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22,684,5</w:t>
            </w:r>
          </w:p>
        </w:tc>
      </w:tr>
      <w:tr>
        <w:trPr>
          <w:trHeight w:val="28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w:t>
            </w:r>
          </w:p>
        </w:tc>
      </w:tr>
      <w:tr>
        <w:trPr>
          <w:trHeight w:val="37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江信息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9,129,55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9,036,53</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45,293.3</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享大健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康信息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12,808,4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117,532,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15,443,6</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72.34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778.97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053.91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w:t>
            </w: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w:t>
      </w: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山东银江交 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174,313.59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-7,253,834.27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-7,253,834.27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-1,598,867.26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405,319.42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-2,576,859.04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-2,576,859.04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-2,311,077.28</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福建银江智 慧城市信息 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636,391.56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-1,271,175.12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-1,271,175.12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76,810.06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582,524.27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-2,544,791.71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-2,544,791.71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-688,572.79</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江西银江智 慧城市信息 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19,411,660.1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-3,221,794.54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-3,221,794.54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577,244.10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2,113,511.15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-4,902,942.83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-4,902,942.83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-2,447,081.65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西安银江智 慧城市技术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5,930,404.84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-677,283.24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-677,283.24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3,397,448.99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5,994,091.19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-4,624,467.45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-4,624,467.45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-15,228,768.3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湖南银江交 通技术有限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-1,145,433.98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-1,145,433.98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-586,285.51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-1,546,651.76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-1,546,651.76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-476,939.23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山西银江交 通信息技术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18,797,210.7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1,557,312.63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1,557,312.63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1,112,669.48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6,394,432.38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2,330,365.47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2,330,365.47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-323,558.83</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浙江浙大健 康管理有限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-53,975.29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-481,062.93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-481,062.93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-586.69</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健康宝互联 网技术有限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94,811.32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-1,877,124.26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-1,877,124.26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-2,674,640.61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561,371.68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-3,931,706.72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-3,931,706.72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-3,006,151.21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济南银江信 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623,905.71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-509,496.80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-509,496.80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-506,886.83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-506,886.83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-520,410.95</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沈阳智享大 健康信息科 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1,312,296.25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-10,928,443.4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-10,928,443.4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-4,226,211.82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8,216,890.01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-8,639,108.87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-8,639,108.87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999,091.49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after="360" w:line="240" w:lineRule="auto"/>
        <w:ind w:left="0" w:right="0" w:firstLine="0"/>
        <w:jc w:val="both"/>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0"/>
      <w:bookmarkEnd w:id="1811"/>
      <w:bookmarkEnd w:id="1813"/>
    </w:p>
    <w:p>
      <w:pPr>
        <w:pStyle w:val="Style47"/>
        <w:keepNext/>
        <w:keepLines/>
        <w:widowControl w:val="0"/>
        <w:shd w:val="clear" w:color="auto" w:fill="auto"/>
        <w:tabs>
          <w:tab w:pos="493" w:val="left"/>
        </w:tabs>
        <w:bidi w:val="0"/>
        <w:spacing w:before="0" w:after="960" w:line="240" w:lineRule="auto"/>
        <w:ind w:left="0" w:right="0" w:firstLine="0"/>
        <w:jc w:val="both"/>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14"/>
      <w:bookmarkEnd w:id="1815"/>
      <w:bookmarkEnd w:id="1817"/>
    </w:p>
    <w:p>
      <w:pPr>
        <w:pStyle w:val="Style33"/>
        <w:keepNext/>
        <w:keepLines/>
        <w:widowControl w:val="0"/>
        <w:shd w:val="clear" w:color="auto" w:fill="auto"/>
        <w:tabs>
          <w:tab w:pos="378" w:val="left"/>
        </w:tabs>
        <w:bidi w:val="0"/>
        <w:spacing w:before="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w:t>
        <w:tab/>
        <w:t>在子公司的所有者权益份额发生变化且仍控制子公司的交易</w:t>
      </w:r>
      <w:bookmarkEnd w:id="1818"/>
      <w:bookmarkEnd w:id="1819"/>
      <w:bookmarkEnd w:id="1821"/>
    </w:p>
    <w:p>
      <w:pPr>
        <w:pStyle w:val="Style47"/>
        <w:keepNext/>
        <w:keepLines/>
        <w:widowControl w:val="0"/>
        <w:shd w:val="clear" w:color="auto" w:fill="auto"/>
        <w:tabs>
          <w:tab w:pos="493" w:val="left"/>
        </w:tabs>
        <w:bidi w:val="0"/>
        <w:spacing w:before="0" w:after="360" w:line="240" w:lineRule="auto"/>
        <w:ind w:left="0" w:right="0" w:firstLine="0"/>
        <w:jc w:val="both"/>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22"/>
      <w:bookmarkEnd w:id="1823"/>
      <w:bookmarkEnd w:id="1825"/>
    </w:p>
    <w:p>
      <w:pPr>
        <w:pStyle w:val="Style47"/>
        <w:keepNext/>
        <w:keepLines/>
        <w:widowControl w:val="0"/>
        <w:shd w:val="clear" w:color="auto" w:fill="auto"/>
        <w:tabs>
          <w:tab w:pos="493" w:val="left"/>
        </w:tabs>
        <w:bidi w:val="0"/>
        <w:spacing w:before="0" w:after="360" w:line="240" w:lineRule="auto"/>
        <w:ind w:left="0" w:right="0" w:firstLine="0"/>
        <w:jc w:val="both"/>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26"/>
      <w:bookmarkEnd w:id="1827"/>
      <w:bookmarkEnd w:id="182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在合营安排或联营企业中的权益</w:t>
      </w:r>
      <w:bookmarkEnd w:id="1830"/>
      <w:bookmarkEnd w:id="1831"/>
      <w:bookmarkEnd w:id="1833"/>
    </w:p>
    <w:p>
      <w:pPr>
        <w:pStyle w:val="Style47"/>
        <w:keepNext/>
        <w:keepLines/>
        <w:widowControl w:val="0"/>
        <w:shd w:val="clear" w:color="auto" w:fill="auto"/>
        <w:bidi w:val="0"/>
        <w:spacing w:before="0" w:after="360" w:line="240" w:lineRule="auto"/>
        <w:ind w:left="0" w:right="0" w:firstLine="0"/>
        <w:jc w:val="both"/>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4"/>
      <w:bookmarkEnd w:id="1835"/>
      <w:bookmarkEnd w:id="1836"/>
    </w:p>
    <w:tbl>
      <w:tblPr>
        <w:tblOverlap w:val="never"/>
        <w:jc w:val="center"/>
        <w:tblLayout w:type="fixed"/>
      </w:tblPr>
      <w:tblGrid>
        <w:gridCol w:w="2136"/>
        <w:gridCol w:w="1133"/>
        <w:gridCol w:w="1133"/>
        <w:gridCol w:w="1080"/>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杭州银江智慧产业创业投 资合伙企业（有限合伙）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0"/>
        <w:keepNext w:val="0"/>
        <w:keepLines w:val="0"/>
        <w:widowControl w:val="0"/>
        <w:shd w:val="clear" w:color="auto" w:fill="auto"/>
        <w:bidi w:val="0"/>
        <w:spacing w:before="0" w:after="40" w:line="305" w:lineRule="exact"/>
        <w:ind w:left="0" w:right="0" w:firstLine="0"/>
        <w:jc w:val="both"/>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40" w:line="305" w:lineRule="exact"/>
        <w:ind w:left="0" w:right="0" w:firstLine="0"/>
        <w:jc w:val="both"/>
      </w:pPr>
      <w:r>
        <w:rPr>
          <w:color w:val="000000"/>
          <w:spacing w:val="0"/>
          <w:w w:val="100"/>
          <w:position w:val="0"/>
        </w:rPr>
        <w:t>注：持股比例系依据合伙协议中各合伙人认缴的出资比例。由于部分合伙人的出资额定向投资于特定项目（以下称定投合伙 人）</w:t>
      </w:r>
      <w:r>
        <w:rPr>
          <w:color w:val="000000"/>
          <w:spacing w:val="0"/>
          <w:w w:val="100"/>
          <w:position w:val="0"/>
          <w:sz w:val="16"/>
          <w:szCs w:val="16"/>
        </w:rPr>
        <w:t>，</w:t>
      </w:r>
      <w:r>
        <w:rPr>
          <w:color w:val="000000"/>
          <w:spacing w:val="0"/>
          <w:w w:val="100"/>
          <w:position w:val="0"/>
        </w:rPr>
        <w:t>不参与其他投资项目的收益分配和亏损承担，本公司期末实际享有该联营企业的权益比例为</w:t>
      </w:r>
      <w:r>
        <w:rPr>
          <w:color w:val="000000"/>
          <w:spacing w:val="0"/>
          <w:w w:val="100"/>
          <w:position w:val="0"/>
          <w:sz w:val="16"/>
          <w:szCs w:val="16"/>
        </w:rPr>
        <w:t>71.85% （</w:t>
      </w:r>
      <w:r>
        <w:rPr>
          <w:color w:val="000000"/>
          <w:spacing w:val="0"/>
          <w:w w:val="100"/>
          <w:position w:val="0"/>
        </w:rPr>
        <w:t xml:space="preserve">期初权益比例为 </w:t>
      </w:r>
      <w:r>
        <w:rPr>
          <w:color w:val="000000"/>
          <w:spacing w:val="0"/>
          <w:w w:val="100"/>
          <w:position w:val="0"/>
          <w:sz w:val="16"/>
          <w:szCs w:val="16"/>
        </w:rPr>
        <w:t>36.76%）</w:t>
      </w:r>
      <w:r>
        <w:rPr>
          <w:color w:val="000000"/>
          <w:spacing w:val="0"/>
          <w:w w:val="100"/>
          <w:position w:val="0"/>
        </w:rPr>
        <w:t>。</w:t>
      </w:r>
    </w:p>
    <w:p>
      <w:pPr>
        <w:pStyle w:val="Style30"/>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7"/>
        <w:keepNext/>
        <w:keepLines/>
        <w:widowControl w:val="0"/>
        <w:shd w:val="clear" w:color="auto" w:fill="auto"/>
        <w:tabs>
          <w:tab w:pos="493" w:val="left"/>
        </w:tabs>
        <w:bidi w:val="0"/>
        <w:spacing w:before="0" w:after="360" w:line="240" w:lineRule="auto"/>
        <w:ind w:left="0" w:right="0" w:firstLine="0"/>
        <w:jc w:val="both"/>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37"/>
      <w:bookmarkEnd w:id="1838"/>
      <w:bookmarkEnd w:id="1840"/>
    </w:p>
    <w:p>
      <w:pPr>
        <w:pStyle w:val="Style47"/>
        <w:keepNext/>
        <w:keepLines/>
        <w:widowControl w:val="0"/>
        <w:shd w:val="clear" w:color="auto" w:fill="auto"/>
        <w:tabs>
          <w:tab w:pos="493" w:val="left"/>
        </w:tabs>
        <w:bidi w:val="0"/>
        <w:spacing w:before="0" w:after="360" w:line="240" w:lineRule="auto"/>
        <w:ind w:left="0" w:right="0" w:firstLine="0"/>
        <w:jc w:val="both"/>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41"/>
      <w:bookmarkEnd w:id="1842"/>
      <w:bookmarkEnd w:id="184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439,345,266.22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299,026,950.45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219,588,853.66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784,557,905.24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658,934,119.88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1,083,584,855.69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2,126,966.83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1,726,966.83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2,126,966.83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1,726,966.83</w:t>
            </w:r>
          </w:p>
        </w:tc>
      </w:tr>
    </w:tbl>
    <w:p>
      <w:pPr>
        <w:widowControl w:val="0"/>
        <w:spacing w:line="1" w:lineRule="exact"/>
      </w:pP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91,700,435.40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107,616,887.49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565,106,717.65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974,241,001.37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439,345,266.22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299,026,950.45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464,923,543.29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506,258,530.24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-23,297,635.81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78,760,174.39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45"/>
      <w:bookmarkEnd w:id="1846"/>
      <w:bookmarkEnd w:id="18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127,407,450.28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127,776,729.59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1,048,423.44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-1,667,838.03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1,048,423.44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-1,667,838.03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49"/>
      <w:bookmarkEnd w:id="1850"/>
      <w:bookmarkEnd w:id="1852"/>
    </w:p>
    <w:p>
      <w:pPr>
        <w:pStyle w:val="Style47"/>
        <w:keepNext/>
        <w:keepLines/>
        <w:widowControl w:val="0"/>
        <w:shd w:val="clear" w:color="auto" w:fill="auto"/>
        <w:tabs>
          <w:tab w:pos="493"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53"/>
      <w:bookmarkEnd w:id="1854"/>
      <w:bookmarkEnd w:id="185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57"/>
      <w:bookmarkEnd w:id="1858"/>
      <w:bookmarkEnd w:id="1860"/>
    </w:p>
    <w:p>
      <w:pPr>
        <w:pStyle w:val="Style47"/>
        <w:keepNext/>
        <w:keepLines/>
        <w:widowControl w:val="0"/>
        <w:shd w:val="clear" w:color="auto" w:fill="auto"/>
        <w:tabs>
          <w:tab w:pos="493"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61"/>
      <w:bookmarkEnd w:id="1862"/>
      <w:bookmarkEnd w:id="1864"/>
    </w:p>
    <w:p>
      <w:pPr>
        <w:pStyle w:val="Style33"/>
        <w:keepNext/>
        <w:keepLines/>
        <w:widowControl w:val="0"/>
        <w:shd w:val="clear" w:color="auto" w:fill="auto"/>
        <w:tabs>
          <w:tab w:pos="378"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4</w:t>
      </w:r>
      <w:bookmarkEnd w:id="1867"/>
      <w:r>
        <w:rPr>
          <w:color w:val="000000"/>
          <w:spacing w:val="0"/>
          <w:w w:val="100"/>
          <w:position w:val="0"/>
        </w:rPr>
        <w:t>、</w:t>
        <w:tab/>
        <w:t>重要的共同经营</w:t>
      </w:r>
      <w:bookmarkEnd w:id="1865"/>
      <w:bookmarkEnd w:id="1866"/>
      <w:bookmarkEnd w:id="186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5</w:t>
      </w:r>
      <w:bookmarkEnd w:id="1871"/>
      <w:r>
        <w:rPr>
          <w:color w:val="000000"/>
          <w:spacing w:val="0"/>
          <w:w w:val="100"/>
          <w:position w:val="0"/>
        </w:rPr>
        <w:t>、</w:t>
        <w:tab/>
        <w:t>在未纳入合并财务报表范围的结构化主体中的权益</w:t>
      </w:r>
      <w:bookmarkEnd w:id="1869"/>
      <w:bookmarkEnd w:id="1870"/>
      <w:bookmarkEnd w:id="187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6</w:t>
      </w:r>
      <w:bookmarkEnd w:id="1875"/>
      <w:r>
        <w:rPr>
          <w:color w:val="000000"/>
          <w:spacing w:val="0"/>
          <w:w w:val="100"/>
          <w:position w:val="0"/>
        </w:rPr>
        <w:t>、其他</w:t>
      </w:r>
      <w:bookmarkEnd w:id="1873"/>
      <w:bookmarkEnd w:id="1874"/>
      <w:bookmarkEnd w:id="1876"/>
    </w:p>
    <w:p>
      <w:pPr>
        <w:pStyle w:val="Style28"/>
        <w:keepNext/>
        <w:keepLines/>
        <w:widowControl w:val="0"/>
        <w:shd w:val="clear" w:color="auto" w:fill="auto"/>
        <w:bidi w:val="0"/>
        <w:spacing w:before="0" w:after="260" w:line="240" w:lineRule="auto"/>
        <w:ind w:left="0" w:right="0" w:firstLine="0"/>
        <w:jc w:val="left"/>
      </w:pPr>
      <w:bookmarkStart w:id="1877" w:name="bookmark1877"/>
      <w:bookmarkStart w:id="1878" w:name="bookmark1878"/>
      <w:bookmarkStart w:id="1879" w:name="bookmark1879"/>
      <w:r>
        <w:rPr>
          <w:color w:val="000000"/>
          <w:spacing w:val="0"/>
          <w:w w:val="100"/>
          <w:position w:val="0"/>
        </w:rPr>
        <w:t>十、与金融工具相关的风险</w:t>
      </w:r>
      <w:bookmarkEnd w:id="1877"/>
      <w:bookmarkEnd w:id="1878"/>
      <w:bookmarkEnd w:id="1879"/>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本集团的主要金融工具包括股权投资、借款、应收账款、应付账款等，各项金融工具的详细情况说明见本附注六相关项目。 与这些金融工具有关的风险，以及本集团为降低这些风险所采取的风险管理政策如下所述。本集团管理层对这些风险敞口进 行管理和监控以确保将上述风险控制在限定的范围之内。</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本集团采用敏感性分析技术分析风险变量的合理、可能变化对当期损益或股东权益可能产生的影响。由于任何风险变量很少 孤立地发生变化，而变量之间存在的相关性对某一风险变量的变化的最终影响金额将产生重大作用，因此下述内容是在假设 每一变量的变化是在独立的情况下进行的。</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风险管理目标和政策</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市场风险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外汇风险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外汇风险指因汇率变动产生损失的风险。本公司承受外汇风险主要与欧元、港元、美元有关，公司期末拥有金额较小的外币 资产，该等外币余额的资产产生的外汇风险对本公司的经营业绩不会产生重要影响。</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利率风险一现金流量变动风险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利率风险，是指金融工具的公允价值或未来现金流量因市场利率变动而发生波动的风险。本公司面临的利率风险主要来源于 银行短期借款。</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日，公司短期借款余额</w:t>
      </w:r>
      <w:r>
        <w:rPr>
          <w:color w:val="000000"/>
          <w:spacing w:val="0"/>
          <w:w w:val="100"/>
          <w:position w:val="0"/>
          <w:sz w:val="16"/>
          <w:szCs w:val="16"/>
        </w:rPr>
        <w:t>173,400.00</w:t>
      </w:r>
      <w:r>
        <w:rPr>
          <w:color w:val="000000"/>
          <w:spacing w:val="0"/>
          <w:w w:val="100"/>
          <w:position w:val="0"/>
        </w:rPr>
        <w:t>万元，利率维持在</w:t>
      </w:r>
      <w:r>
        <w:rPr>
          <w:color w:val="000000"/>
          <w:spacing w:val="0"/>
          <w:w w:val="100"/>
          <w:position w:val="0"/>
          <w:sz w:val="16"/>
          <w:szCs w:val="16"/>
        </w:rPr>
        <w:t>3.99%-6.58%</w:t>
      </w:r>
      <w:r>
        <w:rPr>
          <w:color w:val="000000"/>
          <w:spacing w:val="0"/>
          <w:w w:val="100"/>
          <w:position w:val="0"/>
        </w:rPr>
        <w:t>。如未来贷款利率上升或下降</w:t>
      </w:r>
      <w:r>
        <w:rPr>
          <w:color w:val="000000"/>
          <w:spacing w:val="0"/>
          <w:w w:val="100"/>
          <w:position w:val="0"/>
          <w:sz w:val="16"/>
          <w:szCs w:val="16"/>
        </w:rPr>
        <w:t xml:space="preserve">10.00%, </w:t>
      </w:r>
      <w:r>
        <w:rPr>
          <w:color w:val="000000"/>
          <w:spacing w:val="0"/>
          <w:w w:val="100"/>
          <w:position w:val="0"/>
        </w:rPr>
        <w:t>则本公司的净利润将减少或增加</w:t>
      </w:r>
      <w:r>
        <w:rPr>
          <w:color w:val="000000"/>
          <w:spacing w:val="0"/>
          <w:w w:val="100"/>
          <w:position w:val="0"/>
          <w:sz w:val="16"/>
          <w:szCs w:val="16"/>
        </w:rPr>
        <w:t xml:space="preserve">9,164,190. </w:t>
      </w:r>
      <w:r>
        <w:rPr>
          <w:color w:val="000000"/>
          <w:spacing w:val="0"/>
          <w:w w:val="100"/>
          <w:position w:val="0"/>
          <w:sz w:val="16"/>
          <w:szCs w:val="16"/>
        </w:rPr>
        <w:t>00</w:t>
      </w:r>
      <w:r>
        <w:rPr>
          <w:color w:val="000000"/>
          <w:spacing w:val="0"/>
          <w:w w:val="100"/>
          <w:position w:val="0"/>
        </w:rPr>
        <w:t>元。管理层认为</w:t>
      </w: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rPr>
        <w:t>波动比例合理反映了下一年度利率可能发生变动的合理 范围。</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其他价格风险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本集团持有的分类为以公允价值计量且其变动计入当期损益、以公允价值计量且其变动计入其他综合收益的金融资产的投资 在资产负债表日以公允价值计量。因此，本集团承担着证券市场变动的风险。本集团采取持有多种权益证券组合的方式降低 权益证券投资的价格风险。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信用风险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签订新合同之前，本公司会对新客户的信用风险进行评估，包括外部信用评级和在某些情况下的银行资信证明（当此信息可 获取时）。</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公司通过对已有客户信用评级的季度监控以及应收账款账龄分析的月度审核来确保公司的整体信用风险在可控的范围内。 流动风险</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管理流动风险时，本集团保持管理层认为充分的现金及现金等价物并对其进行监控，以满足本集团经营需要，并降低现金流 量波动的影响。本集团管理层对银行借款的使用情况进行监控并确保遵守借款协议。</w:t>
      </w:r>
    </w:p>
    <w:p>
      <w:pPr>
        <w:pStyle w:val="Style30"/>
        <w:keepNext w:val="0"/>
        <w:keepLines w:val="0"/>
        <w:widowControl w:val="0"/>
        <w:shd w:val="clear" w:color="auto" w:fill="auto"/>
        <w:bidi w:val="0"/>
        <w:spacing w:before="0" w:after="60" w:line="311" w:lineRule="exact"/>
        <w:ind w:left="0" w:right="0" w:firstLine="0"/>
        <w:jc w:val="left"/>
      </w:pPr>
      <w:r>
        <w:rPr>
          <w:color w:val="000000"/>
          <w:spacing w:val="0"/>
          <w:w w:val="100"/>
          <w:position w:val="0"/>
        </w:rPr>
        <w:t>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1277"/>
        <w:gridCol w:w="1685"/>
        <w:gridCol w:w="1584"/>
        <w:gridCol w:w="1464"/>
        <w:gridCol w:w="1526"/>
        <w:gridCol w:w="1699"/>
      </w:tblGrid>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1,737,724, </w:t>
            </w:r>
            <w:r>
              <w:rPr>
                <w:color w:val="000000"/>
                <w:spacing w:val="0"/>
                <w:w w:val="100"/>
                <w:position w:val="0"/>
                <w:sz w:val="16"/>
                <w:szCs w:val="16"/>
              </w:rPr>
              <w:t xml:space="preserve">263.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1,737,724,263.22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115,456, </w:t>
            </w:r>
            <w:r>
              <w:rPr>
                <w:color w:val="000000"/>
                <w:spacing w:val="0"/>
                <w:w w:val="100"/>
                <w:position w:val="0"/>
                <w:sz w:val="16"/>
                <w:szCs w:val="16"/>
              </w:rPr>
              <w:t xml:space="preserve">130.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115,456, </w:t>
            </w:r>
            <w:r>
              <w:rPr>
                <w:color w:val="000000"/>
                <w:spacing w:val="0"/>
                <w:w w:val="100"/>
                <w:position w:val="0"/>
                <w:sz w:val="16"/>
                <w:szCs w:val="16"/>
              </w:rPr>
              <w:t xml:space="preserve">130. </w:t>
            </w:r>
            <w:r>
              <w:rPr>
                <w:color w:val="000000"/>
                <w:spacing w:val="0"/>
                <w:w w:val="100"/>
                <w:position w:val="0"/>
                <w:sz w:val="16"/>
                <w:szCs w:val="16"/>
              </w:rPr>
              <w:t>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996,307, </w:t>
            </w:r>
            <w:r>
              <w:rPr>
                <w:color w:val="000000"/>
                <w:spacing w:val="0"/>
                <w:w w:val="100"/>
                <w:position w:val="0"/>
                <w:sz w:val="16"/>
                <w:szCs w:val="16"/>
              </w:rPr>
              <w:t xml:space="preserve">485.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996, </w:t>
            </w:r>
            <w:r>
              <w:rPr>
                <w:color w:val="000000"/>
                <w:spacing w:val="0"/>
                <w:w w:val="100"/>
                <w:position w:val="0"/>
                <w:sz w:val="16"/>
                <w:szCs w:val="16"/>
              </w:rPr>
              <w:t xml:space="preserve">307,485. </w:t>
            </w:r>
            <w:r>
              <w:rPr>
                <w:color w:val="000000"/>
                <w:spacing w:val="0"/>
                <w:w w:val="100"/>
                <w:position w:val="0"/>
                <w:sz w:val="16"/>
                <w:szCs w:val="16"/>
              </w:rPr>
              <w:t>66</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743,411.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743,411. </w:t>
            </w:r>
            <w:r>
              <w:rPr>
                <w:color w:val="000000"/>
                <w:spacing w:val="0"/>
                <w:w w:val="100"/>
                <w:position w:val="0"/>
                <w:sz w:val="16"/>
                <w:szCs w:val="16"/>
              </w:rPr>
              <w:t>35</w:t>
            </w:r>
          </w:p>
        </w:tc>
      </w:tr>
    </w:tbl>
    <w:p>
      <w:pPr>
        <w:pStyle w:val="Style39"/>
        <w:keepNext w:val="0"/>
        <w:keepLines w:val="0"/>
        <w:widowControl w:val="0"/>
        <w:shd w:val="clear" w:color="auto" w:fill="auto"/>
        <w:bidi w:val="0"/>
        <w:spacing w:before="0" w:after="0" w:line="240" w:lineRule="auto"/>
        <w:ind w:left="86" w:right="0" w:firstLine="0"/>
        <w:jc w:val="left"/>
      </w:pPr>
      <w:r>
        <w:rPr>
          <w:color w:val="000000"/>
          <w:spacing w:val="0"/>
          <w:w w:val="100"/>
          <w:position w:val="0"/>
        </w:rPr>
        <w:t>（续）</w:t>
      </w:r>
    </w:p>
    <w:p>
      <w:pPr>
        <w:widowControl w:val="0"/>
        <w:spacing w:line="1" w:lineRule="exact"/>
      </w:pPr>
    </w:p>
    <w:tbl>
      <w:tblPr>
        <w:tblOverlap w:val="never"/>
        <w:jc w:val="center"/>
        <w:tblLayout w:type="fixed"/>
      </w:tblPr>
      <w:tblGrid>
        <w:gridCol w:w="1277"/>
        <w:gridCol w:w="1685"/>
        <w:gridCol w:w="1584"/>
        <w:gridCol w:w="1464"/>
        <w:gridCol w:w="1526"/>
        <w:gridCol w:w="1699"/>
      </w:tblGrid>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r>
      <w:tr>
        <w:trPr>
          <w:trHeight w:val="3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277"/>
        <w:gridCol w:w="1685"/>
        <w:gridCol w:w="1584"/>
        <w:gridCol w:w="1464"/>
        <w:gridCol w:w="1526"/>
        <w:gridCol w:w="1699"/>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1,634, 650,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1, 634, 650, </w:t>
            </w:r>
            <w:r>
              <w:rPr>
                <w:color w:val="000000"/>
                <w:spacing w:val="0"/>
                <w:w w:val="100"/>
                <w:position w:val="0"/>
                <w:sz w:val="16"/>
                <w:szCs w:val="16"/>
              </w:rPr>
              <w:t xml:space="preserve">000. </w:t>
            </w:r>
            <w:r>
              <w:rPr>
                <w:color w:val="000000"/>
                <w:spacing w:val="0"/>
                <w:w w:val="100"/>
                <w:position w:val="0"/>
                <w:sz w:val="16"/>
                <w:szCs w:val="16"/>
              </w:rPr>
              <w:t>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61,522,868.51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61,522,868.51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959, 854, </w:t>
            </w:r>
            <w:r>
              <w:rPr>
                <w:color w:val="000000"/>
                <w:spacing w:val="0"/>
                <w:w w:val="100"/>
                <w:position w:val="0"/>
                <w:sz w:val="16"/>
                <w:szCs w:val="16"/>
              </w:rPr>
              <w:t xml:space="preserve">076.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959, 854, </w:t>
            </w:r>
            <w:r>
              <w:rPr>
                <w:color w:val="000000"/>
                <w:spacing w:val="0"/>
                <w:w w:val="100"/>
                <w:position w:val="0"/>
                <w:sz w:val="16"/>
                <w:szCs w:val="16"/>
              </w:rPr>
              <w:t>076.80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153,475, </w:t>
            </w:r>
            <w:r>
              <w:rPr>
                <w:color w:val="000000"/>
                <w:spacing w:val="0"/>
                <w:w w:val="100"/>
                <w:position w:val="0"/>
                <w:sz w:val="16"/>
                <w:szCs w:val="16"/>
              </w:rPr>
              <w:t xml:space="preserve">082.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153,475,082.59</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880" w:name="bookmark1880"/>
      <w:bookmarkStart w:id="1881" w:name="bookmark1881"/>
      <w:bookmarkStart w:id="1882" w:name="bookmark1882"/>
      <w:r>
        <w:rPr>
          <w:color w:val="000000"/>
          <w:spacing w:val="0"/>
          <w:w w:val="100"/>
          <w:position w:val="0"/>
        </w:rPr>
        <w:t>十一、公允价值的披露</w:t>
      </w:r>
      <w:bookmarkEnd w:id="1880"/>
      <w:bookmarkEnd w:id="1881"/>
      <w:bookmarkEnd w:id="1882"/>
    </w:p>
    <w:p>
      <w:pPr>
        <w:pStyle w:val="Style33"/>
        <w:keepNext/>
        <w:keepLines/>
        <w:widowControl w:val="0"/>
        <w:shd w:val="clear" w:color="auto" w:fill="auto"/>
        <w:bidi w:val="0"/>
        <w:spacing w:before="0" w:after="34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3"/>
      <w:bookmarkEnd w:id="1884"/>
      <w:bookmarkEnd w:id="188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158,424,572.00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142,970,000.00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301,394,572.00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158,424,572.00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145,610,000.00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304,034,572.00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tabs>
          <w:tab w:pos="378" w:val="left"/>
        </w:tabs>
        <w:bidi w:val="0"/>
        <w:spacing w:before="0" w:after="40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w:t>
        <w:tab/>
        <w:t>持续和非持续第一层次公允价值计量项目市价的确定依据</w:t>
      </w:r>
      <w:bookmarkEnd w:id="1886"/>
      <w:bookmarkEnd w:id="1887"/>
      <w:bookmarkEnd w:id="188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公司持有的其他权益工具投资中的上市公司股票投资，年末公允价值按资产负债表日公开交易市场的收盘价确定。</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color w:val="000000"/>
          <w:spacing w:val="0"/>
          <w:w w:val="100"/>
          <w:position w:val="0"/>
        </w:rPr>
        <w:t>、</w:t>
        <w:tab/>
        <w:t>持续和非持续第二层次公允价值计量项目，采用的估值技术和重要参数的定性及定量信息</w:t>
      </w:r>
      <w:bookmarkEnd w:id="1890"/>
      <w:bookmarkEnd w:id="1891"/>
      <w:bookmarkEnd w:id="1893"/>
    </w:p>
    <w:p>
      <w:pPr>
        <w:pStyle w:val="Style33"/>
        <w:keepNext/>
        <w:keepLines/>
        <w:widowControl w:val="0"/>
        <w:shd w:val="clear" w:color="auto" w:fill="auto"/>
        <w:tabs>
          <w:tab w:pos="378" w:val="left"/>
        </w:tabs>
        <w:bidi w:val="0"/>
        <w:spacing w:before="0" w:after="40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4</w:t>
      </w:r>
      <w:bookmarkEnd w:id="1896"/>
      <w:r>
        <w:rPr>
          <w:color w:val="000000"/>
          <w:spacing w:val="0"/>
          <w:w w:val="100"/>
          <w:position w:val="0"/>
        </w:rPr>
        <w:t>、</w:t>
        <w:tab/>
        <w:t>持续和非持续第三层次公允价值计量项目，采用的估值技术和重要参数的定性及定量信息</w:t>
      </w:r>
      <w:bookmarkEnd w:id="1894"/>
      <w:bookmarkEnd w:id="1895"/>
      <w:bookmarkEnd w:id="1897"/>
    </w:p>
    <w:p>
      <w:pPr>
        <w:pStyle w:val="Style30"/>
        <w:keepNext w:val="0"/>
        <w:keepLines w:val="0"/>
        <w:widowControl w:val="0"/>
        <w:shd w:val="clear" w:color="auto" w:fill="auto"/>
        <w:bidi w:val="0"/>
        <w:spacing w:before="0" w:after="340" w:line="240" w:lineRule="auto"/>
        <w:ind w:left="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54" w:right="930" w:bottom="1436" w:left="891" w:header="0" w:footer="3" w:gutter="0"/>
          <w:cols w:space="720"/>
          <w:noEndnote/>
          <w:titlePg/>
          <w:rtlGutter w:val="0"/>
          <w:docGrid w:linePitch="360"/>
        </w:sectPr>
      </w:pPr>
      <w:r>
        <w:rPr>
          <w:color w:val="000000"/>
          <w:spacing w:val="0"/>
          <w:w w:val="100"/>
          <w:position w:val="0"/>
        </w:rPr>
        <w:t>公司以预计该项权益工具投资预期未来给公司带来现金流量净流入的最佳估计数作为其公允价值的确定。</w:t>
      </w:r>
    </w:p>
    <w:p>
      <w:pPr>
        <w:pStyle w:val="Style33"/>
        <w:keepNext/>
        <w:keepLines/>
        <w:widowControl w:val="0"/>
        <w:shd w:val="clear" w:color="auto" w:fill="auto"/>
        <w:tabs>
          <w:tab w:pos="378"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5</w:t>
      </w:r>
      <w:bookmarkEnd w:id="1900"/>
      <w:r>
        <w:rPr>
          <w:color w:val="000000"/>
          <w:spacing w:val="0"/>
          <w:w w:val="100"/>
          <w:position w:val="0"/>
        </w:rPr>
        <w:t>、</w:t>
        <w:tab/>
        <w:t>持续的第三层次公允价值计量项目，期初与期末账面价值间的调节信息及不可观察参数敏感性分析</w:t>
      </w:r>
      <w:bookmarkEnd w:id="1898"/>
      <w:bookmarkEnd w:id="1899"/>
      <w:bookmarkEnd w:id="1901"/>
    </w:p>
    <w:p>
      <w:pPr>
        <w:pStyle w:val="Style33"/>
        <w:keepNext/>
        <w:keepLines/>
        <w:widowControl w:val="0"/>
        <w:shd w:val="clear" w:color="auto" w:fill="auto"/>
        <w:tabs>
          <w:tab w:pos="378"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6</w:t>
      </w:r>
      <w:bookmarkEnd w:id="1904"/>
      <w:r>
        <w:rPr>
          <w:color w:val="000000"/>
          <w:spacing w:val="0"/>
          <w:w w:val="100"/>
          <w:position w:val="0"/>
        </w:rPr>
        <w:t>、</w:t>
        <w:tab/>
        <w:t>持续的公允价值计量项目，本期内发生各层级之间转换的，转换的原因及确定转换时点的政策</w:t>
      </w:r>
      <w:bookmarkEnd w:id="1902"/>
      <w:bookmarkEnd w:id="1903"/>
      <w:bookmarkEnd w:id="1905"/>
    </w:p>
    <w:p>
      <w:pPr>
        <w:pStyle w:val="Style33"/>
        <w:keepNext/>
        <w:keepLines/>
        <w:widowControl w:val="0"/>
        <w:shd w:val="clear" w:color="auto" w:fill="auto"/>
        <w:tabs>
          <w:tab w:pos="378"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7</w:t>
      </w:r>
      <w:bookmarkEnd w:id="1908"/>
      <w:r>
        <w:rPr>
          <w:color w:val="000000"/>
          <w:spacing w:val="0"/>
          <w:w w:val="100"/>
          <w:position w:val="0"/>
        </w:rPr>
        <w:t>、</w:t>
        <w:tab/>
        <w:t>本期内发生的估值技术变更及变更原因</w:t>
      </w:r>
      <w:bookmarkEnd w:id="1906"/>
      <w:bookmarkEnd w:id="1907"/>
      <w:bookmarkEnd w:id="1909"/>
    </w:p>
    <w:p>
      <w:pPr>
        <w:pStyle w:val="Style33"/>
        <w:keepNext/>
        <w:keepLines/>
        <w:widowControl w:val="0"/>
        <w:shd w:val="clear" w:color="auto" w:fill="auto"/>
        <w:tabs>
          <w:tab w:pos="378"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8</w:t>
      </w:r>
      <w:bookmarkEnd w:id="1912"/>
      <w:r>
        <w:rPr>
          <w:color w:val="000000"/>
          <w:spacing w:val="0"/>
          <w:w w:val="100"/>
          <w:position w:val="0"/>
        </w:rPr>
        <w:t>、</w:t>
        <w:tab/>
        <w:t>不以公允价值计量的金融资产和金融负债的公允价值情况</w:t>
      </w:r>
      <w:bookmarkEnd w:id="1910"/>
      <w:bookmarkEnd w:id="1911"/>
      <w:bookmarkEnd w:id="1913"/>
    </w:p>
    <w:p>
      <w:pPr>
        <w:pStyle w:val="Style33"/>
        <w:keepNext/>
        <w:keepLines/>
        <w:widowControl w:val="0"/>
        <w:shd w:val="clear" w:color="auto" w:fill="auto"/>
        <w:tabs>
          <w:tab w:pos="37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9</w:t>
      </w:r>
      <w:bookmarkEnd w:id="1916"/>
      <w:r>
        <w:rPr>
          <w:color w:val="000000"/>
          <w:spacing w:val="0"/>
          <w:w w:val="100"/>
          <w:position w:val="0"/>
        </w:rPr>
        <w:t>、</w:t>
        <w:tab/>
        <w:t>其他</w:t>
      </w:r>
      <w:bookmarkEnd w:id="1914"/>
      <w:bookmarkEnd w:id="1915"/>
      <w:bookmarkEnd w:id="1917"/>
    </w:p>
    <w:p>
      <w:pPr>
        <w:pStyle w:val="Style28"/>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十二、关联方及关联交易</w:t>
      </w:r>
      <w:bookmarkEnd w:id="1918"/>
      <w:bookmarkEnd w:id="1919"/>
      <w:bookmarkEnd w:id="1920"/>
    </w:p>
    <w:p>
      <w:pPr>
        <w:pStyle w:val="Style33"/>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21"/>
      <w:bookmarkEnd w:id="1922"/>
      <w:bookmarkEnd w:id="192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电子智能、投资开发 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本企业最终控制方是王辉、刘健。</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2</w:t>
      </w:r>
      <w:bookmarkEnd w:id="1926"/>
      <w:r>
        <w:rPr>
          <w:color w:val="000000"/>
          <w:spacing w:val="0"/>
          <w:w w:val="100"/>
          <w:position w:val="0"/>
        </w:rPr>
        <w:t>、</w:t>
        <w:tab/>
        <w:t>本企业的子公司情况</w:t>
      </w:r>
      <w:bookmarkEnd w:id="1924"/>
      <w:bookmarkEnd w:id="1925"/>
      <w:bookmarkEnd w:id="192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3</w:t>
      </w:r>
      <w:bookmarkEnd w:id="1930"/>
      <w:r>
        <w:rPr>
          <w:color w:val="000000"/>
          <w:spacing w:val="0"/>
          <w:w w:val="100"/>
          <w:position w:val="0"/>
        </w:rPr>
        <w:t>、</w:t>
        <w:tab/>
        <w:t>本企业合营和联营企业情况</w:t>
      </w:r>
      <w:bookmarkEnd w:id="1928"/>
      <w:bookmarkEnd w:id="1929"/>
      <w:bookmarkEnd w:id="193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浙江贤谷互联网技术有限公司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杭州银江智慧产业创业投资合伙企业（有限合伙）</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spacing w:lineRule="exact" w:line="1"/>
        <w:rPr>
          <w:sz w:val="2"/>
          <w:szCs w:val="2"/>
        </w:rPr>
      </w:pPr>
      <w:r>
        <w:br w:type="page"/>
      </w:r>
    </w:p>
    <w:p>
      <w:pPr>
        <w:pStyle w:val="Style30"/>
        <w:keepNext w:val="0"/>
        <w:keepLines w:val="0"/>
        <w:widowControl w:val="0"/>
        <w:shd w:val="clear" w:color="auto" w:fill="auto"/>
        <w:tabs>
          <w:tab w:pos="4776" w:val="left"/>
        </w:tabs>
        <w:bidi w:val="0"/>
        <w:spacing w:before="0" w:after="0" w:line="240" w:lineRule="auto"/>
        <w:ind w:left="0" w:right="0" w:firstLine="0"/>
        <w:jc w:val="left"/>
      </w:pPr>
      <w:r>
        <mc:AlternateContent>
          <mc:Choice Requires="wps">
            <w:drawing>
              <wp:anchor distT="0" distB="0" distL="0" distR="0" simplePos="0" relativeHeight="125829400" behindDoc="0" locked="0" layoutInCell="1" allowOverlap="1">
                <wp:simplePos x="0" y="0"/>
                <wp:positionH relativeFrom="page">
                  <wp:posOffset>730250</wp:posOffset>
                </wp:positionH>
                <wp:positionV relativeFrom="margin">
                  <wp:posOffset>0</wp:posOffset>
                </wp:positionV>
                <wp:extent cx="6087110" cy="265430"/>
                <wp:wrapTopAndBottom/>
                <wp:docPr id="80" name="Shape 80"/>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line="1" w:lineRule="exact"/>
                            </w:pPr>
                          </w:p>
                        </w:txbxContent>
                      </wps:txbx>
                      <wps:bodyPr lIns="0" tIns="0" rIns="0" bIns="0">
                        <a:noAutoFit/>
                      </wps:bodyPr>
                    </wps:wsp>
                  </a:graphicData>
                </a:graphic>
              </wp:anchor>
            </w:drawing>
          </mc:Choice>
          <mc:Fallback>
            <w:pict>
              <v:shape id="_x0000_s1106" type="#_x0000_t202" style="position:absolute;margin-left:57.5pt;margin-top:0;width:479.30000000000001pt;height:20.900000000000002pt;z-index:-125829353;mso-wrap-distance-left:0;mso-wrap-distance-right:0;mso-position-horizontal-relative:page;mso-position-vertical-relative:margin" filled="f" stroked="f">
                <v:textbox inset="0,0,0,0">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安徽新网讯科技发展有限公司</w:t>
        <w:tab/>
        <w:t>联营企业</w:t>
      </w:r>
    </w:p>
    <w:p>
      <w:pPr>
        <w:pStyle w:val="Style30"/>
        <w:keepNext w:val="0"/>
        <w:keepLines w:val="0"/>
        <w:widowControl w:val="0"/>
        <w:shd w:val="clear" w:color="auto" w:fill="auto"/>
        <w:bidi w:val="0"/>
        <w:spacing w:before="10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4</w:t>
      </w:r>
      <w:bookmarkEnd w:id="1934"/>
      <w:r>
        <w:rPr>
          <w:color w:val="000000"/>
          <w:spacing w:val="0"/>
          <w:w w:val="100"/>
          <w:position w:val="0"/>
        </w:rPr>
        <w:t>、其他关联方情况</w:t>
      </w:r>
      <w:bookmarkEnd w:id="1932"/>
      <w:bookmarkEnd w:id="1933"/>
      <w:bookmarkEnd w:id="1935"/>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系本公司参股公司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系银江科技集团有限公司的联营企业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杭州奢享互联网技术有限公司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浙江桃源七里酒店管理有限公司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浙江银江创业服务研究院有限公司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杭州攻壳科技有限公司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杭州思言信息技术有限公司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杭州英杰电子有限公司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系杭州银江智慧产业创业投资合伙企业（有限合伙）参股的公司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福桥保险经纪股份有限公司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系本公司参股公司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浙江镭蒙机器人技术有限公司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杭州创享互联网技术有限公司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系银江科技集团有限公司控制的公司</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5</w:t>
      </w:r>
      <w:bookmarkEnd w:id="1938"/>
      <w:r>
        <w:rPr>
          <w:color w:val="000000"/>
          <w:spacing w:val="0"/>
          <w:w w:val="100"/>
          <w:position w:val="0"/>
        </w:rPr>
        <w:t>、关联交易情况</w:t>
      </w:r>
      <w:bookmarkEnd w:id="1936"/>
      <w:bookmarkEnd w:id="1937"/>
      <w:bookmarkEnd w:id="1939"/>
    </w:p>
    <w:p>
      <w:pPr>
        <w:pStyle w:val="Style47"/>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0"/>
      <w:bookmarkEnd w:id="1941"/>
      <w:bookmarkEnd w:id="19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13"/>
        <w:gridCol w:w="1272"/>
        <w:gridCol w:w="1421"/>
        <w:gridCol w:w="850"/>
        <w:gridCol w:w="917"/>
        <w:gridCol w:w="1714"/>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27,404,653.00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1,041,484.50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810,725.87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223,566.57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4,621,300.00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8,368,583.50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36,028,391.91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13,184,300.00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杭州奢享互联网技术有限公司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588,657.25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13,785,520.00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浙江桃源七里酒店管理有限公司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浙江银江创业服务研究院有限公司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2,196,043.50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4,142,330.51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2693"/>
        <w:gridCol w:w="1704"/>
        <w:gridCol w:w="163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2,202,900.00</w:t>
            </w:r>
          </w:p>
        </w:tc>
      </w:tr>
    </w:tbl>
    <w:p>
      <w:pPr>
        <w:widowControl w:val="0"/>
        <w:spacing w:line="1" w:lineRule="exact"/>
      </w:pPr>
      <w:r>
        <w:br w:type="page"/>
      </w:r>
    </w:p>
    <w:tbl>
      <w:tblPr>
        <w:tblOverlap w:val="never"/>
        <w:jc w:val="center"/>
        <w:tblLayout w:type="fixed"/>
      </w:tblPr>
      <w:tblGrid>
        <w:gridCol w:w="3552"/>
        <w:gridCol w:w="2693"/>
        <w:gridCol w:w="1704"/>
        <w:gridCol w:w="163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2,571,700.00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建造合同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7"/>
        <w:keepNext/>
        <w:keepLines/>
        <w:widowControl w:val="0"/>
        <w:shd w:val="clear" w:color="auto" w:fill="auto"/>
        <w:tabs>
          <w:tab w:pos="493"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43"/>
      <w:bookmarkEnd w:id="1944"/>
      <w:bookmarkEnd w:id="194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47"/>
      <w:bookmarkEnd w:id="1948"/>
      <w:bookmarkEnd w:id="195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522"/>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杭州创享互联网技术有限公司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经营租出资产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51"/>
      <w:bookmarkEnd w:id="1952"/>
      <w:bookmarkEnd w:id="195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7"/>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55"/>
      <w:bookmarkEnd w:id="1956"/>
      <w:bookmarkEnd w:id="19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183,224,000.00</w:t>
            </w:r>
            <w:r>
              <w:rPr>
                <w:color w:val="000000"/>
                <w:spacing w:val="0"/>
                <w:w w:val="100"/>
                <w:position w:val="0"/>
                <w:sz w:val="17"/>
                <w:szCs w:val="17"/>
              </w:rPr>
              <w:t xml:space="preserve">，本期拆 出 </w:t>
            </w:r>
            <w:r>
              <w:rPr>
                <w:rFonts w:ascii="Times New Roman" w:eastAsia="Times New Roman" w:hAnsi="Times New Roman" w:cs="Times New Roman"/>
                <w:color w:val="000000"/>
                <w:spacing w:val="0"/>
                <w:w w:val="100"/>
                <w:position w:val="0"/>
                <w:sz w:val="18"/>
                <w:szCs w:val="18"/>
              </w:rPr>
              <w:t>717,254,050.00</w:t>
            </w:r>
            <w:r>
              <w:rPr>
                <w:color w:val="000000"/>
                <w:spacing w:val="0"/>
                <w:w w:val="100"/>
                <w:position w:val="0"/>
                <w:sz w:val="17"/>
                <w:szCs w:val="17"/>
              </w:rPr>
              <w:t>,</w:t>
            </w:r>
            <w:r>
              <w:rPr>
                <w:color w:val="000000"/>
                <w:spacing w:val="0"/>
                <w:w w:val="100"/>
                <w:position w:val="0"/>
                <w:sz w:val="17"/>
                <w:szCs w:val="17"/>
              </w:rPr>
              <w:t xml:space="preserve">本期 收回 </w:t>
            </w:r>
            <w:r>
              <w:rPr>
                <w:rFonts w:ascii="Times New Roman" w:eastAsia="Times New Roman" w:hAnsi="Times New Roman" w:cs="Times New Roman"/>
                <w:color w:val="000000"/>
                <w:spacing w:val="0"/>
                <w:w w:val="100"/>
                <w:position w:val="0"/>
                <w:sz w:val="18"/>
                <w:szCs w:val="18"/>
              </w:rPr>
              <w:t>900,478,050.00</w:t>
            </w:r>
            <w:r>
              <w:rPr>
                <w:color w:val="000000"/>
                <w:spacing w:val="0"/>
                <w:w w:val="100"/>
                <w:position w:val="0"/>
                <w:sz w:val="17"/>
                <w:szCs w:val="17"/>
              </w:rPr>
              <w:t>,</w:t>
            </w:r>
            <w:r>
              <w:rPr>
                <w:color w:val="000000"/>
                <w:spacing w:val="0"/>
                <w:w w:val="100"/>
                <w:position w:val="0"/>
                <w:sz w:val="17"/>
                <w:szCs w:val="17"/>
              </w:rPr>
              <w:t>期 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 xml:space="preserve">,利息收回 </w:t>
            </w:r>
            <w:r>
              <w:rPr>
                <w:rFonts w:ascii="Times New Roman" w:eastAsia="Times New Roman" w:hAnsi="Times New Roman" w:cs="Times New Roman"/>
                <w:color w:val="000000"/>
                <w:spacing w:val="0"/>
                <w:w w:val="100"/>
                <w:position w:val="0"/>
                <w:sz w:val="18"/>
                <w:szCs w:val="18"/>
              </w:rPr>
              <w:t>38,054,404.00</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14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59"/>
      <w:bookmarkEnd w:id="1960"/>
      <w:bookmarkEnd w:id="19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345,714,300.00</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14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w:t>
      </w:r>
      <w:bookmarkEnd w:id="196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63"/>
      <w:bookmarkEnd w:id="1964"/>
      <w:bookmarkEnd w:id="196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4,858,600.00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5,999,400.00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67"/>
      <w:bookmarkEnd w:id="1968"/>
      <w:bookmarkEnd w:id="1970"/>
    </w:p>
    <w:p>
      <w:pPr>
        <w:pStyle w:val="Style33"/>
        <w:keepNext/>
        <w:keepLines/>
        <w:widowControl w:val="0"/>
        <w:shd w:val="clear" w:color="auto" w:fill="auto"/>
        <w:bidi w:val="0"/>
        <w:spacing w:before="0" w:after="380" w:line="240" w:lineRule="auto"/>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6</w:t>
      </w:r>
      <w:bookmarkEnd w:id="1973"/>
      <w:r>
        <w:rPr>
          <w:color w:val="000000"/>
          <w:spacing w:val="0"/>
          <w:w w:val="100"/>
          <w:position w:val="0"/>
        </w:rPr>
        <w:t>、关联方应收应付款项</w:t>
      </w:r>
      <w:bookmarkEnd w:id="1971"/>
      <w:bookmarkEnd w:id="1972"/>
      <w:bookmarkEnd w:id="1974"/>
    </w:p>
    <w:p>
      <w:pPr>
        <w:pStyle w:val="Style47"/>
        <w:keepNext/>
        <w:keepLines/>
        <w:widowControl w:val="0"/>
        <w:shd w:val="clear" w:color="auto" w:fill="auto"/>
        <w:bidi w:val="0"/>
        <w:spacing w:before="0" w:after="340" w:line="240" w:lineRule="auto"/>
        <w:ind w:left="0" w:right="0" w:firstLine="0"/>
        <w:jc w:val="both"/>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5"/>
      <w:bookmarkEnd w:id="1976"/>
      <w:bookmarkEnd w:id="19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3120"/>
        <w:gridCol w:w="1277"/>
        <w:gridCol w:w="1272"/>
        <w:gridCol w:w="1421"/>
        <w:gridCol w:w="12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3,637,163.17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181,858.16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69,464.94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76,832.85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1,535,021.76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2,335,021.76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188,401.04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2,765,943.39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276,594.34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6,792,500.00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杭州攻壳科技有限公司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3,912,940.00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杭州思言信息技术有限公司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763,678.73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银川银戈信息技术有限公司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5,996,981.14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299,849.06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浙江镭蒙机器人技术有限公司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杭州奢享互联网技术有限公司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324,749.99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981,803.05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14,670.46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3120"/>
        <w:gridCol w:w="1277"/>
        <w:gridCol w:w="1272"/>
        <w:gridCol w:w="1421"/>
        <w:gridCol w:w="1286"/>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9,272,211.85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9,727,497.21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江苏谷德运维信息技术有限公司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2,233,171.78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2,150,755.99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浙江贤谷互联网技术有限公司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22,912.54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福桥保险经纪股份有限公司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210,852,689.00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12,040,161.31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78"/>
      <w:bookmarkEnd w:id="1979"/>
      <w:bookmarkEnd w:id="19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336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149,558.80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1,995,540.71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1,984,540.71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1,306,750.17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545,032.25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杭州优橙科技有限公司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9,033,302.42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重庆市银江国超科技有限公司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2,364,337.18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浙江智尔信息技术有限公司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杭州动享互联网技术有限公司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65,322.33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浙江银创旅游宝科技有限公司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浙江中网智慧水务科技有限公司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413,931.00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26"/>
        <w:gridCol w:w="3365"/>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杭州天迈网络有限公司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杭州英杰电子有限公司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潍坊城市云网络科技有限公司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浙江银创教育宝科技有限公司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7</w:t>
      </w:r>
      <w:bookmarkEnd w:id="1983"/>
      <w:r>
        <w:rPr>
          <w:color w:val="000000"/>
          <w:spacing w:val="0"/>
          <w:w w:val="100"/>
          <w:position w:val="0"/>
        </w:rPr>
        <w:t>、关联方承诺</w:t>
      </w:r>
      <w:bookmarkEnd w:id="1981"/>
      <w:bookmarkEnd w:id="1982"/>
      <w:bookmarkEnd w:id="1984"/>
    </w:p>
    <w:p>
      <w:pPr>
        <w:pStyle w:val="Style33"/>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8</w:t>
      </w:r>
      <w:bookmarkEnd w:id="1987"/>
      <w:r>
        <w:rPr>
          <w:color w:val="000000"/>
          <w:spacing w:val="0"/>
          <w:w w:val="100"/>
          <w:position w:val="0"/>
        </w:rPr>
        <w:t>、其他</w:t>
      </w:r>
      <w:bookmarkEnd w:id="1985"/>
      <w:bookmarkEnd w:id="1986"/>
      <w:bookmarkEnd w:id="1988"/>
    </w:p>
    <w:p>
      <w:pPr>
        <w:pStyle w:val="Style28"/>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r>
        <w:rPr>
          <w:color w:val="000000"/>
          <w:spacing w:val="0"/>
          <w:w w:val="100"/>
          <w:position w:val="0"/>
        </w:rPr>
        <w:t>十三、股份支付</w:t>
      </w:r>
      <w:bookmarkEnd w:id="1989"/>
      <w:bookmarkEnd w:id="1990"/>
      <w:bookmarkEnd w:id="1991"/>
    </w:p>
    <w:p>
      <w:pPr>
        <w:pStyle w:val="Style33"/>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92"/>
      <w:bookmarkEnd w:id="1993"/>
      <w:bookmarkEnd w:id="199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515.40</w:t>
            </w:r>
            <w:r>
              <w:rPr>
                <w:color w:val="000000"/>
                <w:spacing w:val="0"/>
                <w:w w:val="100"/>
                <w:position w:val="0"/>
              </w:rPr>
              <w:t>万份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13.14 </w:t>
            </w:r>
            <w:r>
              <w:rPr>
                <w:color w:val="000000"/>
                <w:spacing w:val="0"/>
                <w:w w:val="100"/>
                <w:position w:val="0"/>
              </w:rPr>
              <w:t>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313" w:val="left"/>
        </w:tabs>
        <w:bidi w:val="0"/>
        <w:spacing w:before="0" w:after="0" w:line="313" w:lineRule="exact"/>
        <w:ind w:left="0" w:right="0" w:firstLine="0"/>
        <w:jc w:val="both"/>
      </w:pPr>
      <w:bookmarkStart w:id="1995" w:name="bookmark1995"/>
      <w:r>
        <w:rPr>
          <w:color w:val="000000"/>
          <w:spacing w:val="0"/>
          <w:w w:val="100"/>
          <w:position w:val="0"/>
          <w:sz w:val="16"/>
          <w:szCs w:val="16"/>
        </w:rPr>
        <w:t>1</w:t>
      </w:r>
      <w:bookmarkEnd w:id="1995"/>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w:t>
      </w:r>
      <w:r>
        <w:rPr>
          <w:color w:val="000000"/>
          <w:spacing w:val="0"/>
          <w:w w:val="100"/>
          <w:position w:val="0"/>
        </w:rPr>
        <w:t>日，公司第四届董事会第六次会议审议通过《关于〈银江股份有限公司</w:t>
      </w:r>
      <w:r>
        <w:rPr>
          <w:color w:val="000000"/>
          <w:spacing w:val="0"/>
          <w:w w:val="100"/>
          <w:position w:val="0"/>
          <w:sz w:val="16"/>
          <w:szCs w:val="16"/>
        </w:rPr>
        <w:t>2017</w:t>
      </w:r>
      <w:r>
        <w:rPr>
          <w:color w:val="000000"/>
          <w:spacing w:val="0"/>
          <w:w w:val="100"/>
          <w:position w:val="0"/>
        </w:rPr>
        <w:t>年股票期权激励计划（草案）＞及 其摘要的议案》、《关于〈银江股份有限公司</w:t>
      </w:r>
      <w:r>
        <w:rPr>
          <w:color w:val="000000"/>
          <w:spacing w:val="0"/>
          <w:w w:val="100"/>
          <w:position w:val="0"/>
          <w:sz w:val="16"/>
          <w:szCs w:val="16"/>
        </w:rPr>
        <w:t>2017</w:t>
      </w:r>
      <w:r>
        <w:rPr>
          <w:color w:val="000000"/>
          <w:spacing w:val="0"/>
          <w:w w:val="100"/>
          <w:position w:val="0"/>
        </w:rPr>
        <w:t>年股票期权激励计划实施考核管理办法〉的议案》和《关于提请股东大会授 权董事会办理公司</w:t>
      </w:r>
      <w:r>
        <w:rPr>
          <w:color w:val="000000"/>
          <w:spacing w:val="0"/>
          <w:w w:val="100"/>
          <w:position w:val="0"/>
          <w:sz w:val="16"/>
          <w:szCs w:val="16"/>
        </w:rPr>
        <w:t>2017</w:t>
      </w:r>
      <w:r>
        <w:rPr>
          <w:color w:val="000000"/>
          <w:spacing w:val="0"/>
          <w:w w:val="100"/>
          <w:position w:val="0"/>
        </w:rPr>
        <w:t>年股票期权激励计划有关事项的议案》。</w:t>
      </w:r>
    </w:p>
    <w:p>
      <w:pPr>
        <w:pStyle w:val="Style30"/>
        <w:keepNext w:val="0"/>
        <w:keepLines w:val="0"/>
        <w:widowControl w:val="0"/>
        <w:shd w:val="clear" w:color="auto" w:fill="auto"/>
        <w:tabs>
          <w:tab w:pos="318" w:val="left"/>
        </w:tabs>
        <w:bidi w:val="0"/>
        <w:spacing w:before="0" w:after="0" w:line="313" w:lineRule="exact"/>
        <w:ind w:left="0" w:right="0" w:firstLine="0"/>
        <w:jc w:val="both"/>
      </w:pPr>
      <w:bookmarkStart w:id="1996" w:name="bookmark1996"/>
      <w:r>
        <w:rPr>
          <w:color w:val="000000"/>
          <w:spacing w:val="0"/>
          <w:w w:val="100"/>
          <w:position w:val="0"/>
          <w:sz w:val="16"/>
          <w:szCs w:val="16"/>
        </w:rPr>
        <w:t>2</w:t>
      </w:r>
      <w:bookmarkEnd w:id="1996"/>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w:t>
      </w:r>
      <w:r>
        <w:rPr>
          <w:color w:val="000000"/>
          <w:spacing w:val="0"/>
          <w:w w:val="100"/>
          <w:position w:val="0"/>
          <w:sz w:val="16"/>
          <w:szCs w:val="16"/>
        </w:rPr>
        <w:t>2017</w:t>
      </w:r>
      <w:r>
        <w:rPr>
          <w:color w:val="000000"/>
          <w:spacing w:val="0"/>
          <w:w w:val="100"/>
          <w:position w:val="0"/>
        </w:rPr>
        <w:t>年第四次临时股东大会审议通过《关于〈银江股份有限公司</w:t>
      </w:r>
      <w:r>
        <w:rPr>
          <w:color w:val="000000"/>
          <w:spacing w:val="0"/>
          <w:w w:val="100"/>
          <w:position w:val="0"/>
          <w:sz w:val="16"/>
          <w:szCs w:val="16"/>
        </w:rPr>
        <w:t>2017</w:t>
      </w:r>
      <w:r>
        <w:rPr>
          <w:color w:val="000000"/>
          <w:spacing w:val="0"/>
          <w:w w:val="100"/>
          <w:position w:val="0"/>
        </w:rPr>
        <w:t>年股票期权激励计划（草案）</w:t>
      </w:r>
      <w:r>
        <w:rPr>
          <w:color w:val="000000"/>
          <w:spacing w:val="0"/>
          <w:w w:val="100"/>
          <w:position w:val="0"/>
          <w:sz w:val="16"/>
          <w:szCs w:val="16"/>
        </w:rPr>
        <w:t xml:space="preserve">＞ </w:t>
      </w:r>
      <w:r>
        <w:rPr>
          <w:color w:val="000000"/>
          <w:spacing w:val="0"/>
          <w:w w:val="100"/>
          <w:position w:val="0"/>
        </w:rPr>
        <w:t>及其摘要的议案》、《关于〈银江股份有限公司</w:t>
      </w:r>
      <w:r>
        <w:rPr>
          <w:color w:val="000000"/>
          <w:spacing w:val="0"/>
          <w:w w:val="100"/>
          <w:position w:val="0"/>
          <w:sz w:val="16"/>
          <w:szCs w:val="16"/>
        </w:rPr>
        <w:t>2017</w:t>
      </w:r>
      <w:r>
        <w:rPr>
          <w:color w:val="000000"/>
          <w:spacing w:val="0"/>
          <w:w w:val="100"/>
          <w:position w:val="0"/>
        </w:rPr>
        <w:t>年股票期权激励计划实施考核管理办法〉的议案》和《关于提请股东大会 授权董事会办理公司</w:t>
      </w:r>
      <w:r>
        <w:rPr>
          <w:color w:val="000000"/>
          <w:spacing w:val="0"/>
          <w:w w:val="100"/>
          <w:position w:val="0"/>
          <w:sz w:val="16"/>
          <w:szCs w:val="16"/>
        </w:rPr>
        <w:t>2017</w:t>
      </w:r>
      <w:r>
        <w:rPr>
          <w:color w:val="000000"/>
          <w:spacing w:val="0"/>
          <w:w w:val="100"/>
          <w:position w:val="0"/>
        </w:rPr>
        <w:t>年股票期权激励计划有关事项的议案》。</w:t>
      </w:r>
    </w:p>
    <w:p>
      <w:pPr>
        <w:pStyle w:val="Style30"/>
        <w:keepNext w:val="0"/>
        <w:keepLines w:val="0"/>
        <w:widowControl w:val="0"/>
        <w:shd w:val="clear" w:color="auto" w:fill="auto"/>
        <w:tabs>
          <w:tab w:pos="313" w:val="left"/>
        </w:tabs>
        <w:bidi w:val="0"/>
        <w:spacing w:before="0" w:after="0" w:line="313" w:lineRule="exact"/>
        <w:ind w:left="0" w:right="0" w:firstLine="0"/>
        <w:jc w:val="both"/>
      </w:pPr>
      <w:bookmarkStart w:id="1997" w:name="bookmark1997"/>
      <w:r>
        <w:rPr>
          <w:color w:val="000000"/>
          <w:spacing w:val="0"/>
          <w:w w:val="100"/>
          <w:position w:val="0"/>
          <w:sz w:val="16"/>
          <w:szCs w:val="16"/>
        </w:rPr>
        <w:t>3</w:t>
      </w:r>
      <w:bookmarkEnd w:id="1997"/>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日，公司第四届董事会第八会议审议通过《关于调整公司</w:t>
      </w:r>
      <w:r>
        <w:rPr>
          <w:color w:val="000000"/>
          <w:spacing w:val="0"/>
          <w:w w:val="100"/>
          <w:position w:val="0"/>
          <w:sz w:val="16"/>
          <w:szCs w:val="16"/>
        </w:rPr>
        <w:t>2017</w:t>
      </w:r>
      <w:r>
        <w:rPr>
          <w:color w:val="000000"/>
          <w:spacing w:val="0"/>
          <w:w w:val="100"/>
          <w:position w:val="0"/>
        </w:rPr>
        <w:t>年股票期权激励计划授予激励对象名单及授予 数量的议案》和《关于向</w:t>
      </w:r>
      <w:r>
        <w:rPr>
          <w:color w:val="000000"/>
          <w:spacing w:val="0"/>
          <w:w w:val="100"/>
          <w:position w:val="0"/>
          <w:sz w:val="16"/>
          <w:szCs w:val="16"/>
        </w:rPr>
        <w:t>2017</w:t>
      </w:r>
      <w:r>
        <w:rPr>
          <w:color w:val="000000"/>
          <w:spacing w:val="0"/>
          <w:w w:val="100"/>
          <w:position w:val="0"/>
        </w:rPr>
        <w:t>年股票期权激励计划激励对象授予股票期权的议案》。上述两项议案的主要内容为：原激励对 象王占军、王黎丽和王如晟</w:t>
      </w:r>
      <w:r>
        <w:rPr>
          <w:color w:val="000000"/>
          <w:spacing w:val="0"/>
          <w:w w:val="100"/>
          <w:position w:val="0"/>
          <w:sz w:val="16"/>
          <w:szCs w:val="16"/>
        </w:rPr>
        <w:t>3</w:t>
      </w:r>
      <w:r>
        <w:rPr>
          <w:color w:val="000000"/>
          <w:spacing w:val="0"/>
          <w:w w:val="100"/>
          <w:position w:val="0"/>
        </w:rPr>
        <w:t>人因个人原因离职，不再满足成为激励对象的条件。根据公司《</w:t>
      </w:r>
      <w:r>
        <w:rPr>
          <w:color w:val="000000"/>
          <w:spacing w:val="0"/>
          <w:w w:val="100"/>
          <w:position w:val="0"/>
          <w:sz w:val="16"/>
          <w:szCs w:val="16"/>
        </w:rPr>
        <w:t>2017</w:t>
      </w:r>
      <w:r>
        <w:rPr>
          <w:color w:val="000000"/>
          <w:spacing w:val="0"/>
          <w:w w:val="100"/>
          <w:position w:val="0"/>
        </w:rPr>
        <w:t>年股票期权激励计划（草 案）》，需对激励对象人数和股票期权授予数量进行调整。经上述调整后，本次获授股票期权的激励对象由</w:t>
      </w:r>
      <w:r>
        <w:rPr>
          <w:color w:val="000000"/>
          <w:spacing w:val="0"/>
          <w:w w:val="100"/>
          <w:position w:val="0"/>
          <w:sz w:val="16"/>
          <w:szCs w:val="16"/>
        </w:rPr>
        <w:t>306</w:t>
      </w:r>
      <w:r>
        <w:rPr>
          <w:color w:val="000000"/>
          <w:spacing w:val="0"/>
          <w:w w:val="100"/>
          <w:position w:val="0"/>
        </w:rPr>
        <w:t>人调整为</w:t>
      </w:r>
      <w:r>
        <w:rPr>
          <w:color w:val="000000"/>
          <w:spacing w:val="0"/>
          <w:w w:val="100"/>
          <w:position w:val="0"/>
          <w:sz w:val="16"/>
          <w:szCs w:val="16"/>
        </w:rPr>
        <w:t xml:space="preserve">303 </w:t>
      </w:r>
      <w:r>
        <w:rPr>
          <w:color w:val="000000"/>
          <w:spacing w:val="0"/>
          <w:w w:val="100"/>
          <w:position w:val="0"/>
        </w:rPr>
        <w:t>人，授予股票期权由</w:t>
      </w:r>
      <w:r>
        <w:rPr>
          <w:color w:val="000000"/>
          <w:spacing w:val="0"/>
          <w:w w:val="100"/>
          <w:position w:val="0"/>
          <w:sz w:val="16"/>
          <w:szCs w:val="16"/>
        </w:rPr>
        <w:t>1729</w:t>
      </w:r>
      <w:r>
        <w:rPr>
          <w:color w:val="000000"/>
          <w:spacing w:val="0"/>
          <w:w w:val="100"/>
          <w:position w:val="0"/>
        </w:rPr>
        <w:t>万份调整为</w:t>
      </w:r>
      <w:r>
        <w:rPr>
          <w:color w:val="000000"/>
          <w:spacing w:val="0"/>
          <w:w w:val="100"/>
          <w:position w:val="0"/>
          <w:sz w:val="16"/>
          <w:szCs w:val="16"/>
        </w:rPr>
        <w:t>1718</w:t>
      </w:r>
      <w:r>
        <w:rPr>
          <w:color w:val="000000"/>
          <w:spacing w:val="0"/>
          <w:w w:val="100"/>
          <w:position w:val="0"/>
        </w:rPr>
        <w:t>万份，并计划以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25</w:t>
      </w:r>
      <w:r>
        <w:rPr>
          <w:color w:val="000000"/>
          <w:spacing w:val="0"/>
          <w:w w:val="100"/>
          <w:position w:val="0"/>
        </w:rPr>
        <w:t>日为授予日，授予</w:t>
      </w:r>
      <w:r>
        <w:rPr>
          <w:color w:val="000000"/>
          <w:spacing w:val="0"/>
          <w:w w:val="100"/>
          <w:position w:val="0"/>
          <w:sz w:val="16"/>
          <w:szCs w:val="16"/>
        </w:rPr>
        <w:t>303</w:t>
      </w:r>
      <w:r>
        <w:rPr>
          <w:color w:val="000000"/>
          <w:spacing w:val="0"/>
          <w:w w:val="100"/>
          <w:position w:val="0"/>
        </w:rPr>
        <w:t>名激励对象</w:t>
      </w:r>
      <w:r>
        <w:rPr>
          <w:color w:val="000000"/>
          <w:spacing w:val="0"/>
          <w:w w:val="100"/>
          <w:position w:val="0"/>
          <w:sz w:val="16"/>
          <w:szCs w:val="16"/>
        </w:rPr>
        <w:t>1718</w:t>
      </w:r>
      <w:r>
        <w:rPr>
          <w:color w:val="000000"/>
          <w:spacing w:val="0"/>
          <w:w w:val="100"/>
          <w:position w:val="0"/>
        </w:rPr>
        <w:t>万份股票期权， 行权价格为</w:t>
      </w:r>
      <w:r>
        <w:rPr>
          <w:color w:val="000000"/>
          <w:spacing w:val="0"/>
          <w:w w:val="100"/>
          <w:position w:val="0"/>
          <w:sz w:val="16"/>
          <w:szCs w:val="16"/>
        </w:rPr>
        <w:t xml:space="preserve">13. </w:t>
      </w:r>
      <w:r>
        <w:rPr>
          <w:color w:val="000000"/>
          <w:spacing w:val="0"/>
          <w:w w:val="100"/>
          <w:position w:val="0"/>
          <w:sz w:val="16"/>
          <w:szCs w:val="16"/>
        </w:rPr>
        <w:t>14</w:t>
      </w:r>
      <w:r>
        <w:rPr>
          <w:color w:val="000000"/>
          <w:spacing w:val="0"/>
          <w:w w:val="100"/>
          <w:position w:val="0"/>
        </w:rPr>
        <w:t>元。</w:t>
      </w:r>
    </w:p>
    <w:p>
      <w:pPr>
        <w:pStyle w:val="Style30"/>
        <w:keepNext w:val="0"/>
        <w:keepLines w:val="0"/>
        <w:widowControl w:val="0"/>
        <w:shd w:val="clear" w:color="auto" w:fill="auto"/>
        <w:tabs>
          <w:tab w:pos="318" w:val="left"/>
        </w:tabs>
        <w:bidi w:val="0"/>
        <w:spacing w:before="0" w:after="360" w:line="313" w:lineRule="exact"/>
        <w:ind w:left="0" w:right="0" w:firstLine="0"/>
        <w:jc w:val="both"/>
      </w:pPr>
      <w:bookmarkStart w:id="1998" w:name="bookmark1998"/>
      <w:r>
        <w:rPr>
          <w:color w:val="000000"/>
          <w:spacing w:val="0"/>
          <w:w w:val="100"/>
          <w:position w:val="0"/>
          <w:sz w:val="16"/>
          <w:szCs w:val="16"/>
        </w:rPr>
        <w:t>4</w:t>
      </w:r>
      <w:bookmarkEnd w:id="1998"/>
      <w:r>
        <w:rPr>
          <w:color w:val="000000"/>
          <w:spacing w:val="0"/>
          <w:w w:val="100"/>
          <w:position w:val="0"/>
        </w:rPr>
        <w:t>、</w:t>
        <w:tab/>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19</w:t>
      </w:r>
      <w:r>
        <w:rPr>
          <w:color w:val="000000"/>
          <w:spacing w:val="0"/>
          <w:w w:val="100"/>
          <w:position w:val="0"/>
        </w:rPr>
        <w:t>日，公司第三期股票期权激励计划经深圳证券交易所、中国证券登记结算有限责任公司深圳分公司审核确 认，银江股份有限公司（以下简称“公司”</w:t>
      </w:r>
      <w:r>
        <w:rPr>
          <w:color w:val="000000"/>
          <w:spacing w:val="0"/>
          <w:w w:val="100"/>
          <w:position w:val="0"/>
          <w:sz w:val="16"/>
          <w:szCs w:val="16"/>
        </w:rPr>
        <w:t>）</w:t>
      </w:r>
      <w:r>
        <w:rPr>
          <w:color w:val="000000"/>
          <w:spacing w:val="0"/>
          <w:w w:val="100"/>
          <w:position w:val="0"/>
        </w:rPr>
        <w:t>已完成《</w:t>
      </w:r>
      <w:r>
        <w:rPr>
          <w:color w:val="000000"/>
          <w:spacing w:val="0"/>
          <w:w w:val="100"/>
          <w:position w:val="0"/>
          <w:sz w:val="16"/>
          <w:szCs w:val="16"/>
        </w:rPr>
        <w:t>2017</w:t>
      </w:r>
      <w:r>
        <w:rPr>
          <w:color w:val="000000"/>
          <w:spacing w:val="0"/>
          <w:w w:val="100"/>
          <w:position w:val="0"/>
        </w:rPr>
        <w:t>年股票期权激励计划（草案）》股票期权的授予登记工作，期权 简称：银江</w:t>
      </w:r>
      <w:r>
        <w:rPr>
          <w:color w:val="000000"/>
          <w:spacing w:val="0"/>
          <w:w w:val="100"/>
          <w:position w:val="0"/>
          <w:sz w:val="16"/>
          <w:szCs w:val="16"/>
        </w:rPr>
        <w:t>JLC3</w:t>
      </w:r>
      <w:r>
        <w:rPr>
          <w:color w:val="000000"/>
          <w:spacing w:val="0"/>
          <w:w w:val="100"/>
          <w:position w:val="0"/>
        </w:rPr>
        <w:t>，期权代码:</w:t>
      </w:r>
      <w:r>
        <w:rPr>
          <w:color w:val="000000"/>
          <w:spacing w:val="0"/>
          <w:w w:val="100"/>
          <w:position w:val="0"/>
          <w:sz w:val="16"/>
          <w:szCs w:val="16"/>
        </w:rPr>
        <w:t>036262</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99"/>
      <w:bookmarkEnd w:id="2000"/>
      <w:bookmarkEnd w:id="200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3</w:t>
      </w:r>
      <w:bookmarkEnd w:id="2004"/>
      <w:r>
        <w:rPr>
          <w:color w:val="000000"/>
          <w:spacing w:val="0"/>
          <w:w w:val="100"/>
          <w:position w:val="0"/>
        </w:rPr>
        <w:t>、</w:t>
        <w:tab/>
        <w:t>以现金结算的股份支付情况</w:t>
      </w:r>
      <w:bookmarkEnd w:id="2002"/>
      <w:bookmarkEnd w:id="2003"/>
      <w:bookmarkEnd w:id="200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4</w:t>
      </w:r>
      <w:bookmarkEnd w:id="2008"/>
      <w:r>
        <w:rPr>
          <w:color w:val="000000"/>
          <w:spacing w:val="0"/>
          <w:w w:val="100"/>
          <w:position w:val="0"/>
        </w:rPr>
        <w:t>、</w:t>
        <w:tab/>
        <w:t>股份支付的修改、终止情况</w:t>
      </w:r>
      <w:bookmarkEnd w:id="2006"/>
      <w:bookmarkEnd w:id="2007"/>
      <w:bookmarkEnd w:id="2009"/>
    </w:p>
    <w:p>
      <w:pPr>
        <w:pStyle w:val="Style33"/>
        <w:keepNext/>
        <w:keepLines/>
        <w:widowControl w:val="0"/>
        <w:shd w:val="clear" w:color="auto" w:fill="auto"/>
        <w:tabs>
          <w:tab w:pos="378" w:val="left"/>
        </w:tabs>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5</w:t>
      </w:r>
      <w:bookmarkEnd w:id="2012"/>
      <w:r>
        <w:rPr>
          <w:color w:val="000000"/>
          <w:spacing w:val="0"/>
          <w:w w:val="100"/>
          <w:position w:val="0"/>
        </w:rPr>
        <w:t>、</w:t>
        <w:tab/>
        <w:t>其他</w:t>
      </w:r>
      <w:bookmarkEnd w:id="2010"/>
      <w:bookmarkEnd w:id="2011"/>
      <w:bookmarkEnd w:id="2013"/>
    </w:p>
    <w:p>
      <w:pPr>
        <w:pStyle w:val="Style28"/>
        <w:keepNext/>
        <w:keepLines/>
        <w:widowControl w:val="0"/>
        <w:shd w:val="clear" w:color="auto" w:fill="auto"/>
        <w:bidi w:val="0"/>
        <w:spacing w:before="0" w:after="380" w:line="240" w:lineRule="auto"/>
        <w:ind w:left="0" w:right="0" w:firstLine="0"/>
        <w:jc w:val="left"/>
      </w:pPr>
      <w:bookmarkStart w:id="2014" w:name="bookmark2014"/>
      <w:bookmarkStart w:id="2015" w:name="bookmark2015"/>
      <w:bookmarkStart w:id="2016" w:name="bookmark2016"/>
      <w:r>
        <w:rPr>
          <w:color w:val="000000"/>
          <w:spacing w:val="0"/>
          <w:w w:val="100"/>
          <w:position w:val="0"/>
        </w:rPr>
        <w:t>十四、承诺及或有事项</w:t>
      </w:r>
      <w:bookmarkEnd w:id="2014"/>
      <w:bookmarkEnd w:id="2015"/>
      <w:bookmarkEnd w:id="2016"/>
    </w:p>
    <w:p>
      <w:pPr>
        <w:pStyle w:val="Style33"/>
        <w:keepNext/>
        <w:keepLines/>
        <w:widowControl w:val="0"/>
        <w:shd w:val="clear" w:color="auto" w:fill="auto"/>
        <w:tabs>
          <w:tab w:pos="368" w:val="left"/>
        </w:tabs>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bookmarkEnd w:id="2019"/>
      <w:r>
        <w:rPr>
          <w:color w:val="000000"/>
          <w:spacing w:val="0"/>
          <w:w w:val="100"/>
          <w:position w:val="0"/>
        </w:rPr>
        <w:t>、</w:t>
        <w:tab/>
        <w:t>重要承诺事项</w:t>
      </w:r>
      <w:bookmarkEnd w:id="2017"/>
      <w:bookmarkEnd w:id="2018"/>
      <w:bookmarkEnd w:id="202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日，本集团无需要披露的重大承诺事项。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w:t>
        <w:tab/>
        <w:t>或有事项</w:t>
      </w:r>
      <w:bookmarkEnd w:id="2021"/>
      <w:bookmarkEnd w:id="2022"/>
      <w:bookmarkEnd w:id="2024"/>
    </w:p>
    <w:p>
      <w:pPr>
        <w:pStyle w:val="Style47"/>
        <w:keepNext/>
        <w:keepLines/>
        <w:widowControl w:val="0"/>
        <w:shd w:val="clear" w:color="auto" w:fill="auto"/>
        <w:tabs>
          <w:tab w:pos="493"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25"/>
      <w:bookmarkEnd w:id="2026"/>
      <w:bookmarkEnd w:id="202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日，本集团无需要披露的重大或有事项。</w:t>
      </w:r>
    </w:p>
    <w:p>
      <w:pPr>
        <w:pStyle w:val="Style47"/>
        <w:keepNext/>
        <w:keepLines/>
        <w:widowControl w:val="0"/>
        <w:shd w:val="clear" w:color="auto" w:fill="auto"/>
        <w:tabs>
          <w:tab w:pos="493" w:val="left"/>
        </w:tabs>
        <w:bidi w:val="0"/>
        <w:spacing w:before="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29"/>
      <w:bookmarkEnd w:id="2030"/>
      <w:bookmarkEnd w:id="203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3</w:t>
      </w:r>
      <w:bookmarkEnd w:id="2035"/>
      <w:r>
        <w:rPr>
          <w:color w:val="000000"/>
          <w:spacing w:val="0"/>
          <w:w w:val="100"/>
          <w:position w:val="0"/>
        </w:rPr>
        <w:t>、</w:t>
        <w:tab/>
        <w:t>其他</w:t>
      </w:r>
      <w:bookmarkEnd w:id="2033"/>
      <w:bookmarkEnd w:id="2034"/>
      <w:bookmarkEnd w:id="2036"/>
    </w:p>
    <w:p>
      <w:pPr>
        <w:pStyle w:val="Style28"/>
        <w:keepNext/>
        <w:keepLines/>
        <w:widowControl w:val="0"/>
        <w:shd w:val="clear" w:color="auto" w:fill="auto"/>
        <w:bidi w:val="0"/>
        <w:spacing w:before="0" w:after="380" w:line="240" w:lineRule="auto"/>
        <w:ind w:left="0" w:right="0" w:firstLine="0"/>
        <w:jc w:val="left"/>
      </w:pPr>
      <w:bookmarkStart w:id="2037" w:name="bookmark2037"/>
      <w:bookmarkStart w:id="2038" w:name="bookmark2038"/>
      <w:bookmarkStart w:id="2039" w:name="bookmark2039"/>
      <w:r>
        <w:rPr>
          <w:color w:val="000000"/>
          <w:spacing w:val="0"/>
          <w:w w:val="100"/>
          <w:position w:val="0"/>
        </w:rPr>
        <w:t>十五、资产负债表日后事项</w:t>
      </w:r>
      <w:bookmarkEnd w:id="2037"/>
      <w:bookmarkEnd w:id="2038"/>
      <w:bookmarkEnd w:id="2039"/>
    </w:p>
    <w:p>
      <w:pPr>
        <w:pStyle w:val="Style33"/>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40"/>
      <w:bookmarkEnd w:id="2041"/>
      <w:bookmarkEnd w:id="2042"/>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3322"/>
        <w:gridCol w:w="1363"/>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对财务状况和经 营成果的影响数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r>
        <w:trPr>
          <w:trHeight w:val="539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审议通过《关于延长非公开发行股票股东 大会决议有效期及授权董事会有效期的议 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年第一次临时股东大会，审议通过了《关 于公司符合非公开发行股票条件的议案》、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年度非公开发行股票方 案的议案》、《关于公司非公开发行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 票预案的议案》、《关于提请股东大会授权 董事会全权办理本次非公开发行股票相关 事宜的议案》等与非公开发行股票相关的 议案。鉴于公司本次非公开发行股票的股 东大会决议有效期及授权有效期已到期， 为确保本次非公开发行股票的顺利推进， 公司董事会拟将上述决议的有效期和相关 授权有效期自原股东大会决议有效期届满 之日起延长十二个月，即有效期延长至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公司提醒财务报表使用者关 注本次非公开发行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 相关的决议通过及披露事项 不代表审批机关对本次非公 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股股票相关事项的 实质性判断、确认或批准，本 次非公开发行股票事宜尚存 在较大不确定性，对公司未来 财务状况、经营成果和现金流 量的影响数尚无法合理估计。</w:t>
            </w:r>
          </w:p>
        </w:tc>
      </w:tr>
      <w:tr>
        <w:trPr>
          <w:trHeight w:val="290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日，公司召开第五届董事 会第九次会议，审议通过《关于授权公司 管理层适时出售金融资产的议案》，在符合 相关法律法规的前提下，择机出售香港银 江持有亿邦国际的股票，授权事项包括但 不限于交易方式、交易时机、交易价格、 签署相关文件等。截止报告披露日，亿邦 国际的最新收盘价为</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美元，较资产负 债表日</w:t>
            </w:r>
            <w:r>
              <w:rPr>
                <w:rFonts w:ascii="Times New Roman" w:eastAsia="Times New Roman" w:hAnsi="Times New Roman" w:cs="Times New Roman"/>
                <w:color w:val="000000"/>
                <w:spacing w:val="0"/>
                <w:w w:val="100"/>
                <w:position w:val="0"/>
                <w:sz w:val="18"/>
                <w:szCs w:val="18"/>
              </w:rPr>
              <w:t>6.07</w:t>
            </w:r>
            <w:r>
              <w:rPr>
                <w:color w:val="000000"/>
                <w:spacing w:val="0"/>
                <w:w w:val="100"/>
                <w:position w:val="0"/>
              </w:rPr>
              <w:t>美元有所下降。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43"/>
      <w:bookmarkEnd w:id="2044"/>
      <w:bookmarkEnd w:id="2045"/>
    </w:p>
    <w:p>
      <w:pPr>
        <w:pStyle w:val="Style33"/>
        <w:keepNext/>
        <w:keepLines/>
        <w:widowControl w:val="0"/>
        <w:shd w:val="clear" w:color="auto" w:fill="auto"/>
        <w:tabs>
          <w:tab w:pos="378"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3</w:t>
      </w:r>
      <w:bookmarkEnd w:id="2048"/>
      <w:r>
        <w:rPr>
          <w:color w:val="000000"/>
          <w:spacing w:val="0"/>
          <w:w w:val="100"/>
          <w:position w:val="0"/>
        </w:rPr>
        <w:t>、</w:t>
        <w:tab/>
        <w:t>销售退回</w:t>
      </w:r>
      <w:bookmarkEnd w:id="2046"/>
      <w:bookmarkEnd w:id="2047"/>
      <w:bookmarkEnd w:id="2049"/>
    </w:p>
    <w:p>
      <w:pPr>
        <w:pStyle w:val="Style33"/>
        <w:keepNext/>
        <w:keepLines/>
        <w:widowControl w:val="0"/>
        <w:shd w:val="clear" w:color="auto" w:fill="auto"/>
        <w:tabs>
          <w:tab w:pos="378"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w:t>
        <w:tab/>
        <w:t>其他资产负债表日后事项说明</w:t>
      </w:r>
      <w:bookmarkEnd w:id="2050"/>
      <w:bookmarkEnd w:id="2051"/>
      <w:bookmarkEnd w:id="2053"/>
    </w:p>
    <w:p>
      <w:pPr>
        <w:pStyle w:val="Style28"/>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r>
        <w:rPr>
          <w:color w:val="000000"/>
          <w:spacing w:val="0"/>
          <w:w w:val="100"/>
          <w:position w:val="0"/>
        </w:rPr>
        <w:t>十六、其他重要事项</w:t>
      </w:r>
      <w:bookmarkEnd w:id="2054"/>
      <w:bookmarkEnd w:id="2055"/>
      <w:bookmarkEnd w:id="2056"/>
    </w:p>
    <w:p>
      <w:pPr>
        <w:pStyle w:val="Style33"/>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57"/>
      <w:bookmarkEnd w:id="2058"/>
      <w:bookmarkEnd w:id="2059"/>
    </w:p>
    <w:p>
      <w:pPr>
        <w:pStyle w:val="Style47"/>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60"/>
      <w:bookmarkEnd w:id="2061"/>
      <w:bookmarkEnd w:id="20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410"/>
        <w:gridCol w:w="1560"/>
        <w:gridCol w:w="135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受影响的各个比较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line="1" w:lineRule="exact"/>
      </w:pPr>
      <w:r>
        <w:br w:type="page"/>
      </w:r>
    </w:p>
    <w:tbl>
      <w:tblPr>
        <w:tblOverlap w:val="never"/>
        <w:jc w:val="center"/>
        <w:tblLayout w:type="fixed"/>
      </w:tblPr>
      <w:tblGrid>
        <w:gridCol w:w="4262"/>
        <w:gridCol w:w="2410"/>
        <w:gridCol w:w="1560"/>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期间报表项目名称</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198,812,527.69</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-26,127,834.90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-15,961,239.98</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1,806,024.20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157,096,165.10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4,144,303.35</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-12,264,084.99</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955,309.35</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8,597,784.20</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-10,425,253.50</w:t>
            </w:r>
          </w:p>
        </w:tc>
      </w:tr>
    </w:tbl>
    <w:p>
      <w:pPr>
        <w:widowControl w:val="0"/>
        <w:spacing w:line="1" w:lineRule="exact"/>
      </w:pPr>
      <w:r>
        <w:br w:type="page"/>
      </w:r>
    </w:p>
    <w:tbl>
      <w:tblPr>
        <w:tblOverlap w:val="never"/>
        <w:jc w:val="center"/>
        <w:tblLayout w:type="fixed"/>
      </w:tblPr>
      <w:tblGrid>
        <w:gridCol w:w="4262"/>
        <w:gridCol w:w="2410"/>
        <w:gridCol w:w="1560"/>
        <w:gridCol w:w="1354"/>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-21,550,317.00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-9,236,242.71</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-19,663,546.74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1,847,111.14</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购买商品、接受劳 务支付的现金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-133,224,000.00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收到其他与投资活 动有关的现金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843,350,000.00</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年股票期权激励计划涉及的股份支付金额更正、 关联方资金占用事项的更正、对联营企业杭州银江智 慧产业创业投资合伙企业（有限合伙）投资后续计量 金额的更正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 的董事会作出决议批准，对上 述三项会计差错进行追溯调整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支付其他与投资活 动有关的现金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976,574,000.00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63" w:name="bookmark2063"/>
      <w:bookmarkStart w:id="2064" w:name="bookmark2064"/>
      <w:bookmarkStart w:id="2065" w:name="bookmark2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63"/>
      <w:bookmarkEnd w:id="2064"/>
      <w:bookmarkEnd w:id="2065"/>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79" w:bottom="1508"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120" w:line="240" w:lineRule="auto"/>
        <w:ind w:left="0" w:right="0" w:firstLine="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2</w:t>
      </w:r>
      <w:bookmarkEnd w:id="2068"/>
      <w:r>
        <w:rPr>
          <w:color w:val="000000"/>
          <w:spacing w:val="0"/>
          <w:w w:val="100"/>
          <w:position w:val="0"/>
        </w:rPr>
        <w:t>、</w:t>
        <w:tab/>
        <w:t>债务重组</w:t>
      </w:r>
      <w:bookmarkEnd w:id="2066"/>
      <w:bookmarkEnd w:id="2067"/>
      <w:bookmarkEnd w:id="2069"/>
    </w:p>
    <w:p>
      <w:pPr>
        <w:pStyle w:val="Style33"/>
        <w:keepNext/>
        <w:keepLines/>
        <w:widowControl w:val="0"/>
        <w:shd w:val="clear" w:color="auto" w:fill="auto"/>
        <w:tabs>
          <w:tab w:pos="378" w:val="left"/>
        </w:tabs>
        <w:bidi w:val="0"/>
        <w:spacing w:before="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3</w:t>
      </w:r>
      <w:bookmarkEnd w:id="2072"/>
      <w:r>
        <w:rPr>
          <w:color w:val="000000"/>
          <w:spacing w:val="0"/>
          <w:w w:val="100"/>
          <w:position w:val="0"/>
        </w:rPr>
        <w:t>、</w:t>
        <w:tab/>
        <w:t>资产置换</w:t>
      </w:r>
      <w:bookmarkEnd w:id="2070"/>
      <w:bookmarkEnd w:id="2071"/>
      <w:bookmarkEnd w:id="2073"/>
    </w:p>
    <w:p>
      <w:pPr>
        <w:pStyle w:val="Style47"/>
        <w:keepNext/>
        <w:keepLines/>
        <w:widowControl w:val="0"/>
        <w:shd w:val="clear" w:color="auto" w:fill="auto"/>
        <w:tabs>
          <w:tab w:pos="493" w:val="left"/>
        </w:tabs>
        <w:bidi w:val="0"/>
        <w:spacing w:before="0" w:after="360" w:line="240" w:lineRule="auto"/>
        <w:ind w:left="0" w:right="0" w:firstLine="0"/>
        <w:jc w:val="both"/>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74"/>
      <w:bookmarkEnd w:id="2075"/>
      <w:bookmarkEnd w:id="2077"/>
    </w:p>
    <w:p>
      <w:pPr>
        <w:pStyle w:val="Style47"/>
        <w:keepNext/>
        <w:keepLines/>
        <w:widowControl w:val="0"/>
        <w:shd w:val="clear" w:color="auto" w:fill="auto"/>
        <w:tabs>
          <w:tab w:pos="493" w:val="left"/>
        </w:tabs>
        <w:bidi w:val="0"/>
        <w:spacing w:before="0" w:after="360" w:line="240" w:lineRule="auto"/>
        <w:ind w:left="0" w:right="0" w:firstLine="0"/>
        <w:jc w:val="both"/>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78"/>
      <w:bookmarkEnd w:id="2079"/>
      <w:bookmarkEnd w:id="2081"/>
    </w:p>
    <w:p>
      <w:pPr>
        <w:pStyle w:val="Style33"/>
        <w:keepNext/>
        <w:keepLines/>
        <w:widowControl w:val="0"/>
        <w:shd w:val="clear" w:color="auto" w:fill="auto"/>
        <w:tabs>
          <w:tab w:pos="378" w:val="left"/>
        </w:tabs>
        <w:bidi w:val="0"/>
        <w:spacing w:before="0" w:line="240" w:lineRule="auto"/>
        <w:ind w:left="0" w:right="0" w:firstLine="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color w:val="000000"/>
          <w:spacing w:val="0"/>
          <w:w w:val="100"/>
          <w:position w:val="0"/>
        </w:rPr>
        <w:t>、</w:t>
        <w:tab/>
        <w:t>年金计划</w:t>
      </w:r>
      <w:bookmarkEnd w:id="2082"/>
      <w:bookmarkEnd w:id="2083"/>
      <w:bookmarkEnd w:id="2085"/>
    </w:p>
    <w:p>
      <w:pPr>
        <w:pStyle w:val="Style33"/>
        <w:keepNext/>
        <w:keepLines/>
        <w:widowControl w:val="0"/>
        <w:shd w:val="clear" w:color="auto" w:fill="auto"/>
        <w:tabs>
          <w:tab w:pos="378" w:val="left"/>
        </w:tabs>
        <w:bidi w:val="0"/>
        <w:spacing w:before="0" w:after="26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5</w:t>
      </w:r>
      <w:bookmarkEnd w:id="2088"/>
      <w:r>
        <w:rPr>
          <w:color w:val="000000"/>
          <w:spacing w:val="0"/>
          <w:w w:val="100"/>
          <w:position w:val="0"/>
        </w:rPr>
        <w:t>、</w:t>
        <w:tab/>
        <w:t>终止经营</w:t>
      </w:r>
      <w:bookmarkEnd w:id="2086"/>
      <w:bookmarkEnd w:id="2087"/>
      <w:bookmarkEnd w:id="2089"/>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6</w:t>
      </w:r>
      <w:bookmarkEnd w:id="2092"/>
      <w:r>
        <w:rPr>
          <w:color w:val="000000"/>
          <w:spacing w:val="0"/>
          <w:w w:val="100"/>
          <w:position w:val="0"/>
        </w:rPr>
        <w:t>、</w:t>
        <w:tab/>
        <w:t>分部信息</w:t>
      </w:r>
      <w:bookmarkEnd w:id="2090"/>
      <w:bookmarkEnd w:id="2091"/>
      <w:bookmarkEnd w:id="2093"/>
    </w:p>
    <w:p>
      <w:pPr>
        <w:pStyle w:val="Style47"/>
        <w:keepNext/>
        <w:keepLines/>
        <w:widowControl w:val="0"/>
        <w:shd w:val="clear" w:color="auto" w:fill="auto"/>
        <w:tabs>
          <w:tab w:pos="493" w:val="left"/>
        </w:tabs>
        <w:bidi w:val="0"/>
        <w:spacing w:before="0" w:after="360" w:line="240" w:lineRule="auto"/>
        <w:ind w:left="0" w:right="0" w:firstLine="0"/>
        <w:jc w:val="both"/>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94"/>
      <w:bookmarkEnd w:id="2095"/>
      <w:bookmarkEnd w:id="2097"/>
    </w:p>
    <w:p>
      <w:pPr>
        <w:pStyle w:val="Style47"/>
        <w:keepNext/>
        <w:keepLines/>
        <w:widowControl w:val="0"/>
        <w:shd w:val="clear" w:color="auto" w:fill="auto"/>
        <w:tabs>
          <w:tab w:pos="493" w:val="left"/>
        </w:tabs>
        <w:bidi w:val="0"/>
        <w:spacing w:before="0" w:after="360" w:line="240" w:lineRule="auto"/>
        <w:ind w:left="0" w:right="0" w:firstLine="0"/>
        <w:jc w:val="both"/>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98"/>
      <w:bookmarkEnd w:id="2099"/>
      <w:bookmarkEnd w:id="2101"/>
    </w:p>
    <w:p>
      <w:pPr>
        <w:pStyle w:val="Style47"/>
        <w:keepNext/>
        <w:keepLines/>
        <w:widowControl w:val="0"/>
        <w:shd w:val="clear" w:color="auto" w:fill="auto"/>
        <w:tabs>
          <w:tab w:pos="493" w:val="left"/>
        </w:tabs>
        <w:bidi w:val="0"/>
        <w:spacing w:before="0" w:after="360" w:line="240" w:lineRule="auto"/>
        <w:ind w:left="0" w:right="0" w:firstLine="0"/>
        <w:jc w:val="both"/>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02"/>
      <w:bookmarkEnd w:id="2103"/>
      <w:bookmarkEnd w:id="2105"/>
    </w:p>
    <w:p>
      <w:pPr>
        <w:pStyle w:val="Style47"/>
        <w:keepNext/>
        <w:keepLines/>
        <w:widowControl w:val="0"/>
        <w:shd w:val="clear" w:color="auto" w:fill="auto"/>
        <w:tabs>
          <w:tab w:pos="493" w:val="left"/>
        </w:tabs>
        <w:bidi w:val="0"/>
        <w:spacing w:before="0" w:after="360" w:line="240" w:lineRule="auto"/>
        <w:ind w:left="0" w:right="0" w:firstLine="0"/>
        <w:jc w:val="both"/>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06"/>
      <w:bookmarkEnd w:id="2107"/>
      <w:bookmarkEnd w:id="2109"/>
    </w:p>
    <w:p>
      <w:pPr>
        <w:pStyle w:val="Style33"/>
        <w:keepNext/>
        <w:keepLines/>
        <w:widowControl w:val="0"/>
        <w:shd w:val="clear" w:color="auto" w:fill="auto"/>
        <w:tabs>
          <w:tab w:pos="373" w:val="left"/>
        </w:tabs>
        <w:bidi w:val="0"/>
        <w:spacing w:before="0" w:line="240" w:lineRule="auto"/>
        <w:ind w:left="0" w:right="0" w:firstLine="0"/>
        <w:jc w:val="both"/>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7</w:t>
      </w:r>
      <w:bookmarkEnd w:id="2112"/>
      <w:r>
        <w:rPr>
          <w:color w:val="000000"/>
          <w:spacing w:val="0"/>
          <w:w w:val="100"/>
          <w:position w:val="0"/>
        </w:rPr>
        <w:t>、</w:t>
        <w:tab/>
        <w:t>其他对投资者决策有影响的重要交易和事项</w:t>
      </w:r>
      <w:bookmarkEnd w:id="2110"/>
      <w:bookmarkEnd w:id="2111"/>
      <w:bookmarkEnd w:id="2113"/>
    </w:p>
    <w:p>
      <w:pPr>
        <w:pStyle w:val="Style33"/>
        <w:keepNext/>
        <w:keepLines/>
        <w:widowControl w:val="0"/>
        <w:shd w:val="clear" w:color="auto" w:fill="auto"/>
        <w:tabs>
          <w:tab w:pos="378" w:val="left"/>
        </w:tabs>
        <w:bidi w:val="0"/>
        <w:spacing w:before="0" w:after="260" w:line="240" w:lineRule="auto"/>
        <w:ind w:left="0" w:right="0" w:firstLine="0"/>
        <w:jc w:val="both"/>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8</w:t>
      </w:r>
      <w:bookmarkEnd w:id="2116"/>
      <w:r>
        <w:rPr>
          <w:color w:val="000000"/>
          <w:spacing w:val="0"/>
          <w:w w:val="100"/>
          <w:position w:val="0"/>
        </w:rPr>
        <w:t>、</w:t>
        <w:tab/>
        <w:t>其他</w:t>
      </w:r>
      <w:bookmarkEnd w:id="2114"/>
      <w:bookmarkEnd w:id="2115"/>
      <w:bookmarkEnd w:id="2117"/>
    </w:p>
    <w:p>
      <w:pPr>
        <w:pStyle w:val="Style30"/>
        <w:keepNext w:val="0"/>
        <w:keepLines w:val="0"/>
        <w:widowControl w:val="0"/>
        <w:shd w:val="clear" w:color="auto" w:fill="auto"/>
        <w:tabs>
          <w:tab w:pos="541" w:val="left"/>
        </w:tabs>
        <w:bidi w:val="0"/>
        <w:spacing w:before="0" w:after="0" w:line="312" w:lineRule="exact"/>
        <w:ind w:left="0" w:right="0" w:firstLine="0"/>
        <w:jc w:val="both"/>
      </w:pPr>
      <w:bookmarkStart w:id="2118" w:name="bookmark2118"/>
      <w:r>
        <w:rPr>
          <w:color w:val="000000"/>
          <w:spacing w:val="0"/>
          <w:w w:val="100"/>
          <w:position w:val="0"/>
          <w:sz w:val="16"/>
          <w:szCs w:val="16"/>
        </w:rPr>
        <w:t>（</w:t>
      </w:r>
      <w:bookmarkEnd w:id="2118"/>
      <w:r>
        <w:rPr>
          <w:color w:val="000000"/>
          <w:spacing w:val="0"/>
          <w:w w:val="100"/>
          <w:position w:val="0"/>
          <w:sz w:val="16"/>
          <w:szCs w:val="16"/>
        </w:rPr>
        <w:t>1）</w:t>
        <w:tab/>
      </w:r>
      <w:r>
        <w:rPr>
          <w:color w:val="000000"/>
          <w:spacing w:val="0"/>
          <w:w w:val="100"/>
          <w:position w:val="0"/>
        </w:rPr>
        <w:t>截至本财务报表批准报出日，控股股东银江科技集团有限公司（以下简称“银江科技集团”）共持有公司股份</w:t>
      </w:r>
      <w:r>
        <w:rPr>
          <w:color w:val="000000"/>
          <w:spacing w:val="0"/>
          <w:w w:val="100"/>
          <w:position w:val="0"/>
          <w:sz w:val="16"/>
          <w:szCs w:val="16"/>
        </w:rPr>
        <w:t xml:space="preserve">120,599,500 </w:t>
      </w:r>
      <w:r>
        <w:rPr>
          <w:color w:val="000000"/>
          <w:spacing w:val="0"/>
          <w:w w:val="100"/>
          <w:position w:val="0"/>
        </w:rPr>
        <w:t>股，占公司股份总数的</w:t>
      </w:r>
      <w:r>
        <w:rPr>
          <w:color w:val="000000"/>
          <w:spacing w:val="0"/>
          <w:w w:val="100"/>
          <w:position w:val="0"/>
          <w:sz w:val="16"/>
          <w:szCs w:val="16"/>
        </w:rPr>
        <w:t>18.39%；</w:t>
      </w:r>
      <w:r>
        <w:rPr>
          <w:color w:val="000000"/>
          <w:spacing w:val="0"/>
          <w:w w:val="100"/>
          <w:position w:val="0"/>
        </w:rPr>
        <w:t>银江科技集团所持有上市公司股份累计已质押</w:t>
      </w:r>
      <w:r>
        <w:rPr>
          <w:color w:val="000000"/>
          <w:spacing w:val="0"/>
          <w:w w:val="100"/>
          <w:position w:val="0"/>
          <w:sz w:val="16"/>
          <w:szCs w:val="16"/>
        </w:rPr>
        <w:t>91,500, 000</w:t>
      </w:r>
      <w:r>
        <w:rPr>
          <w:color w:val="000000"/>
          <w:spacing w:val="0"/>
          <w:w w:val="100"/>
          <w:position w:val="0"/>
        </w:rPr>
        <w:t>股，占公司股份总数的</w:t>
      </w:r>
      <w:r>
        <w:rPr>
          <w:color w:val="000000"/>
          <w:spacing w:val="0"/>
          <w:w w:val="100"/>
          <w:position w:val="0"/>
          <w:sz w:val="16"/>
          <w:szCs w:val="16"/>
        </w:rPr>
        <w:t>13.95%</w:t>
      </w:r>
      <w:r>
        <w:rPr>
          <w:color w:val="000000"/>
          <w:spacing w:val="0"/>
          <w:w w:val="100"/>
          <w:position w:val="0"/>
        </w:rPr>
        <w:t>，占 其所持有公司股份的</w:t>
      </w:r>
      <w:r>
        <w:rPr>
          <w:color w:val="000000"/>
          <w:spacing w:val="0"/>
          <w:w w:val="100"/>
          <w:position w:val="0"/>
          <w:sz w:val="16"/>
          <w:szCs w:val="16"/>
        </w:rPr>
        <w:t xml:space="preserve">75. </w:t>
      </w:r>
      <w:r>
        <w:rPr>
          <w:color w:val="000000"/>
          <w:spacing w:val="0"/>
          <w:w w:val="100"/>
          <w:position w:val="0"/>
          <w:sz w:val="16"/>
          <w:szCs w:val="16"/>
        </w:rPr>
        <w:t>87%</w:t>
      </w:r>
      <w:r>
        <w:rPr>
          <w:color w:val="000000"/>
          <w:spacing w:val="0"/>
          <w:w w:val="100"/>
          <w:position w:val="0"/>
        </w:rPr>
        <w:t>。</w:t>
      </w:r>
    </w:p>
    <w:p>
      <w:pPr>
        <w:pStyle w:val="Style30"/>
        <w:keepNext w:val="0"/>
        <w:keepLines w:val="0"/>
        <w:widowControl w:val="0"/>
        <w:shd w:val="clear" w:color="auto" w:fill="auto"/>
        <w:tabs>
          <w:tab w:pos="541" w:val="left"/>
        </w:tabs>
        <w:bidi w:val="0"/>
        <w:spacing w:before="0" w:after="0" w:line="312" w:lineRule="exact"/>
        <w:ind w:left="0" w:right="0" w:firstLine="0"/>
        <w:jc w:val="both"/>
      </w:pPr>
      <w:bookmarkStart w:id="2119" w:name="bookmark2119"/>
      <w:r>
        <w:rPr>
          <w:color w:val="000000"/>
          <w:spacing w:val="0"/>
          <w:w w:val="100"/>
          <w:position w:val="0"/>
          <w:sz w:val="16"/>
          <w:szCs w:val="16"/>
        </w:rPr>
        <w:t>（</w:t>
      </w:r>
      <w:bookmarkEnd w:id="2119"/>
      <w:r>
        <w:rPr>
          <w:color w:val="000000"/>
          <w:spacing w:val="0"/>
          <w:w w:val="100"/>
          <w:position w:val="0"/>
          <w:sz w:val="16"/>
          <w:szCs w:val="16"/>
        </w:rPr>
        <w:t>2）</w:t>
        <w:tab/>
        <w:t>2018</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月，公司收到浙江省杭州市中级人民法院发出的《执行裁定书》</w:t>
      </w:r>
      <w:r>
        <w:rPr>
          <w:color w:val="000000"/>
          <w:spacing w:val="0"/>
          <w:w w:val="100"/>
          <w:position w:val="0"/>
          <w:sz w:val="16"/>
          <w:szCs w:val="16"/>
        </w:rPr>
        <w:t>（（2016</w:t>
      </w:r>
      <w:r>
        <w:rPr>
          <w:color w:val="000000"/>
          <w:spacing w:val="0"/>
          <w:w w:val="100"/>
          <w:position w:val="0"/>
        </w:rPr>
        <w:t>）浙</w:t>
      </w:r>
      <w:r>
        <w:rPr>
          <w:color w:val="000000"/>
          <w:spacing w:val="0"/>
          <w:w w:val="100"/>
          <w:position w:val="0"/>
          <w:sz w:val="16"/>
          <w:szCs w:val="16"/>
        </w:rPr>
        <w:t>01</w:t>
      </w:r>
      <w:r>
        <w:rPr>
          <w:color w:val="000000"/>
          <w:spacing w:val="0"/>
          <w:w w:val="100"/>
          <w:position w:val="0"/>
        </w:rPr>
        <w:t>执</w:t>
      </w:r>
      <w:r>
        <w:rPr>
          <w:color w:val="000000"/>
          <w:spacing w:val="0"/>
          <w:w w:val="100"/>
          <w:position w:val="0"/>
          <w:sz w:val="16"/>
          <w:szCs w:val="16"/>
        </w:rPr>
        <w:t>306</w:t>
      </w:r>
      <w:r>
        <w:rPr>
          <w:color w:val="000000"/>
          <w:spacing w:val="0"/>
          <w:w w:val="100"/>
          <w:position w:val="0"/>
        </w:rPr>
        <w:t>、</w:t>
      </w:r>
      <w:r>
        <w:rPr>
          <w:color w:val="000000"/>
          <w:spacing w:val="0"/>
          <w:w w:val="100"/>
          <w:position w:val="0"/>
          <w:sz w:val="16"/>
          <w:szCs w:val="16"/>
        </w:rPr>
        <w:t>307</w:t>
      </w:r>
      <w:r>
        <w:rPr>
          <w:color w:val="000000"/>
          <w:spacing w:val="0"/>
          <w:w w:val="100"/>
          <w:position w:val="0"/>
        </w:rPr>
        <w:t>、</w:t>
      </w:r>
      <w:r>
        <w:rPr>
          <w:color w:val="000000"/>
          <w:spacing w:val="0"/>
          <w:w w:val="100"/>
          <w:position w:val="0"/>
          <w:sz w:val="16"/>
          <w:szCs w:val="16"/>
        </w:rPr>
        <w:t>308</w:t>
      </w:r>
      <w:r>
        <w:rPr>
          <w:color w:val="000000"/>
          <w:spacing w:val="0"/>
          <w:w w:val="100"/>
          <w:position w:val="0"/>
        </w:rPr>
        <w:t>号之一）</w:t>
      </w:r>
      <w:r>
        <w:rPr>
          <w:i/>
          <w:iCs/>
          <w:color w:val="000000"/>
          <w:spacing w:val="0"/>
          <w:w w:val="100"/>
          <w:position w:val="0"/>
          <w:sz w:val="19"/>
          <w:szCs w:val="19"/>
        </w:rPr>
        <w:t>，</w:t>
      </w:r>
      <w:r>
        <w:rPr>
          <w:rFonts w:ascii="Times New Roman" w:eastAsia="Times New Roman" w:hAnsi="Times New Roman" w:cs="Times New Roman"/>
          <w:i/>
          <w:iCs/>
          <w:color w:val="000000"/>
          <w:spacing w:val="0"/>
          <w:w w:val="100"/>
          <w:position w:val="0"/>
          <w:sz w:val="18"/>
          <w:szCs w:val="18"/>
        </w:rPr>
        <w:t xml:space="preserve"> </w:t>
      </w:r>
      <w:r>
        <w:rPr>
          <w:color w:val="000000"/>
          <w:spacing w:val="0"/>
          <w:w w:val="100"/>
          <w:position w:val="0"/>
        </w:rPr>
        <w:t>个人股东李欣所持本公司</w:t>
      </w:r>
      <w:r>
        <w:rPr>
          <w:color w:val="000000"/>
          <w:spacing w:val="0"/>
          <w:w w:val="100"/>
          <w:position w:val="0"/>
          <w:sz w:val="16"/>
          <w:szCs w:val="16"/>
        </w:rPr>
        <w:t>27, 813, 840</w:t>
      </w:r>
      <w:r>
        <w:rPr>
          <w:color w:val="000000"/>
          <w:spacing w:val="0"/>
          <w:w w:val="100"/>
          <w:position w:val="0"/>
        </w:rPr>
        <w:t>股股份已划转至浙江浙商证券资产管理有限公司名下，公司无法通过回购股份收回业绩 补偿款，公司已于</w:t>
      </w:r>
      <w:r>
        <w:rPr>
          <w:color w:val="000000"/>
          <w:spacing w:val="0"/>
          <w:w w:val="100"/>
          <w:position w:val="0"/>
          <w:sz w:val="16"/>
          <w:szCs w:val="16"/>
        </w:rPr>
        <w:t>2018</w:t>
      </w:r>
      <w:r>
        <w:rPr>
          <w:color w:val="000000"/>
          <w:spacing w:val="0"/>
          <w:w w:val="100"/>
          <w:position w:val="0"/>
        </w:rPr>
        <w:t>年度将</w:t>
      </w:r>
      <w:r>
        <w:rPr>
          <w:color w:val="000000"/>
          <w:spacing w:val="0"/>
          <w:w w:val="100"/>
          <w:position w:val="0"/>
          <w:sz w:val="16"/>
          <w:szCs w:val="16"/>
        </w:rPr>
        <w:t xml:space="preserve">243, 449, </w:t>
      </w:r>
      <w:r>
        <w:rPr>
          <w:color w:val="000000"/>
          <w:spacing w:val="0"/>
          <w:w w:val="100"/>
          <w:position w:val="0"/>
          <w:sz w:val="16"/>
          <w:szCs w:val="16"/>
        </w:rPr>
        <w:t xml:space="preserve">494. </w:t>
      </w:r>
      <w:r>
        <w:rPr>
          <w:color w:val="000000"/>
          <w:spacing w:val="0"/>
          <w:w w:val="100"/>
          <w:position w:val="0"/>
          <w:sz w:val="16"/>
          <w:szCs w:val="16"/>
        </w:rPr>
        <w:t>50</w:t>
      </w:r>
      <w:r>
        <w:rPr>
          <w:color w:val="000000"/>
          <w:spacing w:val="0"/>
          <w:w w:val="100"/>
          <w:position w:val="0"/>
        </w:rPr>
        <w:t>元转入其他应收款科目。截至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日，业绩补偿款余额为 </w:t>
      </w:r>
      <w:r>
        <w:rPr>
          <w:color w:val="000000"/>
          <w:spacing w:val="0"/>
          <w:w w:val="100"/>
          <w:position w:val="0"/>
          <w:sz w:val="16"/>
          <w:szCs w:val="16"/>
        </w:rPr>
        <w:t xml:space="preserve">232,796, </w:t>
      </w:r>
      <w:r>
        <w:rPr>
          <w:color w:val="000000"/>
          <w:spacing w:val="0"/>
          <w:w w:val="100"/>
          <w:position w:val="0"/>
          <w:sz w:val="16"/>
          <w:szCs w:val="16"/>
        </w:rPr>
        <w:t>486.19</w:t>
      </w:r>
      <w:r>
        <w:rPr>
          <w:color w:val="000000"/>
          <w:spacing w:val="0"/>
          <w:w w:val="100"/>
          <w:position w:val="0"/>
        </w:rPr>
        <w:t>元，剩余款项收回可能性较低，公司已经对该笔业绩补偿款全额计提了坏账准备。</w:t>
      </w:r>
    </w:p>
    <w:p>
      <w:pPr>
        <w:pStyle w:val="Style30"/>
        <w:keepNext w:val="0"/>
        <w:keepLines w:val="0"/>
        <w:widowControl w:val="0"/>
        <w:shd w:val="clear" w:color="auto" w:fill="auto"/>
        <w:tabs>
          <w:tab w:pos="541" w:val="left"/>
        </w:tabs>
        <w:bidi w:val="0"/>
        <w:spacing w:before="0" w:after="0" w:line="312" w:lineRule="exact"/>
        <w:ind w:left="0" w:right="0" w:firstLine="0"/>
        <w:jc w:val="both"/>
      </w:pPr>
      <w:bookmarkStart w:id="2120" w:name="bookmark2120"/>
      <w:r>
        <w:rPr>
          <w:color w:val="000000"/>
          <w:spacing w:val="0"/>
          <w:w w:val="100"/>
          <w:position w:val="0"/>
          <w:sz w:val="16"/>
          <w:szCs w:val="16"/>
        </w:rPr>
        <w:t>（</w:t>
      </w:r>
      <w:bookmarkEnd w:id="2120"/>
      <w:r>
        <w:rPr>
          <w:color w:val="000000"/>
          <w:spacing w:val="0"/>
          <w:w w:val="100"/>
          <w:position w:val="0"/>
          <w:sz w:val="16"/>
          <w:szCs w:val="16"/>
        </w:rPr>
        <w:t>3）</w:t>
        <w:tab/>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月，公司与刘云平、北京欧迈特科技股份有限公司、湖南欧迈特网络科技有限公司达成和解协议：刘云平同意 以股权受让的方式回购本公司持有的北京欧迈特科技股份有限公司和湖南欧迈特网络科技有限公司</w:t>
      </w:r>
      <w:r>
        <w:rPr>
          <w:color w:val="000000"/>
          <w:spacing w:val="0"/>
          <w:w w:val="100"/>
          <w:position w:val="0"/>
          <w:sz w:val="16"/>
          <w:szCs w:val="16"/>
        </w:rPr>
        <w:t>15%</w:t>
      </w:r>
      <w:r>
        <w:rPr>
          <w:color w:val="000000"/>
          <w:spacing w:val="0"/>
          <w:w w:val="100"/>
          <w:position w:val="0"/>
        </w:rPr>
        <w:t>的股份，回购总价值 为</w:t>
      </w:r>
      <w:r>
        <w:rPr>
          <w:color w:val="000000"/>
          <w:spacing w:val="0"/>
          <w:w w:val="100"/>
          <w:position w:val="0"/>
          <w:sz w:val="16"/>
          <w:szCs w:val="16"/>
        </w:rPr>
        <w:t>2000</w:t>
      </w:r>
      <w:r>
        <w:rPr>
          <w:color w:val="000000"/>
          <w:spacing w:val="0"/>
          <w:w w:val="100"/>
          <w:position w:val="0"/>
        </w:rPr>
        <w:t>万元人民币。其中：</w:t>
      </w:r>
      <w:r>
        <w:rPr>
          <w:color w:val="000000"/>
          <w:spacing w:val="0"/>
          <w:w w:val="100"/>
          <w:position w:val="0"/>
          <w:sz w:val="16"/>
          <w:szCs w:val="16"/>
        </w:rPr>
        <w:t>1）</w:t>
      </w:r>
      <w:r>
        <w:rPr>
          <w:color w:val="000000"/>
          <w:spacing w:val="0"/>
          <w:w w:val="100"/>
          <w:position w:val="0"/>
        </w:rPr>
        <w:t>刘云平应在</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日前支付</w:t>
      </w:r>
      <w:r>
        <w:rPr>
          <w:color w:val="000000"/>
          <w:spacing w:val="0"/>
          <w:w w:val="100"/>
          <w:position w:val="0"/>
          <w:sz w:val="16"/>
          <w:szCs w:val="16"/>
        </w:rPr>
        <w:t>800</w:t>
      </w:r>
      <w:r>
        <w:rPr>
          <w:color w:val="000000"/>
          <w:spacing w:val="0"/>
          <w:w w:val="100"/>
          <w:position w:val="0"/>
        </w:rPr>
        <w:t>万元人民币，截至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日，公司共收到</w:t>
      </w:r>
      <w:r>
        <w:rPr>
          <w:color w:val="000000"/>
          <w:spacing w:val="0"/>
          <w:w w:val="100"/>
          <w:position w:val="0"/>
          <w:sz w:val="16"/>
          <w:szCs w:val="16"/>
        </w:rPr>
        <w:t>700</w:t>
      </w:r>
      <w:r>
        <w:rPr>
          <w:color w:val="000000"/>
          <w:spacing w:val="0"/>
          <w:w w:val="100"/>
          <w:position w:val="0"/>
        </w:rPr>
        <w:t>万 元，尚有</w:t>
      </w:r>
      <w:r>
        <w:rPr>
          <w:color w:val="000000"/>
          <w:spacing w:val="0"/>
          <w:w w:val="100"/>
          <w:position w:val="0"/>
          <w:sz w:val="16"/>
          <w:szCs w:val="16"/>
        </w:rPr>
        <w:t>100</w:t>
      </w:r>
      <w:r>
        <w:rPr>
          <w:color w:val="000000"/>
          <w:spacing w:val="0"/>
          <w:w w:val="100"/>
          <w:position w:val="0"/>
        </w:rPr>
        <w:t>万元未收回；</w:t>
      </w:r>
      <w:r>
        <w:rPr>
          <w:color w:val="000000"/>
          <w:spacing w:val="0"/>
          <w:w w:val="100"/>
          <w:position w:val="0"/>
          <w:sz w:val="16"/>
          <w:szCs w:val="16"/>
        </w:rPr>
        <w:t>2）</w:t>
      </w:r>
      <w:r>
        <w:rPr>
          <w:color w:val="000000"/>
          <w:spacing w:val="0"/>
          <w:w w:val="100"/>
          <w:position w:val="0"/>
        </w:rPr>
        <w:t>回购价款中剩余及以市场价值</w:t>
      </w:r>
      <w:r>
        <w:rPr>
          <w:color w:val="000000"/>
          <w:spacing w:val="0"/>
          <w:w w:val="100"/>
          <w:position w:val="0"/>
          <w:sz w:val="16"/>
          <w:szCs w:val="16"/>
        </w:rPr>
        <w:t>1200</w:t>
      </w:r>
      <w:r>
        <w:rPr>
          <w:color w:val="000000"/>
          <w:spacing w:val="0"/>
          <w:w w:val="100"/>
          <w:position w:val="0"/>
        </w:rPr>
        <w:t>万元特定设备通过“以物抵债”的方式作为回购对价，对应 期间为</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2026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8</w:t>
      </w:r>
      <w:r>
        <w:rPr>
          <w:color w:val="000000"/>
          <w:spacing w:val="0"/>
          <w:w w:val="100"/>
          <w:position w:val="0"/>
        </w:rPr>
        <w:t>日，截至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日，公司尚未采购。</w:t>
      </w:r>
    </w:p>
    <w:p>
      <w:pPr>
        <w:pStyle w:val="Style30"/>
        <w:keepNext w:val="0"/>
        <w:keepLines w:val="0"/>
        <w:widowControl w:val="0"/>
        <w:shd w:val="clear" w:color="auto" w:fill="auto"/>
        <w:tabs>
          <w:tab w:pos="445" w:val="left"/>
        </w:tabs>
        <w:bidi w:val="0"/>
        <w:spacing w:before="0" w:after="0" w:line="312" w:lineRule="exact"/>
        <w:ind w:left="0" w:right="0" w:firstLine="0"/>
        <w:jc w:val="both"/>
      </w:pPr>
      <w:bookmarkStart w:id="2121" w:name="bookmark2121"/>
      <w:r>
        <w:rPr>
          <w:color w:val="000000"/>
          <w:spacing w:val="0"/>
          <w:w w:val="100"/>
          <w:position w:val="0"/>
          <w:sz w:val="16"/>
          <w:szCs w:val="16"/>
        </w:rPr>
        <w:t>（</w:t>
      </w:r>
      <w:bookmarkEnd w:id="2121"/>
      <w:r>
        <w:rPr>
          <w:color w:val="000000"/>
          <w:spacing w:val="0"/>
          <w:w w:val="100"/>
          <w:position w:val="0"/>
          <w:sz w:val="16"/>
          <w:szCs w:val="16"/>
        </w:rPr>
        <w:t>4）</w:t>
        <w:tab/>
      </w:r>
      <w:r>
        <w:rPr>
          <w:color w:val="000000"/>
          <w:spacing w:val="0"/>
          <w:w w:val="100"/>
          <w:position w:val="0"/>
        </w:rPr>
        <w:t>本公司从智谷创业园有限公司分两次购买房产：</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5</w:t>
      </w:r>
      <w:r>
        <w:rPr>
          <w:color w:val="000000"/>
          <w:spacing w:val="0"/>
          <w:w w:val="100"/>
          <w:position w:val="0"/>
        </w:rPr>
        <w:t>日签署了《中国智谷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富春园区预转让协议》购买其所拥有</w:t>
      </w:r>
    </w:p>
    <w:p>
      <w:pPr>
        <w:pStyle w:val="Style30"/>
        <w:keepNext w:val="0"/>
        <w:keepLines w:val="0"/>
        <w:widowControl w:val="0"/>
        <w:shd w:val="clear" w:color="auto" w:fill="auto"/>
        <w:tabs>
          <w:tab w:pos="2437" w:val="left"/>
        </w:tabs>
        <w:bidi w:val="0"/>
        <w:spacing w:before="0" w:after="380" w:line="312" w:lineRule="exact"/>
        <w:ind w:left="0" w:right="0" w:firstLine="0"/>
        <w:jc w:val="both"/>
      </w:pPr>
      <w:r>
        <w:rPr>
          <w:color w:val="000000"/>
          <w:spacing w:val="0"/>
          <w:w w:val="100"/>
          <w:position w:val="0"/>
        </w:rPr>
        <w:t>的杭州市富阳区受降镇银湖村中国智谷富春园区</w:t>
      </w:r>
      <w:r>
        <w:rPr>
          <w:color w:val="000000"/>
          <w:spacing w:val="0"/>
          <w:w w:val="100"/>
          <w:position w:val="0"/>
          <w:sz w:val="16"/>
          <w:szCs w:val="16"/>
        </w:rPr>
        <w:t xml:space="preserve">11A14# </w:t>
      </w:r>
      <w:r>
        <w:rPr>
          <w:color w:val="000000"/>
          <w:spacing w:val="0"/>
          <w:w w:val="100"/>
          <w:position w:val="0"/>
          <w:sz w:val="16"/>
          <w:szCs w:val="16"/>
        </w:rPr>
        <w:t>（</w:t>
      </w:r>
      <w:r>
        <w:rPr>
          <w:color w:val="000000"/>
          <w:spacing w:val="0"/>
          <w:w w:val="100"/>
          <w:position w:val="0"/>
        </w:rPr>
        <w:t>共四幢）工业房地产，建筑总面积</w:t>
      </w:r>
      <w:r>
        <w:rPr>
          <w:color w:val="000000"/>
          <w:spacing w:val="0"/>
          <w:w w:val="100"/>
          <w:position w:val="0"/>
          <w:sz w:val="16"/>
          <w:szCs w:val="16"/>
        </w:rPr>
        <w:t>43,661.0</w:t>
      </w:r>
      <w:r>
        <w:rPr>
          <w:color w:val="000000"/>
          <w:spacing w:val="0"/>
          <w:w w:val="100"/>
          <w:position w:val="0"/>
          <w:sz w:val="16"/>
          <w:szCs w:val="16"/>
        </w:rPr>
        <w:t>0</w:t>
      </w:r>
      <w:r>
        <w:rPr>
          <w:color w:val="000000"/>
          <w:spacing w:val="0"/>
          <w:w w:val="100"/>
          <w:position w:val="0"/>
        </w:rPr>
        <w:t>平方米，其中地上建 筑面积</w:t>
      </w:r>
      <w:r>
        <w:rPr>
          <w:color w:val="000000"/>
          <w:spacing w:val="0"/>
          <w:w w:val="100"/>
          <w:position w:val="0"/>
          <w:sz w:val="16"/>
          <w:szCs w:val="16"/>
        </w:rPr>
        <w:t>35,794.32</w:t>
      </w:r>
      <w:r>
        <w:rPr>
          <w:color w:val="000000"/>
          <w:spacing w:val="0"/>
          <w:w w:val="100"/>
          <w:position w:val="0"/>
        </w:rPr>
        <w:t>平方米，地下建筑面积</w:t>
      </w:r>
      <w:r>
        <w:rPr>
          <w:color w:val="000000"/>
          <w:spacing w:val="0"/>
          <w:w w:val="100"/>
          <w:position w:val="0"/>
          <w:sz w:val="16"/>
          <w:szCs w:val="16"/>
        </w:rPr>
        <w:t>7,866.68</w:t>
      </w:r>
      <w:r>
        <w:rPr>
          <w:color w:val="000000"/>
          <w:spacing w:val="0"/>
          <w:w w:val="100"/>
          <w:position w:val="0"/>
        </w:rPr>
        <w:t>平方米，经评估认定价格为</w:t>
      </w:r>
      <w:r>
        <w:rPr>
          <w:color w:val="000000"/>
          <w:spacing w:val="0"/>
          <w:w w:val="100"/>
          <w:position w:val="0"/>
          <w:sz w:val="16"/>
          <w:szCs w:val="16"/>
        </w:rPr>
        <w:t>327,160,084.80</w:t>
      </w:r>
      <w:r>
        <w:rPr>
          <w:color w:val="000000"/>
          <w:spacing w:val="0"/>
          <w:w w:val="100"/>
          <w:position w:val="0"/>
        </w:rPr>
        <w:t xml:space="preserve">元，合同约定转让总价款计 </w:t>
      </w:r>
      <w:r>
        <w:rPr>
          <w:color w:val="000000"/>
          <w:spacing w:val="0"/>
          <w:w w:val="100"/>
          <w:position w:val="0"/>
          <w:sz w:val="16"/>
          <w:szCs w:val="16"/>
        </w:rPr>
        <w:t>32,000.0</w:t>
      </w:r>
      <w:r>
        <w:rPr>
          <w:color w:val="000000"/>
          <w:spacing w:val="0"/>
          <w:w w:val="100"/>
          <w:position w:val="0"/>
          <w:sz w:val="16"/>
          <w:szCs w:val="16"/>
        </w:rPr>
        <w:t>0</w:t>
      </w:r>
      <w:r>
        <w:rPr>
          <w:color w:val="000000"/>
          <w:spacing w:val="0"/>
          <w:w w:val="100"/>
          <w:position w:val="0"/>
        </w:rPr>
        <w:t>万元；</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日签署了《中国智谷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富春园区预转让协议》</w:t>
      </w:r>
      <w:r>
        <w:rPr>
          <w:color w:val="000000"/>
          <w:spacing w:val="0"/>
          <w:w w:val="100"/>
          <w:position w:val="0"/>
          <w:sz w:val="16"/>
          <w:szCs w:val="16"/>
        </w:rPr>
        <w:t>，</w:t>
      </w:r>
      <w:r>
        <w:rPr>
          <w:color w:val="000000"/>
          <w:spacing w:val="0"/>
          <w:w w:val="100"/>
          <w:position w:val="0"/>
        </w:rPr>
        <w:t>购买其所拥有的杭州市富阳区银湖街道九龙大 道中国智谷•富春园区</w:t>
      </w:r>
      <w:r>
        <w:rPr>
          <w:color w:val="000000"/>
          <w:spacing w:val="0"/>
          <w:w w:val="100"/>
          <w:position w:val="0"/>
          <w:sz w:val="16"/>
          <w:szCs w:val="16"/>
        </w:rPr>
        <w:t>A1-A2</w:t>
        <w:tab/>
      </w:r>
      <w:r>
        <w:rPr>
          <w:color w:val="000000"/>
          <w:spacing w:val="0"/>
          <w:w w:val="100"/>
          <w:position w:val="0"/>
        </w:rPr>
        <w:t>（共两幢）工业房地产，建筑总面积</w:t>
      </w:r>
      <w:r>
        <w:rPr>
          <w:color w:val="000000"/>
          <w:spacing w:val="0"/>
          <w:w w:val="100"/>
          <w:position w:val="0"/>
          <w:sz w:val="16"/>
          <w:szCs w:val="16"/>
        </w:rPr>
        <w:t xml:space="preserve">44, </w:t>
      </w:r>
      <w:r>
        <w:rPr>
          <w:color w:val="000000"/>
          <w:spacing w:val="0"/>
          <w:w w:val="100"/>
          <w:position w:val="0"/>
          <w:sz w:val="16"/>
          <w:szCs w:val="16"/>
        </w:rPr>
        <w:t xml:space="preserve">234. </w:t>
      </w:r>
      <w:r>
        <w:rPr>
          <w:color w:val="000000"/>
          <w:spacing w:val="0"/>
          <w:w w:val="100"/>
          <w:position w:val="0"/>
          <w:sz w:val="16"/>
          <w:szCs w:val="16"/>
        </w:rPr>
        <w:t>30</w:t>
      </w:r>
      <w:r>
        <w:rPr>
          <w:color w:val="000000"/>
          <w:spacing w:val="0"/>
          <w:w w:val="100"/>
          <w:position w:val="0"/>
        </w:rPr>
        <w:t>平方米，其中地上建筑面积</w:t>
      </w:r>
      <w:r>
        <w:rPr>
          <w:color w:val="000000"/>
          <w:spacing w:val="0"/>
          <w:w w:val="100"/>
          <w:position w:val="0"/>
          <w:sz w:val="16"/>
          <w:szCs w:val="16"/>
        </w:rPr>
        <w:t>31,249.0</w:t>
      </w:r>
      <w:r>
        <w:rPr>
          <w:color w:val="000000"/>
          <w:spacing w:val="0"/>
          <w:w w:val="100"/>
          <w:position w:val="0"/>
          <w:sz w:val="16"/>
          <w:szCs w:val="16"/>
        </w:rPr>
        <w:t>0</w:t>
      </w:r>
      <w:r>
        <w:rPr>
          <w:color w:val="000000"/>
          <w:spacing w:val="0"/>
          <w:w w:val="100"/>
          <w:position w:val="0"/>
        </w:rPr>
        <w:t>平方米，</w:t>
        <w:br w:type="page"/>
      </w:r>
      <w:r>
        <w:rPr>
          <w:color w:val="000000"/>
          <w:spacing w:val="0"/>
          <w:w w:val="100"/>
          <w:position w:val="0"/>
        </w:rPr>
        <w:t>地下建筑面积</w:t>
      </w:r>
      <w:r>
        <w:rPr>
          <w:color w:val="000000"/>
          <w:spacing w:val="0"/>
          <w:w w:val="100"/>
          <w:position w:val="0"/>
          <w:sz w:val="16"/>
          <w:szCs w:val="16"/>
        </w:rPr>
        <w:t xml:space="preserve">12, </w:t>
      </w:r>
      <w:r>
        <w:rPr>
          <w:color w:val="000000"/>
          <w:spacing w:val="0"/>
          <w:w w:val="100"/>
          <w:position w:val="0"/>
          <w:sz w:val="16"/>
          <w:szCs w:val="16"/>
        </w:rPr>
        <w:t xml:space="preserve">985. </w:t>
      </w:r>
      <w:r>
        <w:rPr>
          <w:color w:val="000000"/>
          <w:spacing w:val="0"/>
          <w:w w:val="100"/>
          <w:position w:val="0"/>
          <w:sz w:val="16"/>
          <w:szCs w:val="16"/>
        </w:rPr>
        <w:t>30</w:t>
      </w:r>
      <w:r>
        <w:rPr>
          <w:color w:val="000000"/>
          <w:spacing w:val="0"/>
          <w:w w:val="100"/>
          <w:position w:val="0"/>
        </w:rPr>
        <w:t>平方米</w:t>
      </w:r>
      <w:r>
        <w:rPr>
          <w:color w:val="000000"/>
          <w:spacing w:val="0"/>
          <w:w w:val="100"/>
          <w:position w:val="0"/>
          <w:sz w:val="18"/>
          <w:szCs w:val="18"/>
        </w:rPr>
        <w:t>，</w:t>
      </w:r>
      <w:r>
        <w:rPr>
          <w:color w:val="000000"/>
          <w:spacing w:val="0"/>
          <w:w w:val="100"/>
          <w:position w:val="0"/>
        </w:rPr>
        <w:t>经评估认定价格为</w:t>
      </w:r>
      <w:r>
        <w:rPr>
          <w:color w:val="000000"/>
          <w:spacing w:val="0"/>
          <w:w w:val="100"/>
          <w:position w:val="0"/>
          <w:sz w:val="16"/>
          <w:szCs w:val="16"/>
        </w:rPr>
        <w:t xml:space="preserve">38, </w:t>
      </w:r>
      <w:r>
        <w:rPr>
          <w:color w:val="000000"/>
          <w:spacing w:val="0"/>
          <w:w w:val="100"/>
          <w:position w:val="0"/>
          <w:sz w:val="16"/>
          <w:szCs w:val="16"/>
        </w:rPr>
        <w:t xml:space="preserve">213. </w:t>
      </w:r>
      <w:r>
        <w:rPr>
          <w:color w:val="000000"/>
          <w:spacing w:val="0"/>
          <w:w w:val="100"/>
          <w:position w:val="0"/>
          <w:sz w:val="16"/>
          <w:szCs w:val="16"/>
        </w:rPr>
        <w:t>02</w:t>
      </w:r>
      <w:r>
        <w:rPr>
          <w:color w:val="000000"/>
          <w:spacing w:val="0"/>
          <w:w w:val="100"/>
          <w:position w:val="0"/>
        </w:rPr>
        <w:t>万元，合同约定转让总价款计</w:t>
      </w:r>
      <w:r>
        <w:rPr>
          <w:color w:val="000000"/>
          <w:spacing w:val="0"/>
          <w:w w:val="100"/>
          <w:position w:val="0"/>
          <w:sz w:val="16"/>
          <w:szCs w:val="16"/>
        </w:rPr>
        <w:t>3.63</w:t>
      </w:r>
      <w:r>
        <w:rPr>
          <w:color w:val="000000"/>
          <w:spacing w:val="0"/>
          <w:w w:val="100"/>
          <w:position w:val="0"/>
        </w:rPr>
        <w:t>亿元。截止报告日，相关房 产权证尚未办理完结。</w:t>
      </w:r>
    </w:p>
    <w:p>
      <w:pPr>
        <w:pStyle w:val="Style28"/>
        <w:keepNext/>
        <w:keepLines/>
        <w:widowControl w:val="0"/>
        <w:shd w:val="clear" w:color="auto" w:fill="auto"/>
        <w:bidi w:val="0"/>
        <w:spacing w:before="0" w:after="380" w:line="240" w:lineRule="auto"/>
        <w:ind w:left="0" w:right="0" w:firstLine="0"/>
        <w:jc w:val="left"/>
      </w:pPr>
      <w:bookmarkStart w:id="2122" w:name="bookmark2122"/>
      <w:bookmarkStart w:id="2123" w:name="bookmark2123"/>
      <w:bookmarkStart w:id="2124" w:name="bookmark2124"/>
      <w:r>
        <w:rPr>
          <w:color w:val="000000"/>
          <w:spacing w:val="0"/>
          <w:w w:val="100"/>
          <w:position w:val="0"/>
        </w:rPr>
        <w:t>十七、母公司财务报表主要项目注释</w:t>
      </w:r>
      <w:bookmarkEnd w:id="2122"/>
      <w:bookmarkEnd w:id="2123"/>
      <w:bookmarkEnd w:id="2124"/>
    </w:p>
    <w:p>
      <w:pPr>
        <w:pStyle w:val="Style33"/>
        <w:keepNext/>
        <w:keepLines/>
        <w:widowControl w:val="0"/>
        <w:shd w:val="clear" w:color="auto" w:fill="auto"/>
        <w:bidi w:val="0"/>
        <w:spacing w:before="0" w:after="380" w:line="240" w:lineRule="auto"/>
        <w:ind w:left="0" w:right="0" w:firstLine="0"/>
        <w:jc w:val="left"/>
      </w:pPr>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5"/>
      <w:bookmarkEnd w:id="2126"/>
      <w:bookmarkEnd w:id="2127"/>
    </w:p>
    <w:p>
      <w:pPr>
        <w:pStyle w:val="Style47"/>
        <w:keepNext/>
        <w:keepLines/>
        <w:widowControl w:val="0"/>
        <w:shd w:val="clear" w:color="auto" w:fill="auto"/>
        <w:bidi w:val="0"/>
        <w:spacing w:before="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8"/>
      <w:bookmarkEnd w:id="2129"/>
      <w:bookmarkEnd w:id="21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1,915,49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1,636,598</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1,689,573</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279,259,1</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1,410,314,5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1,892,54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1,613,656</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1,689,573</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279,259,1</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1,410,314,5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22,941,9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22,941,95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1,915,49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0,141.77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278,891,</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863.22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1,636,598</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1,689,573</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279,259,1</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1,410,314,5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1,056,893,132.58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52,844,656.63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420,007,471.32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42,000,747.14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253,096,802.51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50,619,360.49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25,122,280.29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12,561,140.15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33,125,080.83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16,562,540.42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104,303,418.37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104,303,418.37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1,892,548,185.90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278,891,863.20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组合中，按账龄分析法组合计提坏账准备的应收账款</w:t>
      </w:r>
    </w:p>
    <w:p>
      <w:pPr>
        <w:pStyle w:val="Style30"/>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1,061,496,608.57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420,205,951.20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271,236,802.51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162,550,779.49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25,122,280.29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33,125,080.83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104,303,418.37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1,915,490,141.77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1"/>
      <w:bookmarkEnd w:id="2132"/>
      <w:bookmarkEnd w:id="2133"/>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279,259,188.21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-367,325.01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278,891,863.20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279,259,188.21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-367,325.01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278,891,863.20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34"/>
      <w:bookmarkEnd w:id="2135"/>
      <w:bookmarkEnd w:id="213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38"/>
      <w:bookmarkEnd w:id="2139"/>
      <w:bookmarkEnd w:id="2141"/>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40,570,849.77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2,028,542.49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37,996,911.51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2,608,594.63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31,720,516.42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1,874,705.56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29,527,948.55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1,476,397.43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275,666,226.25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42"/>
      <w:bookmarkEnd w:id="2143"/>
      <w:bookmarkEnd w:id="2145"/>
    </w:p>
    <w:p>
      <w:pPr>
        <w:pStyle w:val="Style47"/>
        <w:keepNext/>
        <w:keepLines/>
        <w:widowControl w:val="0"/>
        <w:shd w:val="clear" w:color="auto" w:fill="auto"/>
        <w:tabs>
          <w:tab w:pos="493" w:val="left"/>
        </w:tabs>
        <w:bidi w:val="0"/>
        <w:spacing w:before="0" w:after="360" w:line="240" w:lineRule="auto"/>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6"/>
      <w:bookmarkEnd w:id="2147"/>
      <w:bookmarkEnd w:id="2149"/>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50"/>
      <w:bookmarkEnd w:id="2151"/>
      <w:bookmarkEnd w:id="21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526,894,286.31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546,187,446.07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526,894,286.31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546,187,446.07</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53"/>
      <w:bookmarkEnd w:id="2154"/>
      <w:bookmarkEnd w:id="2156"/>
    </w:p>
    <w:p>
      <w:pPr>
        <w:pStyle w:val="Style65"/>
        <w:keepNext/>
        <w:keepLines/>
        <w:widowControl w:val="0"/>
        <w:shd w:val="clear" w:color="auto" w:fill="auto"/>
        <w:tabs>
          <w:tab w:pos="382" w:val="left"/>
        </w:tabs>
        <w:bidi w:val="0"/>
        <w:spacing w:before="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1</w:t>
      </w:r>
      <w:bookmarkEnd w:id="2159"/>
      <w:r>
        <w:rPr>
          <w:color w:val="000000"/>
          <w:spacing w:val="0"/>
          <w:w w:val="100"/>
          <w:position w:val="0"/>
        </w:rPr>
        <w:t>）</w:t>
        <w:tab/>
        <w:t>应收利息分类</w:t>
      </w:r>
      <w:bookmarkEnd w:id="2157"/>
      <w:bookmarkEnd w:id="2158"/>
      <w:bookmarkEnd w:id="216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bookmarkEnd w:id="2163"/>
      <w:r>
        <w:rPr>
          <w:color w:val="000000"/>
          <w:spacing w:val="0"/>
          <w:w w:val="100"/>
          <w:position w:val="0"/>
        </w:rPr>
        <w:t>）</w:t>
        <w:tab/>
        <w:t>重要逾期利息</w:t>
      </w:r>
      <w:bookmarkEnd w:id="2161"/>
      <w:bookmarkEnd w:id="2162"/>
      <w:bookmarkEnd w:id="216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3</w:t>
      </w:r>
      <w:bookmarkEnd w:id="2167"/>
      <w:r>
        <w:rPr>
          <w:color w:val="000000"/>
          <w:spacing w:val="0"/>
          <w:w w:val="100"/>
          <w:position w:val="0"/>
        </w:rPr>
        <w:t>）</w:t>
        <w:tab/>
        <w:t>坏账准备计提情况</w:t>
      </w:r>
      <w:bookmarkEnd w:id="2165"/>
      <w:bookmarkEnd w:id="2166"/>
      <w:bookmarkEnd w:id="2168"/>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both"/>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69"/>
      <w:bookmarkEnd w:id="2170"/>
      <w:bookmarkEnd w:id="2172"/>
    </w:p>
    <w:p>
      <w:pPr>
        <w:pStyle w:val="Style65"/>
        <w:keepNext/>
        <w:keepLines/>
        <w:widowControl w:val="0"/>
        <w:shd w:val="clear" w:color="auto" w:fill="auto"/>
        <w:bidi w:val="0"/>
        <w:spacing w:before="0" w:line="240" w:lineRule="auto"/>
        <w:ind w:left="0" w:right="0" w:firstLine="0"/>
        <w:jc w:val="both"/>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73"/>
      <w:bookmarkEnd w:id="2174"/>
      <w:bookmarkEnd w:id="217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after="38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bookmarkEnd w:id="217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76"/>
      <w:bookmarkEnd w:id="2177"/>
      <w:bookmarkEnd w:id="217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after="38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w:t>
        <w:tab/>
        <w:t>坏账准备计提情况</w:t>
      </w:r>
      <w:bookmarkEnd w:id="2180"/>
      <w:bookmarkEnd w:id="2181"/>
      <w:bookmarkEnd w:id="218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bookmarkStart w:id="2187" w:name="bookmark2187"/>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84"/>
      <w:bookmarkEnd w:id="2185"/>
      <w:bookmarkEnd w:id="2187"/>
    </w:p>
    <w:p>
      <w:pPr>
        <w:pStyle w:val="Style65"/>
        <w:keepNext/>
        <w:keepLines/>
        <w:widowControl w:val="0"/>
        <w:shd w:val="clear" w:color="auto" w:fill="auto"/>
        <w:bidi w:val="0"/>
        <w:spacing w:before="0" w:after="380" w:line="240"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88"/>
      <w:bookmarkEnd w:id="2189"/>
      <w:bookmarkEnd w:id="219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264,238,022.84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420,620,569.54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301,914,449.60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126,569,901.55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129,766,074.85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20,270,281.08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3,709,721.43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210,852,689.00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3,300,899.35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833,705,724.33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882,340,320.42</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91"/>
      <w:bookmarkEnd w:id="2192"/>
      <w:bookmarkEnd w:id="219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103,070,288.92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336,152,874.35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-29,341,436.33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-29,341,436.33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73,728,852.59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233,082,585.43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306,811,438.02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323,936,826.24</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47,678,969.00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342,990,073.68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119,099,855.41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51,931,955.66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20,958,071.48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46,209,828.27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833,705,724.33</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3</w:t>
      </w:r>
      <w:bookmarkEnd w:id="2196"/>
      <w:r>
        <w:rPr>
          <w:color w:val="000000"/>
          <w:spacing w:val="0"/>
          <w:w w:val="100"/>
          <w:position w:val="0"/>
        </w:rPr>
        <w:t>）本期计提、收回或转回的坏账准备情况</w:t>
      </w:r>
      <w:bookmarkEnd w:id="2194"/>
      <w:bookmarkEnd w:id="2195"/>
      <w:bookmarkEnd w:id="21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233,082,585.</w:t>
            </w:r>
          </w:p>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233,082,585.43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103,070,288.</w:t>
            </w:r>
          </w:p>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-29,341,436.33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73,728,852.59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336,152,874.</w:t>
            </w:r>
          </w:p>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-29,341,436.33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306,811,438.02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5"/>
        <w:keepNext/>
        <w:keepLines/>
        <w:widowControl w:val="0"/>
        <w:shd w:val="clear" w:color="auto" w:fill="auto"/>
        <w:tabs>
          <w:tab w:pos="392" w:val="left"/>
        </w:tabs>
        <w:bidi w:val="0"/>
        <w:spacing w:before="0" w:after="38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4</w:t>
      </w:r>
      <w:bookmarkEnd w:id="2200"/>
      <w:r>
        <w:rPr>
          <w:color w:val="000000"/>
          <w:spacing w:val="0"/>
          <w:w w:val="100"/>
          <w:position w:val="0"/>
        </w:rPr>
        <w:t>）</w:t>
        <w:tab/>
        <w:t>本期实际核销的其他应收款情况</w:t>
      </w:r>
      <w:bookmarkEnd w:id="2198"/>
      <w:bookmarkEnd w:id="2199"/>
      <w:bookmarkEnd w:id="220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92" w:val="left"/>
        </w:tabs>
        <w:bidi w:val="0"/>
        <w:spacing w:before="0" w:after="38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5</w:t>
      </w:r>
      <w:bookmarkEnd w:id="2204"/>
      <w:r>
        <w:rPr>
          <w:color w:val="000000"/>
          <w:spacing w:val="0"/>
          <w:w w:val="100"/>
          <w:position w:val="0"/>
        </w:rPr>
        <w:t>）</w:t>
        <w:tab/>
        <w:t>按欠款方归集的期末余额前五名的其他应收款情况</w:t>
      </w:r>
      <w:bookmarkEnd w:id="2202"/>
      <w:bookmarkEnd w:id="2203"/>
      <w:bookmarkEnd w:id="220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9"/>
        <w:gridCol w:w="1133"/>
        <w:gridCol w:w="1243"/>
        <w:gridCol w:w="1550"/>
        <w:gridCol w:w="1618"/>
        <w:gridCol w:w="162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232,796,486.19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232,796,486.19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杭州银江智慧城市技术集团有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124,829,174.88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92,284,160.00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60,000,000.00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133"/>
        <w:gridCol w:w="1243"/>
        <w:gridCol w:w="1550"/>
        <w:gridCol w:w="1618"/>
        <w:gridCol w:w="162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32,284,160.00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浙江银江智慧交通集团有限公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85,550,894.44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西安银江智慧城市技术有限公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15,602,890.95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1,759,243.00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13,843,647.95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551,063,606.46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232,796,486.19</w:t>
            </w:r>
          </w:p>
        </w:tc>
      </w:tr>
    </w:tbl>
    <w:p>
      <w:pPr>
        <w:widowControl w:val="0"/>
        <w:spacing w:after="359" w:line="1" w:lineRule="exact"/>
      </w:pPr>
    </w:p>
    <w:p>
      <w:pPr>
        <w:pStyle w:val="Style65"/>
        <w:keepNext/>
        <w:keepLines/>
        <w:widowControl w:val="0"/>
        <w:shd w:val="clear" w:color="auto" w:fill="auto"/>
        <w:tabs>
          <w:tab w:pos="392" w:val="left"/>
        </w:tabs>
        <w:bidi w:val="0"/>
        <w:spacing w:before="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6</w:t>
      </w:r>
      <w:bookmarkEnd w:id="2208"/>
      <w:r>
        <w:rPr>
          <w:color w:val="000000"/>
          <w:spacing w:val="0"/>
          <w:w w:val="100"/>
          <w:position w:val="0"/>
        </w:rPr>
        <w:t>）</w:t>
        <w:tab/>
        <w:t>涉及政府补助的应收款项</w:t>
      </w:r>
      <w:bookmarkEnd w:id="2206"/>
      <w:bookmarkEnd w:id="2207"/>
      <w:bookmarkEnd w:id="220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5"/>
        <w:keepNext/>
        <w:keepLines/>
        <w:widowControl w:val="0"/>
        <w:shd w:val="clear" w:color="auto" w:fill="auto"/>
        <w:tabs>
          <w:tab w:pos="387" w:val="left"/>
        </w:tabs>
        <w:bidi w:val="0"/>
        <w:spacing w:before="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7</w:t>
      </w:r>
      <w:bookmarkEnd w:id="2212"/>
      <w:r>
        <w:rPr>
          <w:color w:val="000000"/>
          <w:spacing w:val="0"/>
          <w:w w:val="100"/>
          <w:position w:val="0"/>
        </w:rPr>
        <w:t>）</w:t>
        <w:tab/>
        <w:t>因金融资产转移而终止确认的其他应收款</w:t>
      </w:r>
      <w:bookmarkEnd w:id="2210"/>
      <w:bookmarkEnd w:id="2211"/>
      <w:bookmarkEnd w:id="2213"/>
    </w:p>
    <w:p>
      <w:pPr>
        <w:pStyle w:val="Style65"/>
        <w:keepNext/>
        <w:keepLines/>
        <w:widowControl w:val="0"/>
        <w:shd w:val="clear" w:color="auto" w:fill="auto"/>
        <w:tabs>
          <w:tab w:pos="392"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8</w:t>
      </w:r>
      <w:bookmarkEnd w:id="2216"/>
      <w:r>
        <w:rPr>
          <w:color w:val="000000"/>
          <w:spacing w:val="0"/>
          <w:w w:val="100"/>
          <w:position w:val="0"/>
        </w:rPr>
        <w:t>）</w:t>
        <w:tab/>
        <w:t>转移其他应收款且继续涉入形成的资产、负债金额</w:t>
      </w:r>
      <w:bookmarkEnd w:id="2214"/>
      <w:bookmarkEnd w:id="2215"/>
      <w:bookmarkEnd w:id="2217"/>
    </w:p>
    <w:p>
      <w:pPr>
        <w:pStyle w:val="Style33"/>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、长期股权投资</w:t>
      </w:r>
      <w:bookmarkEnd w:id="2218"/>
      <w:bookmarkEnd w:id="2219"/>
      <w:bookmarkEnd w:id="22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372,061,198.91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533,935,371.27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529,695,436.22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575,661,508.47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571,421,573.42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905,996,570.18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901,756,635.13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947,722,707.38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943,482,772.33</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2"/>
      <w:bookmarkEnd w:id="2223"/>
      <w:bookmarkEnd w:id="22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浙江银江智慧 交通集团有限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杭州银江智慧 健康集团有限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杭州银江智慧 城市技术集团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吉林银江信息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浙江银江研究 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健康宝互联网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18,602,800.00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青岛银江智慧 城市技术有限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东丰银江智慧 城市技术有限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济南银江信息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沈阳智享大健 康信息科技有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银江股份（香 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372,061,198.9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372,061,198.91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5"/>
      <w:bookmarkEnd w:id="2226"/>
      <w:bookmarkEnd w:id="222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上海济祥 智能交通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杭州银江 智慧产业 创业投资 合伙企业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506,258,5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464,923,5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8,415,058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423,206.8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8,838,265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杭州清普 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24,052,18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-672,815.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金服控股</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25,834,49</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浙江贤谷 互联网技 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6,861,306</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6,721,667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571,421,5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529,695,4</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571,421,5</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529,695,4</w:t>
            </w:r>
          </w:p>
          <w:p>
            <w:pPr>
              <w:pStyle w:val="Style2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319" w:line="1" w:lineRule="exact"/>
      </w:pPr>
    </w:p>
    <w:p>
      <w:pPr>
        <w:pStyle w:val="Style47"/>
        <w:keepNext/>
        <w:keepLines/>
        <w:widowControl w:val="0"/>
        <w:numPr>
          <w:ilvl w:val="0"/>
          <w:numId w:val="59"/>
        </w:numPr>
        <w:shd w:val="clear" w:color="auto" w:fill="auto"/>
        <w:bidi w:val="0"/>
        <w:spacing w:before="0" w:after="360" w:line="240" w:lineRule="auto"/>
        <w:ind w:left="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其他说明</w:t>
      </w:r>
      <w:bookmarkEnd w:id="2228"/>
      <w:bookmarkEnd w:id="2229"/>
      <w:bookmarkEnd w:id="2231"/>
    </w:p>
    <w:p>
      <w:pPr>
        <w:pStyle w:val="Style33"/>
        <w:keepNext/>
        <w:keepLines/>
        <w:widowControl w:val="0"/>
        <w:shd w:val="clear" w:color="auto" w:fill="auto"/>
        <w:bidi w:val="0"/>
        <w:spacing w:before="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4</w:t>
      </w:r>
      <w:bookmarkEnd w:id="2234"/>
      <w:r>
        <w:rPr>
          <w:color w:val="000000"/>
          <w:spacing w:val="0"/>
          <w:w w:val="100"/>
          <w:position w:val="0"/>
        </w:rPr>
        <w:t>、营业收入和营业成本</w:t>
      </w:r>
      <w:bookmarkEnd w:id="2232"/>
      <w:bookmarkEnd w:id="2233"/>
      <w:bookmarkEnd w:id="22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2,061,254,908.39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1,539,791,329.45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2,014,186,615.41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1,532,596,484.51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20,620,072.39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9,608,329.80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13,187,836.51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10,077,071.61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2,081,874,980.78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1,549,399,659.25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2,027,374,451.92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1,542,673,556.12</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本报告期末已签订合同、但尚未履行或尚未履行完毕的履约义务所对应的收入金额为元，其中，元预计将于年度确认收入, 元预计将于年度确认收入，元预计将于年度确认收入。</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both"/>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5</w:t>
      </w:r>
      <w:bookmarkEnd w:id="2238"/>
      <w:r>
        <w:rPr>
          <w:color w:val="000000"/>
          <w:spacing w:val="0"/>
          <w:w w:val="100"/>
          <w:position w:val="0"/>
        </w:rPr>
        <w:t>、投资收益</w:t>
      </w:r>
      <w:bookmarkEnd w:id="2236"/>
      <w:bookmarkEnd w:id="2237"/>
      <w:bookmarkEnd w:id="223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-5,694,411.09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-5,639,140.41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1,940,128.74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-5,694,326.78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-3,689,119.73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6</w:t>
      </w:r>
      <w:bookmarkEnd w:id="2242"/>
      <w:r>
        <w:rPr>
          <w:color w:val="000000"/>
          <w:spacing w:val="0"/>
          <w:w w:val="100"/>
          <w:position w:val="0"/>
        </w:rPr>
        <w:t>、其他</w:t>
      </w:r>
      <w:bookmarkEnd w:id="2240"/>
      <w:bookmarkEnd w:id="2241"/>
      <w:bookmarkEnd w:id="2243"/>
    </w:p>
    <w:p>
      <w:pPr>
        <w:pStyle w:val="Style28"/>
        <w:keepNext/>
        <w:keepLines/>
        <w:widowControl w:val="0"/>
        <w:shd w:val="clear" w:color="auto" w:fill="auto"/>
        <w:bidi w:val="0"/>
        <w:spacing w:before="0" w:after="340" w:line="240" w:lineRule="auto"/>
        <w:ind w:left="0" w:right="0" w:firstLine="0"/>
        <w:jc w:val="both"/>
      </w:pPr>
      <w:bookmarkStart w:id="2244" w:name="bookmark2244"/>
      <w:bookmarkStart w:id="2245" w:name="bookmark2245"/>
      <w:bookmarkStart w:id="2246" w:name="bookmark2246"/>
      <w:r>
        <w:rPr>
          <w:color w:val="000000"/>
          <w:spacing w:val="0"/>
          <w:w w:val="100"/>
          <w:position w:val="0"/>
        </w:rPr>
        <w:t>十八、补充资料</w:t>
      </w:r>
      <w:bookmarkEnd w:id="2244"/>
      <w:bookmarkEnd w:id="2245"/>
      <w:bookmarkEnd w:id="2246"/>
    </w:p>
    <w:p>
      <w:pPr>
        <w:pStyle w:val="Style33"/>
        <w:keepNext/>
        <w:keepLines/>
        <w:widowControl w:val="0"/>
        <w:shd w:val="clear" w:color="auto" w:fill="auto"/>
        <w:bidi w:val="0"/>
        <w:spacing w:before="0" w:after="340" w:line="240" w:lineRule="auto"/>
        <w:ind w:left="0" w:right="0" w:firstLine="0"/>
        <w:jc w:val="both"/>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7"/>
      <w:bookmarkEnd w:id="2248"/>
      <w:bookmarkEnd w:id="2249"/>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832"/>
        <w:gridCol w:w="24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8,838,812.97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10,425,715.00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6,682,381.56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-443,221.55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4,256,903.53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88,910.95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21,133,204.15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rPr>
          <w:sz w:val="20"/>
          <w:szCs w:val="20"/>
        </w:rPr>
      </w:pPr>
      <w:bookmarkStart w:id="2250" w:name="bookmark225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250"/>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239" w:line="1" w:lineRule="exact"/>
      </w:pPr>
    </w:p>
    <w:p>
      <w:pPr>
        <w:pStyle w:val="Style33"/>
        <w:keepNext/>
        <w:keepLines/>
        <w:widowControl w:val="0"/>
        <w:shd w:val="clear" w:color="auto" w:fill="auto"/>
        <w:tabs>
          <w:tab w:pos="378" w:val="left"/>
        </w:tabs>
        <w:bidi w:val="0"/>
        <w:spacing w:before="0" w:after="300" w:line="326" w:lineRule="exact"/>
        <w:ind w:left="0" w:right="0" w:firstLine="0"/>
        <w:jc w:val="both"/>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w:t>
        <w:tab/>
        <w:t>境内外会计准则下会计数据差异</w:t>
      </w:r>
      <w:bookmarkEnd w:id="2251"/>
      <w:bookmarkEnd w:id="2252"/>
      <w:bookmarkEnd w:id="2254"/>
    </w:p>
    <w:p>
      <w:pPr>
        <w:pStyle w:val="Style47"/>
        <w:keepNext/>
        <w:keepLines/>
        <w:widowControl w:val="0"/>
        <w:shd w:val="clear" w:color="auto" w:fill="auto"/>
        <w:tabs>
          <w:tab w:pos="493" w:val="left"/>
        </w:tabs>
        <w:bidi w:val="0"/>
        <w:spacing w:before="0" w:after="360" w:line="326" w:lineRule="exact"/>
        <w:ind w:left="0" w:right="0" w:firstLine="0"/>
        <w:jc w:val="both"/>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5"/>
      <w:bookmarkEnd w:id="2256"/>
      <w:bookmarkEnd w:id="2258"/>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326" w:lineRule="exact"/>
        <w:ind w:left="0" w:right="0" w:firstLine="0"/>
        <w:jc w:val="both"/>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59"/>
      <w:bookmarkEnd w:id="2260"/>
      <w:bookmarkEnd w:id="2262"/>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00" w:line="326" w:lineRule="exact"/>
        <w:ind w:left="0" w:right="0" w:firstLine="0"/>
        <w:jc w:val="both"/>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63"/>
      <w:bookmarkEnd w:id="2264"/>
      <w:bookmarkEnd w:id="2266"/>
    </w:p>
    <w:p>
      <w:pPr>
        <w:pStyle w:val="Style33"/>
        <w:keepNext/>
        <w:keepLines/>
        <w:widowControl w:val="0"/>
        <w:shd w:val="clear" w:color="auto" w:fill="auto"/>
        <w:tabs>
          <w:tab w:pos="378" w:val="left"/>
        </w:tabs>
        <w:bidi w:val="0"/>
        <w:spacing w:before="0" w:after="300" w:line="326" w:lineRule="exact"/>
        <w:ind w:left="0" w:right="0" w:firstLine="0"/>
        <w:jc w:val="both"/>
        <w:sectPr>
          <w:footnotePr>
            <w:pos w:val="pageBottom"/>
            <w:numFmt w:val="decimal"/>
            <w:numRestart w:val="continuous"/>
          </w:footnotePr>
          <w:pgSz w:w="11900" w:h="16840"/>
          <w:pgMar w:top="1354" w:right="1072" w:bottom="1517" w:left="1065" w:header="0" w:footer="3" w:gutter="0"/>
          <w:cols w:space="720"/>
          <w:noEndnote/>
          <w:rtlGutter w:val="0"/>
          <w:docGrid w:linePitch="360"/>
        </w:sectPr>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4</w:t>
      </w:r>
      <w:bookmarkEnd w:id="2269"/>
      <w:r>
        <w:rPr>
          <w:color w:val="000000"/>
          <w:spacing w:val="0"/>
          <w:w w:val="100"/>
          <w:position w:val="0"/>
        </w:rPr>
        <w:t>、</w:t>
        <w:tab/>
        <w:t>其他</w:t>
      </w:r>
      <w:bookmarkEnd w:id="2267"/>
      <w:bookmarkEnd w:id="2268"/>
      <w:bookmarkEnd w:id="2270"/>
    </w:p>
    <w:p>
      <w:pPr>
        <w:pStyle w:val="Style15"/>
        <w:keepNext/>
        <w:keepLines/>
        <w:widowControl w:val="0"/>
        <w:shd w:val="clear" w:color="auto" w:fill="auto"/>
        <w:bidi w:val="0"/>
        <w:spacing w:before="0" w:after="600" w:line="240" w:lineRule="auto"/>
        <w:ind w:left="0" w:right="0" w:firstLine="0"/>
        <w:jc w:val="center"/>
      </w:pPr>
      <w:bookmarkStart w:id="2271" w:name="bookmark2271"/>
      <w:bookmarkStart w:id="2272" w:name="bookmark2272"/>
      <w:bookmarkStart w:id="2273" w:name="bookmark2273"/>
      <w:r>
        <w:rPr>
          <w:color w:val="000000"/>
          <w:spacing w:val="0"/>
          <w:w w:val="100"/>
          <w:position w:val="0"/>
        </w:rPr>
        <w:t>第十三节备查文件目录</w:t>
      </w:r>
      <w:bookmarkEnd w:id="2271"/>
      <w:bookmarkEnd w:id="2272"/>
      <w:bookmarkEnd w:id="2273"/>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274" w:name="bookmark2274"/>
      <w:bookmarkStart w:id="2275" w:name="bookmark2275"/>
      <w:r>
        <w:rPr>
          <w:color w:val="000000"/>
          <w:spacing w:val="0"/>
          <w:w w:val="100"/>
          <w:position w:val="0"/>
        </w:rPr>
        <w:t>一</w:t>
      </w:r>
      <w:bookmarkEnd w:id="2275"/>
      <w:r>
        <w:rPr>
          <w:color w:val="000000"/>
          <w:spacing w:val="0"/>
          <w:w w:val="100"/>
          <w:position w:val="0"/>
        </w:rPr>
        <w:t>、</w:t>
        <w:tab/>
        <w:t>载有公司负责人、主管会计工作的公司负责人、公司会计机构负责人（会计主管人员）签名并盖章的财务报表。</w:t>
      </w:r>
      <w:bookmarkEnd w:id="2274"/>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276" w:name="bookmark2276"/>
      <w:r>
        <w:rPr>
          <w:color w:val="000000"/>
          <w:spacing w:val="0"/>
          <w:w w:val="100"/>
          <w:position w:val="0"/>
        </w:rPr>
        <w:t>二</w:t>
      </w:r>
      <w:bookmarkEnd w:id="2276"/>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277" w:name="bookmark2277"/>
      <w:r>
        <w:rPr>
          <w:color w:val="000000"/>
          <w:spacing w:val="0"/>
          <w:w w:val="100"/>
          <w:position w:val="0"/>
        </w:rPr>
        <w:t>三</w:t>
      </w:r>
      <w:bookmarkEnd w:id="2277"/>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278" w:name="bookmark2278"/>
      <w:r>
        <w:rPr>
          <w:color w:val="000000"/>
          <w:spacing w:val="0"/>
          <w:w w:val="100"/>
          <w:position w:val="0"/>
        </w:rPr>
        <w:t>四</w:t>
      </w:r>
      <w:bookmarkEnd w:id="2278"/>
      <w:r>
        <w:rPr>
          <w:color w:val="000000"/>
          <w:spacing w:val="0"/>
          <w:w w:val="100"/>
          <w:position w:val="0"/>
        </w:rPr>
        <w:t>、</w:t>
        <w:tab/>
        <w:t>其他相关资料。</w:t>
      </w:r>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以上备查文件的备置地点：公司证券管理部办公室。</w:t>
      </w:r>
    </w:p>
    <w:p>
      <w:pPr>
        <w:pStyle w:val="Style3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银江股份有限公司</w:t>
      </w:r>
    </w:p>
    <w:p>
      <w:pPr>
        <w:pStyle w:val="Style3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法定代表人：王腾</w:t>
      </w:r>
    </w:p>
    <w:p>
      <w:pPr>
        <w:pStyle w:val="Style25"/>
        <w:keepNext w:val="0"/>
        <w:keepLines w:val="0"/>
        <w:widowControl w:val="0"/>
        <w:shd w:val="clear" w:color="auto" w:fill="auto"/>
        <w:bidi w:val="0"/>
        <w:spacing w:before="0" w:after="26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sectPr>
      <w:footnotePr>
        <w:pos w:val="pageBottom"/>
        <w:numFmt w:val="decimal"/>
        <w:numRestart w:val="continuous"/>
      </w:footnotePr>
      <w:pgSz w:w="11900" w:h="16840"/>
      <w:pgMar w:top="1657" w:right="1109"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6392545</wp:posOffset>
              </wp:positionH>
              <wp:positionV relativeFrom="page">
                <wp:posOffset>9812020</wp:posOffset>
              </wp:positionV>
              <wp:extent cx="445135" cy="106680"/>
              <wp:wrapNone/>
              <wp:docPr id="76" name="Shape 7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2" type="#_x0000_t202" style="position:absolute;margin-left:503.35000000000002pt;margin-top:772.60000000000002pt;width:35.05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3707130</wp:posOffset>
              </wp:positionH>
              <wp:positionV relativeFrom="page">
                <wp:posOffset>10123170</wp:posOffset>
              </wp:positionV>
              <wp:extent cx="155575" cy="79375"/>
              <wp:wrapNone/>
              <wp:docPr id="78" name="Shape 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1.90000000000003pt;margin-top:797.10000000000002pt;width:12.25pt;height:6.25pt;z-index:-18874401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3761740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19999999999999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3731260</wp:posOffset>
              </wp:positionH>
              <wp:positionV relativeFrom="page">
                <wp:posOffset>9955530</wp:posOffset>
              </wp:positionV>
              <wp:extent cx="97790" cy="82550"/>
              <wp:wrapNone/>
              <wp:docPr id="14" name="Shape 14"/>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3.80000000000001pt;margin-top:783.89999999999998pt;width:7.7000000000000002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3731260</wp:posOffset>
              </wp:positionH>
              <wp:positionV relativeFrom="page">
                <wp:posOffset>9955530</wp:posOffset>
              </wp:positionV>
              <wp:extent cx="97790" cy="82550"/>
              <wp:wrapNone/>
              <wp:docPr id="19" name="Shape 1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3.80000000000001pt;margin-top:783.89999999999998pt;width:7.7000000000000002pt;height:6.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3731260</wp:posOffset>
              </wp:positionH>
              <wp:positionV relativeFrom="page">
                <wp:posOffset>9955530</wp:posOffset>
              </wp:positionV>
              <wp:extent cx="97790" cy="82550"/>
              <wp:wrapNone/>
              <wp:docPr id="43" name="Shape 43"/>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3.80000000000001pt;margin-top:783.89999999999998pt;width:7.7000000000000002pt;height:6.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6376670</wp:posOffset>
              </wp:positionH>
              <wp:positionV relativeFrom="page">
                <wp:posOffset>9709785</wp:posOffset>
              </wp:positionV>
              <wp:extent cx="445135" cy="106680"/>
              <wp:wrapNone/>
              <wp:docPr id="48" name="Shape 4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4" type="#_x0000_t202" style="position:absolute;margin-left:502.10000000000002pt;margin-top:764.55000000000007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3691255</wp:posOffset>
              </wp:positionH>
              <wp:positionV relativeFrom="page">
                <wp:posOffset>10219055</wp:posOffset>
              </wp:positionV>
              <wp:extent cx="155575" cy="79375"/>
              <wp:wrapNone/>
              <wp:docPr id="50" name="Shape 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0.65000000000003pt;margin-top:804.64999999999998pt;width:12.25pt;height:6.25pt;z-index:-18874403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6392545</wp:posOffset>
              </wp:positionH>
              <wp:positionV relativeFrom="page">
                <wp:posOffset>9812020</wp:posOffset>
              </wp:positionV>
              <wp:extent cx="445135" cy="106680"/>
              <wp:wrapNone/>
              <wp:docPr id="55" name="Shape 5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1" type="#_x0000_t202" style="position:absolute;margin-left:503.35000000000002pt;margin-top:772.60000000000002pt;width:35.050000000000004pt;height:8.4000000000000004pt;z-index:-18874403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3707130</wp:posOffset>
              </wp:positionH>
              <wp:positionV relativeFrom="page">
                <wp:posOffset>10123170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1.90000000000003pt;margin-top:797.10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3731260</wp:posOffset>
              </wp:positionH>
              <wp:positionV relativeFrom="page">
                <wp:posOffset>9955530</wp:posOffset>
              </wp:positionV>
              <wp:extent cx="97790" cy="82550"/>
              <wp:wrapNone/>
              <wp:docPr id="66" name="Shape 66"/>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3.80000000000001pt;margin-top:783.89999999999998pt;width:7.7000000000000002pt;height:6.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3731260</wp:posOffset>
              </wp:positionH>
              <wp:positionV relativeFrom="page">
                <wp:posOffset>9955530</wp:posOffset>
              </wp:positionV>
              <wp:extent cx="97790" cy="82550"/>
              <wp:wrapNone/>
              <wp:docPr id="71" name="Shape 7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3.80000000000001pt;margin-top:783.89999999999998pt;width:7.7000000000000002pt;height:6.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4843780</wp:posOffset>
              </wp:positionH>
              <wp:positionV relativeFrom="page">
                <wp:posOffset>478790</wp:posOffset>
              </wp:positionV>
              <wp:extent cx="1990090" cy="106680"/>
              <wp:wrapNone/>
              <wp:docPr id="1" name="Shape 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40000000000003pt;margin-top:37.700000000000003pt;width:15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4846955</wp:posOffset>
              </wp:positionH>
              <wp:positionV relativeFrom="page">
                <wp:posOffset>718820</wp:posOffset>
              </wp:positionV>
              <wp:extent cx="1990090" cy="106680"/>
              <wp:wrapNone/>
              <wp:docPr id="73" name="Shape 73"/>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381.65000000000003pt;margin-top:56.600000000000001pt;width:156.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863600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8.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4843780</wp:posOffset>
              </wp:positionH>
              <wp:positionV relativeFrom="page">
                <wp:posOffset>478790</wp:posOffset>
              </wp:positionV>
              <wp:extent cx="1990090" cy="106680"/>
              <wp:wrapNone/>
              <wp:docPr id="6" name="Shape 6"/>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81.40000000000003pt;margin-top:37.700000000000003pt;width:156.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4843780</wp:posOffset>
              </wp:positionH>
              <wp:positionV relativeFrom="page">
                <wp:posOffset>552450</wp:posOffset>
              </wp:positionV>
              <wp:extent cx="1990090" cy="106680"/>
              <wp:wrapNone/>
              <wp:docPr id="11" name="Shape 1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81.40000000000003pt;margin-top:43.5pt;width:156.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4843780</wp:posOffset>
              </wp:positionH>
              <wp:positionV relativeFrom="page">
                <wp:posOffset>552450</wp:posOffset>
              </wp:positionV>
              <wp:extent cx="1990090" cy="106680"/>
              <wp:wrapNone/>
              <wp:docPr id="16" name="Shape 16"/>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81.40000000000003pt;margin-top:43.5pt;width:156.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4843780</wp:posOffset>
              </wp:positionH>
              <wp:positionV relativeFrom="page">
                <wp:posOffset>552450</wp:posOffset>
              </wp:positionV>
              <wp:extent cx="1990090" cy="106680"/>
              <wp:wrapNone/>
              <wp:docPr id="40" name="Shape 40"/>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81.40000000000003pt;margin-top:43.5pt;width:156.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4831080</wp:posOffset>
              </wp:positionH>
              <wp:positionV relativeFrom="page">
                <wp:posOffset>824865</wp:posOffset>
              </wp:positionV>
              <wp:extent cx="1990090" cy="106680"/>
              <wp:wrapNone/>
              <wp:docPr id="45" name="Shape 45"/>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380.40000000000003pt;margin-top:64.950000000000003pt;width:156.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969645</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76.35000000000000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4846955</wp:posOffset>
              </wp:positionH>
              <wp:positionV relativeFrom="page">
                <wp:posOffset>718820</wp:posOffset>
              </wp:positionV>
              <wp:extent cx="1990090" cy="106680"/>
              <wp:wrapNone/>
              <wp:docPr id="52" name="Shape 52"/>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81.65000000000003pt;margin-top:56.600000000000001pt;width:156.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863600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8.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4843780</wp:posOffset>
              </wp:positionH>
              <wp:positionV relativeFrom="page">
                <wp:posOffset>552450</wp:posOffset>
              </wp:positionV>
              <wp:extent cx="1990090" cy="106680"/>
              <wp:wrapNone/>
              <wp:docPr id="63" name="Shape 63"/>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9" type="#_x0000_t202" style="position:absolute;margin-left:381.40000000000003pt;margin-top:43.5pt;width:156.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4843780</wp:posOffset>
              </wp:positionH>
              <wp:positionV relativeFrom="page">
                <wp:posOffset>552450</wp:posOffset>
              </wp:positionV>
              <wp:extent cx="1990090" cy="106680"/>
              <wp:wrapNone/>
              <wp:docPr id="68" name="Shape 68"/>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4" type="#_x0000_t202" style="position:absolute;margin-left:381.40000000000003pt;margin-top:43.5pt;width:156.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Arial Black" w:eastAsia="Arial Black" w:hAnsi="Arial Black" w:cs="Arial Black"/>
      <w:b/>
      <w:bCs/>
      <w:i w:val="0"/>
      <w:iCs w:val="0"/>
      <w:smallCaps w:val="0"/>
      <w:strike w:val="0"/>
      <w:color w:val="F1880D"/>
      <w:sz w:val="56"/>
      <w:szCs w:val="5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48"/>
      <w:szCs w:val="48"/>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4">
    <w:name w:val="正文文本 (6)_"/>
    <w:basedOn w:val="DefaultParagraphFont"/>
    <w:link w:val="Style23"/>
    <w:rPr>
      <w:rFonts w:ascii="SimSun" w:eastAsia="SimSun" w:hAnsi="SimSun" w:cs="SimSun"/>
      <w:b/>
      <w:bCs/>
      <w:i w:val="0"/>
      <w:iCs w:val="0"/>
      <w:smallCaps w:val="0"/>
      <w:strike w:val="0"/>
      <w:sz w:val="32"/>
      <w:szCs w:val="3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8">
    <w:name w:val="图片标题_"/>
    <w:basedOn w:val="DefaultParagraphFont"/>
    <w:link w:val="Style57"/>
    <w:rPr>
      <w:rFonts w:ascii="Arial" w:eastAsia="Arial" w:hAnsi="Arial" w:cs="Arial"/>
      <w:b/>
      <w:bCs/>
      <w:i w:val="0"/>
      <w:iCs w:val="0"/>
      <w:smallCaps w:val="0"/>
      <w:strike w:val="0"/>
      <w:color w:val="79777B"/>
      <w:sz w:val="13"/>
      <w:szCs w:val="13"/>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after="40"/>
      <w:jc w:val="center"/>
    </w:pPr>
    <w:rPr>
      <w:rFonts w:ascii="Arial Black" w:eastAsia="Arial Black" w:hAnsi="Arial Black" w:cs="Arial Black"/>
      <w:b/>
      <w:bCs/>
      <w:i w:val="0"/>
      <w:iCs w:val="0"/>
      <w:smallCaps w:val="0"/>
      <w:strike w:val="0"/>
      <w:color w:val="F1880D"/>
      <w:sz w:val="56"/>
      <w:szCs w:val="5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3240"/>
      <w:jc w:val="center"/>
    </w:pPr>
    <w:rPr>
      <w:rFonts w:ascii="SimSun" w:eastAsia="SimSun" w:hAnsi="SimSun" w:cs="SimSun"/>
      <w:b/>
      <w:bCs/>
      <w:i w:val="0"/>
      <w:iCs w:val="0"/>
      <w:smallCaps w:val="0"/>
      <w:strike w:val="0"/>
      <w:sz w:val="48"/>
      <w:szCs w:val="48"/>
      <w:u w:val="none"/>
      <w:shd w:val="clear" w:color="auto" w:fill="auto"/>
    </w:rPr>
  </w:style>
  <w:style w:type="paragraph" w:customStyle="1" w:styleId="Style12">
    <w:name w:val="正文文本 (5)"/>
    <w:basedOn w:val="Normal"/>
    <w:link w:val="CharStyle13"/>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5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340"/>
    </w:pPr>
    <w:rPr>
      <w:rFonts w:ascii="SimSun" w:eastAsia="SimSun" w:hAnsi="SimSun" w:cs="SimSun"/>
      <w:b/>
      <w:bCs/>
      <w:i w:val="0"/>
      <w:iCs w:val="0"/>
      <w:smallCaps w:val="0"/>
      <w:strike w:val="0"/>
      <w:sz w:val="26"/>
      <w:szCs w:val="26"/>
      <w:u w:val="none"/>
      <w:shd w:val="clear" w:color="auto" w:fill="auto"/>
    </w:rPr>
  </w:style>
  <w:style w:type="paragraph" w:customStyle="1" w:styleId="Style23">
    <w:name w:val="正文文本 (6)"/>
    <w:basedOn w:val="Normal"/>
    <w:link w:val="CharStyle24"/>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5">
    <w:name w:val="其他"/>
    <w:basedOn w:val="Normal"/>
    <w:link w:val="CharStyle26"/>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2"/>
    <w:basedOn w:val="Normal"/>
    <w:link w:val="CharStyle29"/>
    <w:pPr>
      <w:widowControl w:val="0"/>
      <w:shd w:val="clear" w:color="auto" w:fill="auto"/>
      <w:spacing w:after="360"/>
      <w:ind w:firstLine="2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正文文本"/>
    <w:basedOn w:val="Normal"/>
    <w:link w:val="CharStyle31"/>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ind w:firstLine="2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标题 #4"/>
    <w:basedOn w:val="Normal"/>
    <w:link w:val="CharStyle48"/>
    <w:pPr>
      <w:widowControl w:val="0"/>
      <w:shd w:val="clear" w:color="auto" w:fill="auto"/>
      <w:spacing w:after="380"/>
      <w:ind w:firstLine="2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图片标题"/>
    <w:basedOn w:val="Normal"/>
    <w:link w:val="CharStyle58"/>
    <w:pPr>
      <w:widowControl w:val="0"/>
      <w:shd w:val="clear" w:color="auto" w:fill="auto"/>
    </w:pPr>
    <w:rPr>
      <w:rFonts w:ascii="Arial" w:eastAsia="Arial" w:hAnsi="Arial" w:cs="Arial"/>
      <w:b/>
      <w:bCs/>
      <w:i w:val="0"/>
      <w:iCs w:val="0"/>
      <w:smallCaps w:val="0"/>
      <w:strike w:val="0"/>
      <w:color w:val="79777B"/>
      <w:sz w:val="13"/>
      <w:szCs w:val="13"/>
      <w:u w:val="none"/>
      <w:shd w:val="clear" w:color="auto" w:fill="auto"/>
    </w:rPr>
  </w:style>
  <w:style w:type="paragraph" w:customStyle="1" w:styleId="Style65">
    <w:name w:val="标题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
  <dc:subject/>
  <dc:creator>wml07</dc:creator>
  <cp:keywords/>
</cp:coreProperties>
</file>